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186690</wp:posOffset>
            </wp:positionH>
            <wp:positionV relativeFrom="page">
              <wp:posOffset>230505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254000</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65" w:lineRule="exact"/>
        <w:rPr>
          <w:sz w:val="24"/>
          <w:szCs w:val="24"/>
          <w:color w:val="auto"/>
        </w:rPr>
      </w:pPr>
    </w:p>
    <w:p>
      <w:pPr>
        <w:ind w:left="5066"/>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4" w:lineRule="exact"/>
        <w:rPr>
          <w:sz w:val="24"/>
          <w:szCs w:val="24"/>
          <w:color w:val="auto"/>
        </w:rPr>
      </w:pPr>
    </w:p>
    <w:p>
      <w:pPr>
        <w:ind w:left="4606"/>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11" w:lineRule="exact"/>
        <w:rPr>
          <w:sz w:val="24"/>
          <w:szCs w:val="24"/>
          <w:color w:val="auto"/>
        </w:rPr>
      </w:pPr>
    </w:p>
    <w:p>
      <w:pPr>
        <w:ind w:left="4806"/>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46"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August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48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7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2"/>
          <w:szCs w:val="22"/>
          <w:b w:val="1"/>
          <w:bCs w:val="1"/>
          <w:color w:val="auto"/>
        </w:rPr>
        <w:t>TMC THE METALS COMPANY INC.</w:t>
      </w:r>
    </w:p>
    <w:p>
      <w:pPr>
        <w:spacing w:after="0" w:line="33"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748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1" w:lineRule="exact"/>
        <w:rPr>
          <w:sz w:val="24"/>
          <w:szCs w:val="24"/>
          <w:color w:val="auto"/>
        </w:rPr>
      </w:pPr>
    </w:p>
    <w:tbl>
      <w:tblPr>
        <w:tblLayout w:type="fixed"/>
        <w:tblInd w:w="946" w:type="dxa"/>
        <w:tblCellMar>
          <w:top w:w="0" w:type="dxa"/>
          <w:left w:w="0" w:type="dxa"/>
          <w:bottom w:w="0" w:type="dxa"/>
          <w:right w:w="0" w:type="dxa"/>
        </w:tblCellMar>
      </w:tblPr>
      <w:tr>
        <w:trPr>
          <w:trHeight w:val="151"/>
        </w:trPr>
        <w:tc>
          <w:tcPr>
            <w:tcW w:w="2480" w:type="dxa"/>
            <w:vAlign w:val="bottom"/>
          </w:tcPr>
          <w:p>
            <w:pPr>
              <w:jc w:val="center"/>
              <w:ind w:right="458"/>
              <w:spacing w:after="0"/>
              <w:rPr>
                <w:sz w:val="20"/>
                <w:szCs w:val="20"/>
                <w:color w:val="auto"/>
              </w:rPr>
            </w:pPr>
            <w:r>
              <w:rPr>
                <w:rFonts w:ascii="Times New Roman" w:cs="Times New Roman" w:eastAsia="Times New Roman" w:hAnsi="Times New Roman"/>
                <w:sz w:val="12"/>
                <w:szCs w:val="12"/>
                <w:b w:val="1"/>
                <w:bCs w:val="1"/>
                <w:color w:val="auto"/>
              </w:rPr>
              <w:t>British Columbia, Canada</w:t>
            </w:r>
          </w:p>
        </w:tc>
        <w:tc>
          <w:tcPr>
            <w:tcW w:w="4740" w:type="dxa"/>
            <w:vAlign w:val="bottom"/>
          </w:tcPr>
          <w:p>
            <w:pPr>
              <w:jc w:val="right"/>
              <w:ind w:right="2118"/>
              <w:spacing w:after="0"/>
              <w:rPr>
                <w:sz w:val="20"/>
                <w:szCs w:val="20"/>
                <w:color w:val="auto"/>
              </w:rPr>
            </w:pPr>
            <w:r>
              <w:rPr>
                <w:rFonts w:ascii="Times New Roman" w:cs="Times New Roman" w:eastAsia="Times New Roman" w:hAnsi="Times New Roman"/>
                <w:sz w:val="12"/>
                <w:szCs w:val="12"/>
                <w:b w:val="1"/>
                <w:bCs w:val="1"/>
                <w:color w:val="auto"/>
              </w:rPr>
              <w:t>001-39281</w:t>
            </w:r>
          </w:p>
        </w:tc>
        <w:tc>
          <w:tcPr>
            <w:tcW w:w="1740" w:type="dxa"/>
            <w:vAlign w:val="bottom"/>
          </w:tcPr>
          <w:p>
            <w:pPr>
              <w:jc w:val="center"/>
              <w:ind w:left="738"/>
              <w:spacing w:after="0"/>
              <w:rPr>
                <w:sz w:val="20"/>
                <w:szCs w:val="20"/>
                <w:color w:val="auto"/>
              </w:rPr>
            </w:pPr>
            <w:r>
              <w:rPr>
                <w:rFonts w:ascii="Times New Roman" w:cs="Times New Roman" w:eastAsia="Times New Roman" w:hAnsi="Times New Roman"/>
                <w:sz w:val="12"/>
                <w:szCs w:val="12"/>
                <w:b w:val="1"/>
                <w:bCs w:val="1"/>
                <w:color w:val="auto"/>
              </w:rPr>
              <w:t>Not Applicable</w:t>
            </w:r>
          </w:p>
        </w:tc>
      </w:tr>
      <w:tr>
        <w:trPr>
          <w:trHeight w:val="149"/>
        </w:trPr>
        <w:tc>
          <w:tcPr>
            <w:tcW w:w="2480" w:type="dxa"/>
            <w:vAlign w:val="bottom"/>
          </w:tcPr>
          <w:p>
            <w:pPr>
              <w:jc w:val="center"/>
              <w:ind w:right="498"/>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4740" w:type="dxa"/>
            <w:vAlign w:val="bottom"/>
          </w:tcPr>
          <w:p>
            <w:pPr>
              <w:jc w:val="center"/>
              <w:ind w:right="118"/>
              <w:spacing w:after="0"/>
              <w:rPr>
                <w:sz w:val="20"/>
                <w:szCs w:val="20"/>
                <w:color w:val="auto"/>
              </w:rPr>
            </w:pPr>
            <w:r>
              <w:rPr>
                <w:rFonts w:ascii="Times New Roman" w:cs="Times New Roman" w:eastAsia="Times New Roman" w:hAnsi="Times New Roman"/>
                <w:sz w:val="12"/>
                <w:szCs w:val="12"/>
                <w:color w:val="auto"/>
              </w:rPr>
              <w:t>(Commission File Number)</w:t>
            </w:r>
          </w:p>
        </w:tc>
        <w:tc>
          <w:tcPr>
            <w:tcW w:w="1740" w:type="dxa"/>
            <w:vAlign w:val="bottom"/>
          </w:tcPr>
          <w:p>
            <w:pPr>
              <w:jc w:val="center"/>
              <w:ind w:left="718"/>
              <w:spacing w:after="0"/>
              <w:rPr>
                <w:sz w:val="20"/>
                <w:szCs w:val="20"/>
                <w:color w:val="auto"/>
              </w:rPr>
            </w:pPr>
            <w:r>
              <w:rPr>
                <w:rFonts w:ascii="Times New Roman" w:cs="Times New Roman" w:eastAsia="Times New Roman" w:hAnsi="Times New Roman"/>
                <w:sz w:val="12"/>
                <w:szCs w:val="12"/>
                <w:color w:val="auto"/>
              </w:rPr>
              <w:t>(IRS Employer</w:t>
            </w:r>
          </w:p>
        </w:tc>
      </w:tr>
      <w:tr>
        <w:trPr>
          <w:trHeight w:val="160"/>
        </w:trPr>
        <w:tc>
          <w:tcPr>
            <w:tcW w:w="2480" w:type="dxa"/>
            <w:vAlign w:val="bottom"/>
          </w:tcPr>
          <w:p>
            <w:pPr>
              <w:jc w:val="center"/>
              <w:ind w:right="458"/>
              <w:spacing w:after="0"/>
              <w:rPr>
                <w:sz w:val="20"/>
                <w:szCs w:val="20"/>
                <w:color w:val="auto"/>
              </w:rPr>
            </w:pPr>
            <w:r>
              <w:rPr>
                <w:rFonts w:ascii="Times New Roman" w:cs="Times New Roman" w:eastAsia="Times New Roman" w:hAnsi="Times New Roman"/>
                <w:sz w:val="12"/>
                <w:szCs w:val="12"/>
                <w:color w:val="auto"/>
              </w:rPr>
              <w:t>incorporation)</w:t>
            </w:r>
          </w:p>
        </w:tc>
        <w:tc>
          <w:tcPr>
            <w:tcW w:w="4740" w:type="dxa"/>
            <w:vAlign w:val="bottom"/>
          </w:tcPr>
          <w:p>
            <w:pPr>
              <w:spacing w:after="0"/>
              <w:rPr>
                <w:sz w:val="13"/>
                <w:szCs w:val="13"/>
                <w:color w:val="auto"/>
              </w:rPr>
            </w:pPr>
          </w:p>
        </w:tc>
        <w:tc>
          <w:tcPr>
            <w:tcW w:w="1740" w:type="dxa"/>
            <w:vAlign w:val="bottom"/>
          </w:tcPr>
          <w:p>
            <w:pPr>
              <w:jc w:val="center"/>
              <w:ind w:left="738"/>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302"/>
        </w:trPr>
        <w:tc>
          <w:tcPr>
            <w:tcW w:w="2480" w:type="dxa"/>
            <w:vAlign w:val="bottom"/>
          </w:tcPr>
          <w:p>
            <w:pPr>
              <w:jc w:val="center"/>
              <w:ind w:right="458"/>
              <w:spacing w:after="0"/>
              <w:rPr>
                <w:sz w:val="20"/>
                <w:szCs w:val="20"/>
                <w:color w:val="auto"/>
              </w:rPr>
            </w:pPr>
            <w:r>
              <w:rPr>
                <w:rFonts w:ascii="Times New Roman" w:cs="Times New Roman" w:eastAsia="Times New Roman" w:hAnsi="Times New Roman"/>
                <w:sz w:val="12"/>
                <w:szCs w:val="12"/>
                <w:b w:val="1"/>
                <w:bCs w:val="1"/>
                <w:color w:val="auto"/>
              </w:rPr>
              <w:t>1111 West Hastings Street, 15th Floor</w:t>
            </w:r>
          </w:p>
        </w:tc>
        <w:tc>
          <w:tcPr>
            <w:tcW w:w="47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51"/>
        </w:trPr>
        <w:tc>
          <w:tcPr>
            <w:tcW w:w="2480" w:type="dxa"/>
            <w:vAlign w:val="bottom"/>
          </w:tcPr>
          <w:p>
            <w:pPr>
              <w:jc w:val="center"/>
              <w:ind w:right="458"/>
              <w:spacing w:after="0"/>
              <w:rPr>
                <w:sz w:val="20"/>
                <w:szCs w:val="20"/>
                <w:color w:val="auto"/>
              </w:rPr>
            </w:pPr>
            <w:r>
              <w:rPr>
                <w:rFonts w:ascii="Times New Roman" w:cs="Times New Roman" w:eastAsia="Times New Roman" w:hAnsi="Times New Roman"/>
                <w:sz w:val="12"/>
                <w:szCs w:val="12"/>
                <w:b w:val="1"/>
                <w:bCs w:val="1"/>
                <w:color w:val="auto"/>
              </w:rPr>
              <w:t>Vancouver, British Columbia</w:t>
            </w:r>
          </w:p>
        </w:tc>
        <w:tc>
          <w:tcPr>
            <w:tcW w:w="4740" w:type="dxa"/>
            <w:vAlign w:val="bottom"/>
          </w:tcPr>
          <w:p>
            <w:pPr>
              <w:spacing w:after="0"/>
              <w:rPr>
                <w:sz w:val="13"/>
                <w:szCs w:val="13"/>
                <w:color w:val="auto"/>
              </w:rPr>
            </w:pPr>
          </w:p>
        </w:tc>
        <w:tc>
          <w:tcPr>
            <w:tcW w:w="1740" w:type="dxa"/>
            <w:vAlign w:val="bottom"/>
          </w:tcPr>
          <w:p>
            <w:pPr>
              <w:jc w:val="center"/>
              <w:ind w:left="738"/>
              <w:spacing w:after="0"/>
              <w:rPr>
                <w:sz w:val="20"/>
                <w:szCs w:val="20"/>
                <w:color w:val="auto"/>
              </w:rPr>
            </w:pPr>
            <w:r>
              <w:rPr>
                <w:rFonts w:ascii="Times New Roman" w:cs="Times New Roman" w:eastAsia="Times New Roman" w:hAnsi="Times New Roman"/>
                <w:sz w:val="12"/>
                <w:szCs w:val="12"/>
                <w:b w:val="1"/>
                <w:bCs w:val="1"/>
                <w:color w:val="auto"/>
              </w:rPr>
              <w:t>V6E 2J3</w:t>
            </w:r>
          </w:p>
        </w:tc>
      </w:tr>
      <w:tr>
        <w:trPr>
          <w:trHeight w:val="149"/>
        </w:trPr>
        <w:tc>
          <w:tcPr>
            <w:tcW w:w="2480" w:type="dxa"/>
            <w:vAlign w:val="bottom"/>
          </w:tcPr>
          <w:p>
            <w:pPr>
              <w:jc w:val="center"/>
              <w:ind w:right="458"/>
              <w:spacing w:after="0"/>
              <w:rPr>
                <w:sz w:val="20"/>
                <w:szCs w:val="20"/>
                <w:color w:val="auto"/>
              </w:rPr>
            </w:pPr>
            <w:r>
              <w:rPr>
                <w:rFonts w:ascii="Times New Roman" w:cs="Times New Roman" w:eastAsia="Times New Roman" w:hAnsi="Times New Roman"/>
                <w:sz w:val="12"/>
                <w:szCs w:val="12"/>
                <w:color w:val="auto"/>
              </w:rPr>
              <w:t>(Address of principal executive</w:t>
            </w:r>
          </w:p>
        </w:tc>
        <w:tc>
          <w:tcPr>
            <w:tcW w:w="4740" w:type="dxa"/>
            <w:vAlign w:val="bottom"/>
          </w:tcPr>
          <w:p>
            <w:pPr>
              <w:spacing w:after="0"/>
              <w:rPr>
                <w:sz w:val="12"/>
                <w:szCs w:val="12"/>
                <w:color w:val="auto"/>
              </w:rPr>
            </w:pPr>
          </w:p>
        </w:tc>
        <w:tc>
          <w:tcPr>
            <w:tcW w:w="1740" w:type="dxa"/>
            <w:vAlign w:val="bottom"/>
          </w:tcPr>
          <w:p>
            <w:pPr>
              <w:jc w:val="center"/>
              <w:ind w:left="738"/>
              <w:spacing w:after="0"/>
              <w:rPr>
                <w:sz w:val="20"/>
                <w:szCs w:val="20"/>
                <w:color w:val="auto"/>
              </w:rPr>
            </w:pPr>
            <w:r>
              <w:rPr>
                <w:rFonts w:ascii="Times New Roman" w:cs="Times New Roman" w:eastAsia="Times New Roman" w:hAnsi="Times New Roman"/>
                <w:sz w:val="12"/>
                <w:szCs w:val="12"/>
                <w:color w:val="auto"/>
              </w:rPr>
              <w:t>(Zip Code)</w:t>
            </w:r>
          </w:p>
        </w:tc>
      </w:tr>
      <w:tr>
        <w:trPr>
          <w:trHeight w:val="160"/>
        </w:trPr>
        <w:tc>
          <w:tcPr>
            <w:tcW w:w="2480" w:type="dxa"/>
            <w:vAlign w:val="bottom"/>
          </w:tcPr>
          <w:p>
            <w:pPr>
              <w:jc w:val="center"/>
              <w:ind w:right="478"/>
              <w:spacing w:after="0"/>
              <w:rPr>
                <w:sz w:val="20"/>
                <w:szCs w:val="20"/>
                <w:color w:val="auto"/>
              </w:rPr>
            </w:pPr>
            <w:r>
              <w:rPr>
                <w:rFonts w:ascii="Times New Roman" w:cs="Times New Roman" w:eastAsia="Times New Roman" w:hAnsi="Times New Roman"/>
                <w:sz w:val="12"/>
                <w:szCs w:val="12"/>
                <w:color w:val="auto"/>
              </w:rPr>
              <w:t>offices)</w:t>
            </w:r>
          </w:p>
        </w:tc>
        <w:tc>
          <w:tcPr>
            <w:tcW w:w="474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97"/>
        </w:trPr>
        <w:tc>
          <w:tcPr>
            <w:tcW w:w="2480" w:type="dxa"/>
            <w:vAlign w:val="bottom"/>
          </w:tcPr>
          <w:p>
            <w:pPr>
              <w:spacing w:after="0"/>
              <w:rPr>
                <w:sz w:val="24"/>
                <w:szCs w:val="24"/>
                <w:color w:val="auto"/>
              </w:rPr>
            </w:pPr>
          </w:p>
        </w:tc>
        <w:tc>
          <w:tcPr>
            <w:tcW w:w="4740" w:type="dxa"/>
            <w:vAlign w:val="bottom"/>
          </w:tcPr>
          <w:p>
            <w:pPr>
              <w:jc w:val="center"/>
              <w:ind w:right="218"/>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(888) 458-3420</w:t>
            </w:r>
          </w:p>
        </w:tc>
        <w:tc>
          <w:tcPr>
            <w:tcW w:w="1740" w:type="dxa"/>
            <w:vAlign w:val="bottom"/>
          </w:tcPr>
          <w:p>
            <w:pPr>
              <w:spacing w:after="0"/>
              <w:rPr>
                <w:sz w:val="24"/>
                <w:szCs w:val="24"/>
                <w:color w:val="auto"/>
              </w:rPr>
            </w:pPr>
          </w:p>
        </w:tc>
      </w:tr>
      <w:tr>
        <w:trPr>
          <w:trHeight w:val="286"/>
        </w:trPr>
        <w:tc>
          <w:tcPr>
            <w:tcW w:w="2480" w:type="dxa"/>
            <w:vAlign w:val="bottom"/>
          </w:tcPr>
          <w:p>
            <w:pPr>
              <w:spacing w:after="0"/>
              <w:rPr>
                <w:sz w:val="24"/>
                <w:szCs w:val="24"/>
                <w:color w:val="auto"/>
              </w:rPr>
            </w:pPr>
          </w:p>
        </w:tc>
        <w:tc>
          <w:tcPr>
            <w:tcW w:w="4740" w:type="dxa"/>
            <w:vAlign w:val="bottom"/>
          </w:tcPr>
          <w:p>
            <w:pPr>
              <w:jc w:val="center"/>
              <w:ind w:right="238"/>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1740" w:type="dxa"/>
            <w:vAlign w:val="bottom"/>
          </w:tcPr>
          <w:p>
            <w:pPr>
              <w:spacing w:after="0"/>
              <w:rPr>
                <w:sz w:val="24"/>
                <w:szCs w:val="24"/>
                <w:color w:val="auto"/>
              </w:rPr>
            </w:pPr>
          </w:p>
        </w:tc>
      </w:tr>
      <w:tr>
        <w:trPr>
          <w:trHeight w:val="160"/>
        </w:trPr>
        <w:tc>
          <w:tcPr>
            <w:tcW w:w="2480" w:type="dxa"/>
            <w:vAlign w:val="bottom"/>
          </w:tcPr>
          <w:p>
            <w:pPr>
              <w:spacing w:after="0"/>
              <w:rPr>
                <w:sz w:val="13"/>
                <w:szCs w:val="13"/>
                <w:color w:val="auto"/>
              </w:rPr>
            </w:pPr>
          </w:p>
        </w:tc>
        <w:tc>
          <w:tcPr>
            <w:tcW w:w="4740" w:type="dxa"/>
            <w:vAlign w:val="bottom"/>
          </w:tcPr>
          <w:p>
            <w:pPr>
              <w:jc w:val="center"/>
              <w:ind w:right="238"/>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740" w:type="dxa"/>
            <w:vAlign w:val="bottom"/>
          </w:tcPr>
          <w:p>
            <w:pPr>
              <w:spacing w:after="0"/>
              <w:rPr>
                <w:sz w:val="13"/>
                <w:szCs w:val="13"/>
                <w:color w:val="auto"/>
              </w:rPr>
            </w:pPr>
          </w:p>
        </w:tc>
      </w:tr>
    </w:tbl>
    <w:p>
      <w:pPr>
        <w:spacing w:after="0" w:line="137" w:lineRule="exact"/>
        <w:rPr>
          <w:sz w:val="24"/>
          <w:szCs w:val="24"/>
          <w:color w:val="auto"/>
        </w:rPr>
      </w:pPr>
    </w:p>
    <w:p>
      <w:pPr>
        <w:ind w:left="6"/>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226" w:hanging="226"/>
        <w:spacing w:after="0"/>
        <w:tabs>
          <w:tab w:leader="none" w:pos="22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9" w:lineRule="exact"/>
        <w:rPr>
          <w:rFonts w:ascii="MS PGothic" w:cs="MS PGothic" w:eastAsia="MS PGothic" w:hAnsi="MS PGothic"/>
          <w:sz w:val="12"/>
          <w:szCs w:val="12"/>
          <w:color w:val="auto"/>
        </w:rPr>
      </w:pPr>
    </w:p>
    <w:p>
      <w:pPr>
        <w:ind w:left="226" w:hanging="226"/>
        <w:spacing w:after="0"/>
        <w:tabs>
          <w:tab w:leader="none" w:pos="22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9" w:lineRule="exact"/>
        <w:rPr>
          <w:rFonts w:ascii="MS PGothic" w:cs="MS PGothic" w:eastAsia="MS PGothic" w:hAnsi="MS PGothic"/>
          <w:sz w:val="12"/>
          <w:szCs w:val="12"/>
          <w:color w:val="auto"/>
        </w:rPr>
      </w:pPr>
    </w:p>
    <w:p>
      <w:pPr>
        <w:ind w:left="226" w:hanging="226"/>
        <w:spacing w:after="0"/>
        <w:tabs>
          <w:tab w:leader="none" w:pos="22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9" w:lineRule="exact"/>
        <w:rPr>
          <w:rFonts w:ascii="MS PGothic" w:cs="MS PGothic" w:eastAsia="MS PGothic" w:hAnsi="MS PGothic"/>
          <w:sz w:val="12"/>
          <w:szCs w:val="12"/>
          <w:color w:val="auto"/>
        </w:rPr>
      </w:pPr>
    </w:p>
    <w:p>
      <w:pPr>
        <w:ind w:left="6" w:right="5540" w:hanging="6"/>
        <w:spacing w:after="0" w:line="515" w:lineRule="auto"/>
        <w:tabs>
          <w:tab w:leader="none" w:pos="229"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6"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w:t>
            </w:r>
          </w:p>
        </w:tc>
      </w:tr>
      <w:tr>
        <w:trPr>
          <w:trHeight w:val="162"/>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which registered</w:t>
            </w:r>
          </w:p>
        </w:tc>
      </w:tr>
      <w:tr>
        <w:trPr>
          <w:trHeight w:val="126"/>
        </w:trPr>
        <w:tc>
          <w:tcPr>
            <w:tcW w:w="384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color w:val="auto"/>
              </w:rPr>
              <w:t>TMC Common Shares without par value</w:t>
            </w:r>
          </w:p>
        </w:tc>
        <w:tc>
          <w:tcPr>
            <w:tcW w:w="120" w:type="dxa"/>
            <w:vAlign w:val="bottom"/>
          </w:tcPr>
          <w:p>
            <w:pPr>
              <w:spacing w:after="0"/>
              <w:rPr>
                <w:sz w:val="10"/>
                <w:szCs w:val="10"/>
                <w:color w:val="auto"/>
              </w:rPr>
            </w:pPr>
          </w:p>
        </w:tc>
        <w:tc>
          <w:tcPr>
            <w:tcW w:w="36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color w:val="auto"/>
              </w:rPr>
              <w:t>TMC</w:t>
            </w:r>
          </w:p>
        </w:tc>
        <w:tc>
          <w:tcPr>
            <w:tcW w:w="120" w:type="dxa"/>
            <w:vAlign w:val="bottom"/>
          </w:tcPr>
          <w:p>
            <w:pPr>
              <w:spacing w:after="0"/>
              <w:rPr>
                <w:sz w:val="10"/>
                <w:szCs w:val="10"/>
                <w:color w:val="auto"/>
              </w:rPr>
            </w:pPr>
          </w:p>
        </w:tc>
        <w:tc>
          <w:tcPr>
            <w:tcW w:w="36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color w:val="auto"/>
              </w:rPr>
              <w:t>The Nasdaq Stock Market LLC</w:t>
            </w:r>
          </w:p>
        </w:tc>
      </w:tr>
      <w:tr>
        <w:trPr>
          <w:trHeight w:val="149"/>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Redeemable warrants, each whole warrant exercisable for one TMC</w:t>
            </w:r>
          </w:p>
        </w:tc>
        <w:tc>
          <w:tcPr>
            <w:tcW w:w="3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TMCWW</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60"/>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Common Share, each at an exercise price of $11.50 per share</w:t>
            </w:r>
          </w:p>
        </w:tc>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tcPr>
          <w:p>
            <w:pPr>
              <w:spacing w:after="0"/>
              <w:rPr>
                <w:sz w:val="13"/>
                <w:szCs w:val="13"/>
                <w:color w:val="auto"/>
              </w:rPr>
            </w:pPr>
          </w:p>
        </w:tc>
      </w:tr>
    </w:tbl>
    <w:p>
      <w:pPr>
        <w:spacing w:after="0" w:line="137" w:lineRule="exact"/>
        <w:rPr>
          <w:sz w:val="24"/>
          <w:szCs w:val="24"/>
          <w:color w:val="auto"/>
        </w:rPr>
      </w:pPr>
    </w:p>
    <w:p>
      <w:pPr>
        <w:jc w:val="both"/>
        <w:ind w:left="6" w:right="20" w:firstLine="223"/>
        <w:spacing w:after="0" w:line="29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9786"/>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9" w:lineRule="exact"/>
        <w:rPr>
          <w:sz w:val="24"/>
          <w:szCs w:val="24"/>
          <w:color w:val="auto"/>
        </w:rPr>
      </w:pPr>
    </w:p>
    <w:p>
      <w:pPr>
        <w:jc w:val="both"/>
        <w:ind w:left="6" w:right="20" w:firstLine="223"/>
        <w:spacing w:after="0" w:line="165"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748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100330</wp:posOffset>
            </wp:positionV>
            <wp:extent cx="717486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407035</wp:posOffset>
            </wp:positionV>
            <wp:extent cx="71748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524" w:right="299" w:bottom="1440" w:gutter="0" w:footer="0" w:header="0"/>
        </w:sectPr>
      </w:pPr>
    </w:p>
    <w:bookmarkStart w:id="1" w:name="page2"/>
    <w:bookmarkEnd w:id="1"/>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1.01.</w:t>
        <w:tab/>
        <w:t>Entry into Material Definitive Agreement.</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On August 4, 2025, Tonga Offshore Mining Limited (“TOML”), a wholly owned subsidiary of TMC the metals company Inc. (the “Company”), entered into a revised sponsorship agreement (the “Sponsorship Agreement”) with the Kingdom of Tonga, acting through the Tonga Seabed Minerals Authority (“Tonga”), which replaces and supersedes the prior sponsorship agreement dated September 23, 2021. The Sponsorship Agreement formalizes Tonga’s continued support for TOML’s exploration activities under its exploration contract with the International Seabed Authority (“ISA”) within the TOML contract area in the Clarion-Clipperton Zone, and sets forth revised terms governing the relationship between the parties, including certain benefit entitlements to Tonga in connection with potential future commercial production by TOML or other Company subsidiaries.</w:t>
      </w:r>
    </w:p>
    <w:p>
      <w:pPr>
        <w:spacing w:after="0" w:line="12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2"/>
          <w:szCs w:val="12"/>
          <w:color w:val="auto"/>
        </w:rPr>
        <w:t>Pursuant to the Sponsorship Agreement, TOML will continue to be obligated to pay Tonga a seabed mineral recovery payment based on the volume of polymetallic nodules recovered from the ISA contract area, subject to revised commercial criteria, and continuing until termination of the Sponsorship Agreement in accordance with its terms, including upon certain uncured breaches by the other party.</w:t>
      </w:r>
    </w:p>
    <w:p>
      <w:pPr>
        <w:spacing w:after="0" w:line="1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In connection with the Sponsorship Agreement, the Company executed a Deed of Guarantee and Indemnity (the “Deed”) in favor of Tonga, under which the Company guarantees certain financial obligations of TOML under Tongan law and the Sponsorship Agreement, and provides limited indemnification.</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2"/>
          <w:szCs w:val="12"/>
          <w:color w:val="auto"/>
        </w:rPr>
        <w:t>As further described in the Sponsorship Agreement and the Deed, on August 4, 2025, the Company issued to Tonga a warrant to purchase 1,000,000 common shares of the Company (the “Warrant”). The Warrant has an initial exercise price of $5.87 per share, becomes exercisable upon the satisfaction of certain conditions related to U.S. regulatory approvals and the Company’s commercial recovery efforts, as set forth in the Warrant, and expires five years from the date of issuance.</w:t>
      </w:r>
    </w:p>
    <w:p>
      <w:pPr>
        <w:spacing w:after="0" w:line="11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The foregoing descriptions of the Sponsorship Agreement, the Deed, and the Warrant do not purport to be complete and are qualified in their entirety by reference to the full text of each, copies of which are filed as Exhibits 10.1, 10.2, and 4.1, respectively, to this Current Report on Form 8-K and incorporated herein by reference.</w:t>
      </w:r>
    </w:p>
    <w:p>
      <w:pPr>
        <w:spacing w:after="0" w:line="1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2.03.</w:t>
        <w:tab/>
        <w:t>Creation of a Direct Financial Obligation or an Obligation under an Off-Balance Sheet Arrangement of a Registrant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12529"/>
        </w:rPr>
        <w:t>The information set forth in Item 1.01 of this Current Report on Form 8-K is incorporated herein by reference.</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7.01.</w:t>
        <w:tab/>
        <w:t>Regulation FD Disclosure.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Strategy Event</w:t>
      </w:r>
    </w:p>
    <w:p>
      <w:pPr>
        <w:spacing w:after="0" w:line="15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The Company will host a strategy event (the “Strategy Event”) beginning at 9:00 a.m. EDT on August 4, 2025, to discuss the release of a pre-feasibility study in a report titled </w:t>
      </w:r>
      <w:r>
        <w:rPr>
          <w:rFonts w:ascii="Times New Roman" w:cs="Times New Roman" w:eastAsia="Times New Roman" w:hAnsi="Times New Roman"/>
          <w:sz w:val="12"/>
          <w:szCs w:val="12"/>
          <w:i w:val="1"/>
          <w:iCs w:val="1"/>
          <w:color w:val="auto"/>
        </w:rPr>
        <w:t>S-K 1300 NORI Area D Technical Report</w:t>
      </w:r>
      <w:r>
        <w:rPr>
          <w:rFonts w:ascii="Times New Roman" w:cs="Times New Roman" w:eastAsia="Times New Roman" w:hAnsi="Times New Roman"/>
          <w:sz w:val="12"/>
          <w:szCs w:val="12"/>
          <w:color w:val="auto"/>
        </w:rPr>
        <w:t xml:space="preserve">, dated August 4, 2025, the release of an initial assessment in a report titled </w:t>
      </w:r>
      <w:r>
        <w:rPr>
          <w:rFonts w:ascii="Times New Roman" w:cs="Times New Roman" w:eastAsia="Times New Roman" w:hAnsi="Times New Roman"/>
          <w:sz w:val="12"/>
          <w:szCs w:val="12"/>
          <w:i w:val="1"/>
          <w:iCs w:val="1"/>
          <w:color w:val="auto"/>
        </w:rPr>
        <w:t>Technical Report Summary—Initial Assessment of TOML and NORI Properties, Clarion-Clipperton Zone</w:t>
      </w:r>
      <w:r>
        <w:rPr>
          <w:rFonts w:ascii="Times New Roman" w:cs="Times New Roman" w:eastAsia="Times New Roman" w:hAnsi="Times New Roman"/>
          <w:sz w:val="12"/>
          <w:szCs w:val="12"/>
          <w:color w:val="auto"/>
        </w:rPr>
        <w:t>, dated August 4, 2025, the Sponsorship Agreement, and other Company updates. A slideshow presentation (the “Investor Presentation”) will accompany the Strategy Event. A copy of the Investor Presentation is furnished as Exhibit 99.1 to this Current Report on Form 8-K.</w:t>
      </w:r>
    </w:p>
    <w:p>
      <w:pPr>
        <w:spacing w:after="0" w:line="11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The information contained in this Item 7.01, including and the Investor Presentation, is being furnished and shall not be deemed “filed” for purposes of Section 18 of the Securities Exchange Act of 1934, as amended, nor shall it be deemed incorporated by reference into any filing under the Securities Act of 1933, as amended, except as expressly set forth by specific reference in such a filing.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Cautionary Note Regarding Forward-Looking Statements.</w:t>
      </w:r>
    </w:p>
    <w:p>
      <w:pPr>
        <w:spacing w:after="0" w:line="16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Except for historical information contained in this Current Report on Form 8-K (including Exhibit 99.1), this report contains forward-looking statements which involve certain risks and uncertainties that could cause actual results to differ materially from those expressed or implied. Please refer to the cautionary statements included in the Investor Presentation, furnished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2" w:name="page3"/>
    <w:bookmarkEnd w:id="2"/>
    <w:p>
      <w:pPr>
        <w:ind w:left="6"/>
        <w:spacing w:after="0"/>
        <w:tabs>
          <w:tab w:leader="none" w:pos="645" w:val="left"/>
        </w:tabs>
        <w:rPr>
          <w:sz w:val="20"/>
          <w:szCs w:val="20"/>
          <w:color w:val="auto"/>
        </w:rPr>
      </w:pPr>
      <w:r>
        <w:rPr>
          <w:rFonts w:ascii="Times New Roman" w:cs="Times New Roman" w:eastAsia="Times New Roman" w:hAnsi="Times New Roman"/>
          <w:sz w:val="12"/>
          <w:szCs w:val="12"/>
          <w:b w:val="1"/>
          <w:bCs w:val="1"/>
          <w:color w:val="auto"/>
        </w:rPr>
        <w:t>Item 9.01.</w:t>
        <w:tab/>
        <w:t>Financial Statements and Exhibits.</w:t>
      </w:r>
    </w:p>
    <w:p>
      <w:pPr>
        <w:spacing w:after="0" w:line="1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(d) Exhibits.</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63"/>
        </w:trPr>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1"/>
        </w:trPr>
        <w:tc>
          <w:tcPr>
            <w:tcW w:w="28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0000EE"/>
              </w:rPr>
              <w:t>4.</w:t>
            </w:r>
            <w:r>
              <w:rPr>
                <w:rFonts w:ascii="Times New Roman" w:cs="Times New Roman" w:eastAsia="Times New Roman" w:hAnsi="Times New Roman"/>
                <w:sz w:val="12"/>
                <w:szCs w:val="12"/>
                <w:u w:val="single" w:color="auto"/>
                <w:color w:val="0000EE"/>
              </w:rPr>
              <w:t>1</w:t>
            </w:r>
          </w:p>
        </w:tc>
        <w:tc>
          <w:tcPr>
            <w:tcW w:w="840" w:type="dxa"/>
            <w:vAlign w:val="bottom"/>
          </w:tcPr>
          <w:p>
            <w:pPr>
              <w:spacing w:after="0"/>
              <w:rPr>
                <w:sz w:val="9"/>
                <w:szCs w:val="9"/>
                <w:color w:val="auto"/>
              </w:rPr>
            </w:pPr>
          </w:p>
        </w:tc>
        <w:tc>
          <w:tcPr>
            <w:tcW w:w="1018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0000EE"/>
              </w:rPr>
              <w:t>Common Share Purchase Warrant, dated August 4, 2025, issued to The Kingdom of Tonga</w:t>
            </w:r>
          </w:p>
        </w:tc>
      </w:tr>
      <w:tr>
        <w:trPr>
          <w:trHeight w:val="20"/>
        </w:trPr>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29"/>
        </w:trPr>
        <w:tc>
          <w:tcPr>
            <w:tcW w:w="28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0000EE"/>
                <w:w w:val="96"/>
              </w:rPr>
              <w:t>10.</w:t>
            </w:r>
            <w:r>
              <w:rPr>
                <w:rFonts w:ascii="Times New Roman" w:cs="Times New Roman" w:eastAsia="Times New Roman" w:hAnsi="Times New Roman"/>
                <w:sz w:val="12"/>
                <w:szCs w:val="12"/>
                <w:u w:val="single" w:color="auto"/>
                <w:color w:val="0000EE"/>
                <w:w w:val="96"/>
              </w:rPr>
              <w:t>1†</w:t>
            </w:r>
          </w:p>
        </w:tc>
        <w:tc>
          <w:tcPr>
            <w:tcW w:w="840" w:type="dxa"/>
            <w:vAlign w:val="bottom"/>
          </w:tcPr>
          <w:p>
            <w:pPr>
              <w:spacing w:after="0"/>
              <w:rPr>
                <w:sz w:val="11"/>
                <w:szCs w:val="11"/>
                <w:color w:val="auto"/>
              </w:rPr>
            </w:pPr>
          </w:p>
        </w:tc>
        <w:tc>
          <w:tcPr>
            <w:tcW w:w="10180" w:type="dxa"/>
            <w:vAlign w:val="bottom"/>
            <w:gridSpan w:val="5"/>
          </w:tcPr>
          <w:p>
            <w:pPr>
              <w:spacing w:after="0" w:line="129" w:lineRule="exact"/>
              <w:rPr>
                <w:sz w:val="20"/>
                <w:szCs w:val="20"/>
                <w:color w:val="auto"/>
              </w:rPr>
            </w:pPr>
            <w:r>
              <w:rPr>
                <w:rFonts w:ascii="Times New Roman" w:cs="Times New Roman" w:eastAsia="Times New Roman" w:hAnsi="Times New Roman"/>
                <w:sz w:val="12"/>
                <w:szCs w:val="12"/>
                <w:color w:val="0000EE"/>
              </w:rPr>
              <w:t>Sponsorship Agreement, dated August 4, 2025, among The Government of The Kingdom of Tonga and Tonga Offshore Mining Limited</w:t>
            </w:r>
          </w:p>
        </w:tc>
      </w:tr>
      <w:tr>
        <w:trPr>
          <w:trHeight w:val="129"/>
        </w:trPr>
        <w:tc>
          <w:tcPr>
            <w:tcW w:w="280" w:type="dxa"/>
            <w:vAlign w:val="bottom"/>
            <w:tcBorders>
              <w:top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2"/>
                <w:szCs w:val="12"/>
                <w:color w:val="0000EE"/>
                <w:w w:val="96"/>
              </w:rPr>
              <w:t>10.</w:t>
            </w:r>
            <w:r>
              <w:rPr>
                <w:rFonts w:ascii="Times New Roman" w:cs="Times New Roman" w:eastAsia="Times New Roman" w:hAnsi="Times New Roman"/>
                <w:sz w:val="12"/>
                <w:szCs w:val="12"/>
                <w:u w:val="single" w:color="auto"/>
                <w:color w:val="0000EE"/>
                <w:w w:val="96"/>
              </w:rPr>
              <w:t>2†</w:t>
            </w:r>
          </w:p>
        </w:tc>
        <w:tc>
          <w:tcPr>
            <w:tcW w:w="840" w:type="dxa"/>
            <w:vAlign w:val="bottom"/>
          </w:tcPr>
          <w:p>
            <w:pPr>
              <w:spacing w:after="0"/>
              <w:rPr>
                <w:sz w:val="11"/>
                <w:szCs w:val="11"/>
                <w:color w:val="auto"/>
              </w:rPr>
            </w:pPr>
          </w:p>
        </w:tc>
        <w:tc>
          <w:tcPr>
            <w:tcW w:w="6760" w:type="dxa"/>
            <w:vAlign w:val="bottom"/>
            <w:tcBorders>
              <w:top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2"/>
                <w:szCs w:val="12"/>
                <w:color w:val="0000EE"/>
              </w:rPr>
              <w:t>Deed of Guarantee and Indemnity, dated August 4, 2025, by TMC the metals company Inc. in favor of The Kingdom of Tonga</w:t>
            </w:r>
          </w:p>
        </w:tc>
        <w:tc>
          <w:tcPr>
            <w:tcW w:w="3420" w:type="dxa"/>
            <w:vAlign w:val="bottom"/>
          </w:tcPr>
          <w:p>
            <w:pPr>
              <w:spacing w:after="0"/>
              <w:rPr>
                <w:sz w:val="11"/>
                <w:szCs w:val="11"/>
                <w:color w:val="auto"/>
              </w:rPr>
            </w:pPr>
          </w:p>
        </w:tc>
      </w:tr>
      <w:tr>
        <w:trPr>
          <w:trHeight w:val="129"/>
        </w:trPr>
        <w:tc>
          <w:tcPr>
            <w:tcW w:w="280" w:type="dxa"/>
            <w:vAlign w:val="bottom"/>
            <w:tcBorders>
              <w:top w:val="single" w:sz="8" w:color="0000EE"/>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2"/>
                <w:szCs w:val="12"/>
                <w:color w:val="0000EE"/>
                <w:w w:val="96"/>
              </w:rPr>
              <w:t>99.</w:t>
            </w:r>
            <w:r>
              <w:rPr>
                <w:rFonts w:ascii="Times New Roman" w:cs="Times New Roman" w:eastAsia="Times New Roman" w:hAnsi="Times New Roman"/>
                <w:sz w:val="12"/>
                <w:szCs w:val="12"/>
                <w:u w:val="single" w:color="auto"/>
                <w:color w:val="0000EE"/>
                <w:w w:val="96"/>
              </w:rPr>
              <w:t>1*</w:t>
            </w:r>
          </w:p>
        </w:tc>
        <w:tc>
          <w:tcPr>
            <w:tcW w:w="840" w:type="dxa"/>
            <w:vAlign w:val="bottom"/>
          </w:tcPr>
          <w:p>
            <w:pPr>
              <w:spacing w:after="0"/>
              <w:rPr>
                <w:sz w:val="11"/>
                <w:szCs w:val="11"/>
                <w:color w:val="auto"/>
              </w:rPr>
            </w:pPr>
          </w:p>
        </w:tc>
        <w:tc>
          <w:tcPr>
            <w:tcW w:w="1060" w:type="dxa"/>
            <w:vAlign w:val="bottom"/>
            <w:tcBorders>
              <w:top w:val="single" w:sz="8" w:color="0000EE"/>
              <w:bottom w:val="single" w:sz="8" w:color="0000EE"/>
            </w:tcBorders>
          </w:tcPr>
          <w:p>
            <w:pPr>
              <w:spacing w:after="0" w:line="129" w:lineRule="exact"/>
              <w:rPr>
                <w:sz w:val="20"/>
                <w:szCs w:val="20"/>
                <w:color w:val="auto"/>
              </w:rPr>
            </w:pPr>
            <w:r>
              <w:rPr>
                <w:rFonts w:ascii="Times New Roman" w:cs="Times New Roman" w:eastAsia="Times New Roman" w:hAnsi="Times New Roman"/>
                <w:sz w:val="12"/>
                <w:szCs w:val="12"/>
                <w:color w:val="0000EE"/>
              </w:rPr>
              <w:t>Investor Presentation</w:t>
            </w:r>
          </w:p>
        </w:tc>
        <w:tc>
          <w:tcPr>
            <w:tcW w:w="5220" w:type="dxa"/>
            <w:vAlign w:val="bottom"/>
            <w:tcBorders>
              <w:top w:val="single" w:sz="8" w:color="0000EE"/>
            </w:tcBorders>
            <w:gridSpan w:val="2"/>
          </w:tcPr>
          <w:p>
            <w:pPr>
              <w:spacing w:after="0"/>
              <w:rPr>
                <w:sz w:val="11"/>
                <w:szCs w:val="11"/>
                <w:color w:val="auto"/>
              </w:rPr>
            </w:pPr>
          </w:p>
        </w:tc>
        <w:tc>
          <w:tcPr>
            <w:tcW w:w="3900" w:type="dxa"/>
            <w:vAlign w:val="bottom"/>
            <w:gridSpan w:val="2"/>
          </w:tcPr>
          <w:p>
            <w:pPr>
              <w:spacing w:after="0"/>
              <w:rPr>
                <w:sz w:val="11"/>
                <w:szCs w:val="11"/>
                <w:color w:val="auto"/>
              </w:rPr>
            </w:pPr>
          </w:p>
        </w:tc>
      </w:tr>
      <w:tr>
        <w:trPr>
          <w:trHeight w:val="155"/>
        </w:trPr>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104</w:t>
            </w:r>
          </w:p>
        </w:tc>
        <w:tc>
          <w:tcPr>
            <w:tcW w:w="840" w:type="dxa"/>
            <w:vAlign w:val="bottom"/>
          </w:tcPr>
          <w:p>
            <w:pPr>
              <w:spacing w:after="0"/>
              <w:rPr>
                <w:sz w:val="13"/>
                <w:szCs w:val="13"/>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137" w:lineRule="exact"/>
        <w:rPr>
          <w:sz w:val="20"/>
          <w:szCs w:val="20"/>
          <w:color w:val="auto"/>
        </w:rPr>
      </w:pPr>
    </w:p>
    <w:p>
      <w:pPr>
        <w:ind w:left="6" w:right="20" w:hanging="6"/>
        <w:spacing w:after="0" w:line="297" w:lineRule="auto"/>
        <w:tabs>
          <w:tab w:leader="none" w:pos="109"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 The foregoing exhibit relating to Item 7.01 is intended to be furnished to, not filed with, the Securities and Exchange Commission pursuant to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309880</wp:posOffset>
            </wp:positionV>
            <wp:extent cx="71748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940" w:type="dxa"/>
            <w:vAlign w:val="bottom"/>
            <w:gridSpan w:val="2"/>
          </w:tcPr>
          <w:p>
            <w:pPr>
              <w:ind w:left="2300"/>
              <w:spacing w:after="0"/>
              <w:rPr>
                <w:sz w:val="20"/>
                <w:szCs w:val="20"/>
                <w:color w:val="auto"/>
              </w:rPr>
            </w:pPr>
            <w:r>
              <w:rPr>
                <w:rFonts w:ascii="Times New Roman" w:cs="Times New Roman" w:eastAsia="Times New Roman" w:hAnsi="Times New Roman"/>
                <w:sz w:val="12"/>
                <w:szCs w:val="12"/>
                <w:b w:val="1"/>
                <w:bCs w:val="1"/>
                <w:color w:val="auto"/>
              </w:rPr>
              <w:t>TMC THE METALS COMPANY INC.</w:t>
            </w: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Date: August 4, 2025</w:t>
            </w:r>
          </w:p>
        </w:tc>
        <w:tc>
          <w:tcPr>
            <w:tcW w:w="28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Craig Shesky</w:t>
            </w:r>
          </w:p>
        </w:tc>
      </w:tr>
      <w:tr>
        <w:trPr>
          <w:trHeight w:val="126"/>
        </w:trPr>
        <w:tc>
          <w:tcPr>
            <w:tcW w:w="3360" w:type="dxa"/>
            <w:vAlign w:val="bottom"/>
          </w:tcPr>
          <w:p>
            <w:pPr>
              <w:spacing w:after="0"/>
              <w:rPr>
                <w:sz w:val="10"/>
                <w:szCs w:val="10"/>
                <w:color w:val="auto"/>
              </w:rPr>
            </w:pPr>
          </w:p>
        </w:tc>
        <w:tc>
          <w:tcPr>
            <w:tcW w:w="2860" w:type="dxa"/>
            <w:vAlign w:val="bottom"/>
          </w:tcPr>
          <w:p>
            <w:pPr>
              <w:ind w:left="2300"/>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Craig Shesky</w:t>
            </w:r>
          </w:p>
        </w:tc>
      </w:tr>
      <w:tr>
        <w:trPr>
          <w:trHeight w:val="160"/>
        </w:trPr>
        <w:tc>
          <w:tcPr>
            <w:tcW w:w="3360" w:type="dxa"/>
            <w:vAlign w:val="bottom"/>
          </w:tcPr>
          <w:p>
            <w:pPr>
              <w:spacing w:after="0"/>
              <w:rPr>
                <w:sz w:val="13"/>
                <w:szCs w:val="13"/>
                <w:color w:val="auto"/>
              </w:rPr>
            </w:pPr>
          </w:p>
        </w:tc>
        <w:tc>
          <w:tcPr>
            <w:tcW w:w="286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466"/>
        </w:trPr>
        <w:tc>
          <w:tcPr>
            <w:tcW w:w="3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4" w:name="page5"/>
    <w:bookmarkEnd w:id="4"/>
    <w:p>
      <w:pPr>
        <w:ind w:left="10600"/>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NEITHER THE ISSUANCE AND SALE OF THE SECURITIES REPRESENTED BY THIS WARRANT NOR THE SECURITIES INTO WHICH THESE SECURITIES ARE EXERCISABLE HAVE BEEN REGISTERED UNDER THE SECURITIES ACT OF 1933, AS AMENDED, OR APPLICABLE STATE SECURITIES LAWS. THESE SECURITIES MAY NOT BE OFFERED FOR SALE, SOLD, TRANSFERRED OR ASSIGNED (I) IN THE ABSENCE OF (A) AN EFFECTIVE REGISTRATION STATEMENT FOR THE SECURITIES UNDER THE SECURITIES ACT OF 1933, AS AMENDED, OR (B) AN OPINION OF COUNSEL TO THE HOLDER (IF REQUESTED BY THE COMPANY (AS DEFINED BELOW)), IN A FORM REASONABLY ACCEPTABLE TO THE COMPANY, THAT REGISTRATION IS NOT REQUIRED UNDER SAID ACT OR (II) UNLESS SOLD OR ELIGIBLE TO BE SOLD PURSUANT TO RULE 144 OR RULE 144A UNDER SAID ACT. THE NUMBER OF COMMON SHARES ISSUABLE UPON EXERCISE OF THIS WARRANT MAY BE LESS THAN THE AMOUNTS SET FORTH ON THE FACE HEREOF PURSUANT TO SECTION 2(a) OF THIS WARRANT.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 SHARE PURCHASE WARRANT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TMC THE METALS COMPANY INC.</w:t>
      </w:r>
    </w:p>
    <w:p>
      <w:pPr>
        <w:spacing w:after="0" w:line="161" w:lineRule="exact"/>
        <w:rPr>
          <w:sz w:val="20"/>
          <w:szCs w:val="20"/>
          <w:color w:val="auto"/>
        </w:rPr>
      </w:pPr>
    </w:p>
    <w:p>
      <w:pPr>
        <w:spacing w:after="0"/>
        <w:tabs>
          <w:tab w:leader="none" w:pos="9900" w:val="left"/>
        </w:tabs>
        <w:rPr>
          <w:sz w:val="20"/>
          <w:szCs w:val="20"/>
          <w:color w:val="auto"/>
        </w:rPr>
      </w:pPr>
      <w:r>
        <w:rPr>
          <w:rFonts w:ascii="Times New Roman" w:cs="Times New Roman" w:eastAsia="Times New Roman" w:hAnsi="Times New Roman"/>
          <w:sz w:val="12"/>
          <w:szCs w:val="12"/>
          <w:color w:val="auto"/>
        </w:rPr>
        <w:t>Warrant Shares: 1,000,000</w:t>
      </w:r>
      <w:r>
        <w:rPr>
          <w:sz w:val="20"/>
          <w:szCs w:val="20"/>
          <w:color w:val="auto"/>
        </w:rPr>
        <w:tab/>
      </w:r>
      <w:r>
        <w:rPr>
          <w:rFonts w:ascii="Times New Roman" w:cs="Times New Roman" w:eastAsia="Times New Roman" w:hAnsi="Times New Roman"/>
          <w:sz w:val="12"/>
          <w:szCs w:val="12"/>
          <w:color w:val="auto"/>
        </w:rPr>
        <w:t>Issue Date: August 4, 2025</w:t>
      </w:r>
    </w:p>
    <w:p>
      <w:pPr>
        <w:spacing w:after="0" w:line="157" w:lineRule="exact"/>
        <w:rPr>
          <w:sz w:val="20"/>
          <w:szCs w:val="20"/>
          <w:color w:val="auto"/>
        </w:rPr>
      </w:pPr>
    </w:p>
    <w:p>
      <w:pPr>
        <w:jc w:val="both"/>
        <w:ind w:right="20" w:firstLine="446"/>
        <w:spacing w:after="0" w:line="272" w:lineRule="auto"/>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b w:val="1"/>
          <w:bCs w:val="1"/>
          <w:color w:val="auto"/>
        </w:rPr>
        <w:t>COMMON SHARE PURCHASE WARRANT</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Warrant</w:t>
      </w:r>
      <w:r>
        <w:rPr>
          <w:rFonts w:ascii="Times New Roman" w:cs="Times New Roman" w:eastAsia="Times New Roman" w:hAnsi="Times New Roman"/>
          <w:sz w:val="12"/>
          <w:szCs w:val="12"/>
          <w:color w:val="auto"/>
        </w:rPr>
        <w:t xml:space="preserve">”) certifies that, for value received, </w:t>
      </w:r>
      <w:r>
        <w:rPr>
          <w:rFonts w:ascii="Times New Roman" w:cs="Times New Roman" w:eastAsia="Times New Roman" w:hAnsi="Times New Roman"/>
          <w:sz w:val="12"/>
          <w:szCs w:val="12"/>
          <w:b w:val="1"/>
          <w:bCs w:val="1"/>
          <w:color w:val="auto"/>
        </w:rPr>
        <w:t>The Kingdom of Tonga</w:t>
      </w:r>
      <w:r>
        <w:rPr>
          <w:rFonts w:ascii="Times New Roman" w:cs="Times New Roman" w:eastAsia="Times New Roman" w:hAnsi="Times New Roman"/>
          <w:sz w:val="12"/>
          <w:szCs w:val="12"/>
          <w:color w:val="auto"/>
        </w:rPr>
        <w:t xml:space="preserve"> or its assigns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is entitled, upon the terms and subject to the limitations on exercise and the conditions hereinafter set forth, at any time on or after the issue date set forth above (the “</w:t>
      </w:r>
      <w:r>
        <w:rPr>
          <w:rFonts w:ascii="Times New Roman" w:cs="Times New Roman" w:eastAsia="Times New Roman" w:hAnsi="Times New Roman"/>
          <w:sz w:val="12"/>
          <w:szCs w:val="12"/>
          <w:u w:val="single" w:color="auto"/>
          <w:color w:val="auto"/>
        </w:rPr>
        <w:t>Issue Date</w:t>
      </w:r>
      <w:r>
        <w:rPr>
          <w:rFonts w:ascii="Times New Roman" w:cs="Times New Roman" w:eastAsia="Times New Roman" w:hAnsi="Times New Roman"/>
          <w:sz w:val="12"/>
          <w:szCs w:val="12"/>
          <w:color w:val="auto"/>
        </w:rPr>
        <w:t>”) and on or prior to 5:00 p.m. (New York City time) on August 4, 2033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xml:space="preserve">”) but not thereafter, to subscribe for and purchase from </w:t>
      </w:r>
      <w:r>
        <w:rPr>
          <w:rFonts w:ascii="Times New Roman" w:cs="Times New Roman" w:eastAsia="Times New Roman" w:hAnsi="Times New Roman"/>
          <w:sz w:val="12"/>
          <w:szCs w:val="12"/>
          <w:b w:val="1"/>
          <w:bCs w:val="1"/>
          <w:color w:val="auto"/>
        </w:rPr>
        <w:t>TMC the metals company Inc.</w:t>
      </w:r>
      <w:r>
        <w:rPr>
          <w:rFonts w:ascii="Times New Roman" w:cs="Times New Roman" w:eastAsia="Times New Roman" w:hAnsi="Times New Roman"/>
          <w:sz w:val="12"/>
          <w:szCs w:val="12"/>
          <w:color w:val="auto"/>
        </w:rPr>
        <w:t>, a corporation incorporated under the laws of the Province of British Columbia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up to one million common shares (as subject to adjustment hereunder, the “</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of the Company, no par value per share (the “</w:t>
      </w:r>
      <w:r>
        <w:rPr>
          <w:rFonts w:ascii="Times New Roman" w:cs="Times New Roman" w:eastAsia="Times New Roman" w:hAnsi="Times New Roman"/>
          <w:sz w:val="12"/>
          <w:szCs w:val="12"/>
          <w:u w:val="single" w:color="auto"/>
          <w:color w:val="auto"/>
        </w:rPr>
        <w:t>Common Shares</w:t>
      </w:r>
      <w:r>
        <w:rPr>
          <w:rFonts w:ascii="Times New Roman" w:cs="Times New Roman" w:eastAsia="Times New Roman" w:hAnsi="Times New Roman"/>
          <w:sz w:val="12"/>
          <w:szCs w:val="12"/>
          <w:color w:val="auto"/>
        </w:rPr>
        <w:t>”). The purchase price of one Common Share under this Warrant shall be equal to the Exercise Price (as defined below).</w:t>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All capitalized terms used herein shall have the meaning ascribed thereto as set forth herein. As used herein:</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Continuity Conditions</w:t>
      </w:r>
      <w:r>
        <w:rPr>
          <w:rFonts w:ascii="Times New Roman" w:cs="Times New Roman" w:eastAsia="Times New Roman" w:hAnsi="Times New Roman"/>
          <w:sz w:val="12"/>
          <w:szCs w:val="12"/>
          <w:color w:val="auto"/>
        </w:rPr>
        <w:t>” shall have the meaning ascribed thereto in the Sponsorship Agreement.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 means US$5.87 per Common Share, subject to adjustment as set forth in this Warrant.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w:t>
      </w:r>
    </w:p>
    <w:p>
      <w:pPr>
        <w:spacing w:after="0" w:line="159" w:lineRule="exact"/>
        <w:rPr>
          <w:sz w:val="20"/>
          <w:szCs w:val="20"/>
          <w:color w:val="auto"/>
        </w:rPr>
      </w:pPr>
    </w:p>
    <w:p>
      <w:pPr>
        <w:jc w:val="both"/>
        <w:ind w:firstLine="446"/>
        <w:spacing w:after="0" w:line="29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Sponsorship Agreement</w:t>
      </w:r>
      <w:r>
        <w:rPr>
          <w:rFonts w:ascii="Times New Roman" w:cs="Times New Roman" w:eastAsia="Times New Roman" w:hAnsi="Times New Roman"/>
          <w:sz w:val="12"/>
          <w:szCs w:val="12"/>
          <w:color w:val="auto"/>
        </w:rPr>
        <w:t>” means that certain Sponsorship Agreement by and among the Holder, the Tonga Seabed Minerals Authority and Tonga Offshore Mining Ltd., dated on or about the Issue Date, as the same may be amended and/or restated from time to time.</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Day</w:t>
      </w:r>
      <w:r>
        <w:rPr>
          <w:rFonts w:ascii="Times New Roman" w:cs="Times New Roman" w:eastAsia="Times New Roman" w:hAnsi="Times New Roman"/>
          <w:sz w:val="12"/>
          <w:szCs w:val="12"/>
          <w:color w:val="auto"/>
        </w:rPr>
        <w:t>” means a day on which the Common Shares is traded on a Trading Market.</w:t>
      </w:r>
    </w:p>
    <w:p>
      <w:pPr>
        <w:spacing w:after="0" w:line="159" w:lineRule="exact"/>
        <w:rPr>
          <w:sz w:val="20"/>
          <w:szCs w:val="20"/>
          <w:color w:val="auto"/>
        </w:rPr>
      </w:pPr>
    </w:p>
    <w:p>
      <w:pPr>
        <w:jc w:val="both"/>
        <w:ind w:right="20" w:firstLine="446"/>
        <w:spacing w:after="0" w:line="29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Market</w:t>
      </w:r>
      <w:r>
        <w:rPr>
          <w:rFonts w:ascii="Times New Roman" w:cs="Times New Roman" w:eastAsia="Times New Roman" w:hAnsi="Times New Roman"/>
          <w:sz w:val="12"/>
          <w:szCs w:val="12"/>
          <w:color w:val="auto"/>
        </w:rPr>
        <w:t>” means any of the following markets or exchanges on which the Common Shares are listed or quoted for trading on the date in question: the NYSE American, the Nasdaq Capital Market, the Nasdaq Global Market, the Nasdaq Global Select Market, the New York Stock Exchange, the OTCQB or the OTCQX (or any successors to any of the foregoing).</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means Continental Stock Transfer &amp; Trust Company, and any successor transfer agent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Exercise</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jc w:val="both"/>
        <w:ind w:firstLine="446"/>
        <w:spacing w:after="0" w:line="262" w:lineRule="auto"/>
        <w:tabs>
          <w:tab w:leader="none" w:pos="573"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Exercise of Warrant</w:t>
      </w:r>
      <w:r>
        <w:rPr>
          <w:rFonts w:ascii="Times New Roman" w:cs="Times New Roman" w:eastAsia="Times New Roman" w:hAnsi="Times New Roman"/>
          <w:sz w:val="12"/>
          <w:szCs w:val="12"/>
          <w:color w:val="auto"/>
        </w:rPr>
        <w:t>. Exercise of the purchase rights represented by this Warrant may be made, in whole or in part, at any time or times on or after the Issue Date, provided that the Continuity Conditions have occurred,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2"/>
          <w:szCs w:val="12"/>
          <w:u w:val="single" w:color="auto"/>
          <w:color w:val="auto"/>
        </w:rPr>
        <w:t>Notice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Exercise</w:t>
      </w:r>
      <w:r>
        <w:rPr>
          <w:rFonts w:ascii="Times New Roman" w:cs="Times New Roman" w:eastAsia="Times New Roman" w:hAnsi="Times New Roman"/>
          <w:sz w:val="12"/>
          <w:szCs w:val="12"/>
          <w:color w:val="auto"/>
        </w:rPr>
        <w:t>”). Within one (1) Trading Day following the date of exercise as aforesaid, the Holder shall deliver the aggregate Exercise Price for the Warrant Shares specified in the applicable Notice of Exercise by wire transfer to the Company. No ink-original Notice of Exercise shall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w:t>
      </w:r>
    </w:p>
    <w:p>
      <w:pPr>
        <w:spacing w:after="0" w:line="1" w:lineRule="exact"/>
        <w:rPr>
          <w:rFonts w:ascii="Times New Roman" w:cs="Times New Roman" w:eastAsia="Times New Roman" w:hAnsi="Times New Roman"/>
          <w:sz w:val="12"/>
          <w:szCs w:val="12"/>
          <w:color w:val="auto"/>
        </w:rPr>
      </w:pPr>
    </w:p>
    <w:p>
      <w:pPr>
        <w:jc w:val="both"/>
        <w:spacing w:after="0" w:line="262" w:lineRule="auto"/>
        <w:tabs>
          <w:tab w:leader="none" w:pos="18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2"/>
          <w:szCs w:val="12"/>
          <w:b w:val="1"/>
          <w:bCs w:val="1"/>
          <w:color w:val="auto"/>
        </w:rPr>
        <w:t>The Holder and any assignee, by acceptance of this Warrant, acknowledges and agrees that (i) by reason of the provisions of this paragraph, following the purchase of a portion of the Warrant Shares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hereunder, the number of Warrant Shares available for purchase hereunder at any given time may be less than the amount stated on the face hereof, (ii) this Warrant may not be exercised in whole or in part unless and until the Continuity Conditions have occurred and (iii) this Warrant may not be “cashless” or “net” exercised.</w:t>
      </w:r>
    </w:p>
    <w:p>
      <w:pPr>
        <w:spacing w:after="0" w:line="125" w:lineRule="exact"/>
        <w:rPr>
          <w:rFonts w:ascii="Times New Roman" w:cs="Times New Roman" w:eastAsia="Times New Roman" w:hAnsi="Times New Roman"/>
          <w:sz w:val="12"/>
          <w:szCs w:val="12"/>
          <w:color w:val="auto"/>
        </w:rPr>
      </w:pPr>
    </w:p>
    <w:p>
      <w:pPr>
        <w:ind w:left="580" w:hanging="134"/>
        <w:spacing w:after="0"/>
        <w:tabs>
          <w:tab w:leader="none" w:pos="58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Mechanics of Exercise</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jc w:val="both"/>
        <w:ind w:left="900" w:firstLine="446"/>
        <w:spacing w:after="0" w:line="266"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Delivery of Warrant Shares Upon Exercise</w:t>
      </w:r>
      <w:r>
        <w:rPr>
          <w:rFonts w:ascii="Times New Roman" w:cs="Times New Roman" w:eastAsia="Times New Roman" w:hAnsi="Times New Roman"/>
          <w:sz w:val="12"/>
          <w:szCs w:val="12"/>
          <w:color w:val="auto"/>
        </w:rPr>
        <w:t>. The Company shall cause the Warrant Shares purchased hereunder to be issued by the Transfer Agent to the Holder in global form through a book-entry account maintained by the Transfer Agent (including by providing the Holder a copy of the irrevocable instructions delivered by the Company to the Transfer Agent instructing the Transfer Agent to issue the Warrant Shares to the Holder by crediting the Warrant Shares to the respective account of the Holder on the Transfer Agent’s book-entry system and confirmation from the Transfer Agent that such Warrant Shares were so issued), which Warrant Shares shall be appropriately legended in accordance with Section 4(e), in each case for the number of Warrant Shares to which the Holder is entitled pursuant to such exercise to the address specified by the Holder in the Notice of Exercise by the date that is two (2) Trading Days after receipt of the aggregate Exercise Price by the Company (such date, the “</w:t>
      </w:r>
      <w:r>
        <w:rPr>
          <w:rFonts w:ascii="Times New Roman" w:cs="Times New Roman" w:eastAsia="Times New Roman" w:hAnsi="Times New Roman"/>
          <w:sz w:val="12"/>
          <w:szCs w:val="12"/>
          <w:u w:val="single" w:color="auto"/>
          <w:color w:val="auto"/>
        </w:rPr>
        <w:t>Warrant Share Delivery Date</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jc w:val="both"/>
        <w:ind w:left="900" w:right="20" w:firstLine="446"/>
        <w:spacing w:after="0" w:line="278" w:lineRule="auto"/>
        <w:rPr>
          <w:sz w:val="20"/>
          <w:szCs w:val="20"/>
          <w:color w:val="auto"/>
        </w:rPr>
      </w:pPr>
      <w:r>
        <w:rPr>
          <w:rFonts w:ascii="Times New Roman" w:cs="Times New Roman" w:eastAsia="Times New Roman" w:hAnsi="Times New Roman"/>
          <w:sz w:val="12"/>
          <w:szCs w:val="12"/>
          <w:color w:val="auto"/>
        </w:rPr>
        <w:t>ii.</w:t>
      </w:r>
      <w:r>
        <w:rPr>
          <w:rFonts w:ascii="Times New Roman" w:cs="Times New Roman" w:eastAsia="Times New Roman" w:hAnsi="Times New Roman"/>
          <w:sz w:val="12"/>
          <w:szCs w:val="12"/>
          <w:u w:val="single" w:color="auto"/>
          <w:color w:val="auto"/>
        </w:rPr>
        <w:t> Delivery of New Warrants Upon Exercise</w:t>
      </w:r>
      <w:r>
        <w:rPr>
          <w:rFonts w:ascii="Times New Roman" w:cs="Times New Roman" w:eastAsia="Times New Roman" w:hAnsi="Times New Roman"/>
          <w:sz w:val="12"/>
          <w:szCs w:val="1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15" w:lineRule="exact"/>
        <w:rPr>
          <w:sz w:val="20"/>
          <w:szCs w:val="20"/>
          <w:color w:val="auto"/>
        </w:rPr>
      </w:pPr>
    </w:p>
    <w:p>
      <w:pPr>
        <w:jc w:val="both"/>
        <w:ind w:left="900" w:firstLine="446"/>
        <w:spacing w:after="0" w:line="297" w:lineRule="auto"/>
        <w:rPr>
          <w:sz w:val="20"/>
          <w:szCs w:val="20"/>
          <w:color w:val="auto"/>
        </w:rPr>
      </w:pPr>
      <w:r>
        <w:rPr>
          <w:rFonts w:ascii="Times New Roman" w:cs="Times New Roman" w:eastAsia="Times New Roman" w:hAnsi="Times New Roman"/>
          <w:sz w:val="12"/>
          <w:szCs w:val="12"/>
          <w:color w:val="auto"/>
        </w:rPr>
        <w:t>iii.</w:t>
      </w:r>
      <w:r>
        <w:rPr>
          <w:rFonts w:ascii="Times New Roman" w:cs="Times New Roman" w:eastAsia="Times New Roman" w:hAnsi="Times New Roman"/>
          <w:sz w:val="12"/>
          <w:szCs w:val="12"/>
          <w:u w:val="single" w:color="auto"/>
          <w:color w:val="auto"/>
        </w:rPr>
        <w:t> Rescission Rights</w:t>
      </w:r>
      <w:r>
        <w:rPr>
          <w:rFonts w:ascii="Times New Roman" w:cs="Times New Roman" w:eastAsia="Times New Roman" w:hAnsi="Times New Roman"/>
          <w:sz w:val="12"/>
          <w:szCs w:val="12"/>
          <w:color w:val="auto"/>
        </w:rPr>
        <w:t>. If the Company fails to cause the Transfer Agent to transmit to the Holder the Warrant Shares pursuant to Section 2(b)(i) by the Warrant Share Delivery Date, then the Holder will have the right to rescind such exercise.</w:t>
      </w: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6" w:right="299" w:bottom="1440" w:gutter="0" w:footer="0" w:header="0"/>
        </w:sectPr>
      </w:pPr>
    </w:p>
    <w:bookmarkStart w:id="6" w:name="page7"/>
    <w:bookmarkEnd w:id="6"/>
    <w:p>
      <w:pPr>
        <w:jc w:val="both"/>
        <w:ind w:left="200" w:firstLine="446"/>
        <w:spacing w:after="0" w:line="261" w:lineRule="auto"/>
        <w:rPr>
          <w:sz w:val="20"/>
          <w:szCs w:val="20"/>
          <w:color w:val="auto"/>
        </w:rPr>
      </w:pPr>
      <w:r>
        <w:rPr>
          <w:rFonts w:ascii="Times New Roman" w:cs="Times New Roman" w:eastAsia="Times New Roman" w:hAnsi="Times New Roman"/>
          <w:sz w:val="12"/>
          <w:szCs w:val="12"/>
          <w:color w:val="auto"/>
        </w:rPr>
        <w:t>iv.</w:t>
      </w:r>
      <w:r>
        <w:rPr>
          <w:rFonts w:ascii="Times New Roman" w:cs="Times New Roman" w:eastAsia="Times New Roman" w:hAnsi="Times New Roman"/>
          <w:sz w:val="12"/>
          <w:szCs w:val="12"/>
          <w:u w:val="single" w:color="auto"/>
          <w:color w:val="auto"/>
        </w:rPr>
        <w:t> Compensation for Buy-In on Failure to Timely Deliver Warrant Shares Upon Exercise</w:t>
      </w:r>
      <w:r>
        <w:rPr>
          <w:rFonts w:ascii="Times New Roman" w:cs="Times New Roman" w:eastAsia="Times New Roman" w:hAnsi="Times New Roman"/>
          <w:sz w:val="12"/>
          <w:szCs w:val="12"/>
          <w:color w:val="auto"/>
        </w:rPr>
        <w:t>. In addition to any other rights available to the Holder, if the Company fails to cause the Transfer Agent to transmit to the Holder the Warrant Shares in accordance with the provisions of Section 2(b)(i) above pursuant to an exercise on or before the Warrant Share Delivery Date (other than a failure caused by incorrect or incomplete information provided by the Holder to the Company or the Holder’s failure to establish and maintain an account at the Transfer Agent to which the Warrant Shares may be delivered in accordance with Section 2(b)(i)),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w:t>
      </w:r>
      <w:r>
        <w:rPr>
          <w:rFonts w:ascii="Times New Roman" w:cs="Times New Roman" w:eastAsia="Times New Roman" w:hAnsi="Times New Roman"/>
          <w:sz w:val="12"/>
          <w:szCs w:val="12"/>
          <w:u w:val="single" w:color="auto"/>
          <w:color w:val="auto"/>
        </w:rPr>
        <w:t>Buy-In</w:t>
      </w:r>
      <w:r>
        <w:rPr>
          <w:rFonts w:ascii="Times New Roman" w:cs="Times New Roman" w:eastAsia="Times New Roman" w:hAnsi="Times New Roman"/>
          <w:sz w:val="12"/>
          <w:szCs w:val="12"/>
          <w:color w:val="auto"/>
        </w:rPr>
        <w:t>”), then the Company shall (A) pay in cash to the Holder the amount, if any, by which (x) the Holder’s total purchase price (including brokerage commissions, if any) for the Common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Company timely complied with its exercise and delivery obligations hereunder. For example, if the Holder purchases Common Shares having a total purchase price of US$11,000 to cover a Buy-In with respect to an attempted exercise of Common Shares with an aggregate sale price giving rise to such purchase obligation of US$10,000, under clause (A) of the immediately preceding sentence the Company shall be required to pay the Holder US$1,000.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Shares upon exercise of the Warrant as required pursuant to the terms hereof.</w:t>
      </w:r>
    </w:p>
    <w:p>
      <w:pPr>
        <w:spacing w:after="0" w:line="129" w:lineRule="exact"/>
        <w:rPr>
          <w:sz w:val="20"/>
          <w:szCs w:val="20"/>
          <w:color w:val="auto"/>
        </w:rPr>
      </w:pPr>
    </w:p>
    <w:p>
      <w:pPr>
        <w:jc w:val="both"/>
        <w:ind w:left="200" w:right="20" w:firstLine="446"/>
        <w:spacing w:after="0" w:line="297" w:lineRule="auto"/>
        <w:rPr>
          <w:sz w:val="20"/>
          <w:szCs w:val="20"/>
          <w:color w:val="auto"/>
        </w:rPr>
      </w:pPr>
      <w:r>
        <w:rPr>
          <w:rFonts w:ascii="Times New Roman" w:cs="Times New Roman" w:eastAsia="Times New Roman" w:hAnsi="Times New Roman"/>
          <w:sz w:val="12"/>
          <w:szCs w:val="12"/>
          <w:color w:val="auto"/>
        </w:rPr>
        <w:t>v.</w:t>
      </w:r>
      <w:r>
        <w:rPr>
          <w:rFonts w:ascii="Times New Roman" w:cs="Times New Roman" w:eastAsia="Times New Roman" w:hAnsi="Times New Roman"/>
          <w:sz w:val="12"/>
          <w:szCs w:val="12"/>
          <w:u w:val="single" w:color="auto"/>
          <w:color w:val="auto"/>
        </w:rPr>
        <w:t> No Fractional Shares or Scrip</w:t>
      </w:r>
      <w:r>
        <w:rPr>
          <w:rFonts w:ascii="Times New Roman" w:cs="Times New Roman" w:eastAsia="Times New Roman" w:hAnsi="Times New Roman"/>
          <w:sz w:val="12"/>
          <w:szCs w:val="12"/>
          <w:color w:val="auto"/>
        </w:rPr>
        <w:t>. No fractional shares or scrip representing fractional shares shall be issued upon the exercise of this Warrant. As to any fraction of a share which the Holder would otherwise be entitled to purchase upon such exercise, the Company shall round down the number of Warrant Shares issuable under this Warrant to the next whole share.</w:t>
      </w:r>
    </w:p>
    <w:p>
      <w:pPr>
        <w:spacing w:after="0" w:line="104" w:lineRule="exact"/>
        <w:rPr>
          <w:sz w:val="20"/>
          <w:szCs w:val="20"/>
          <w:color w:val="auto"/>
        </w:rPr>
      </w:pPr>
    </w:p>
    <w:p>
      <w:pPr>
        <w:jc w:val="both"/>
        <w:ind w:left="200" w:firstLine="446"/>
        <w:spacing w:after="0" w:line="268" w:lineRule="auto"/>
        <w:rPr>
          <w:sz w:val="20"/>
          <w:szCs w:val="20"/>
          <w:color w:val="auto"/>
        </w:rPr>
      </w:pPr>
      <w:r>
        <w:rPr>
          <w:rFonts w:ascii="Times New Roman" w:cs="Times New Roman" w:eastAsia="Times New Roman" w:hAnsi="Times New Roman"/>
          <w:sz w:val="12"/>
          <w:szCs w:val="12"/>
          <w:color w:val="auto"/>
        </w:rPr>
        <w:t>vi.</w:t>
      </w:r>
      <w:r>
        <w:rPr>
          <w:rFonts w:ascii="Times New Roman" w:cs="Times New Roman" w:eastAsia="Times New Roman" w:hAnsi="Times New Roman"/>
          <w:sz w:val="12"/>
          <w:szCs w:val="12"/>
          <w:u w:val="single" w:color="auto"/>
          <w:color w:val="auto"/>
        </w:rPr>
        <w:t> Charges, Taxes and Expenses</w:t>
      </w:r>
      <w:r>
        <w:rPr>
          <w:rFonts w:ascii="Times New Roman" w:cs="Times New Roman" w:eastAsia="Times New Roman" w:hAnsi="Times New Roman"/>
          <w:sz w:val="12"/>
          <w:szCs w:val="12"/>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vii.</w:t>
      </w:r>
      <w:r>
        <w:rPr>
          <w:rFonts w:ascii="Times New Roman" w:cs="Times New Roman" w:eastAsia="Times New Roman" w:hAnsi="Times New Roman"/>
          <w:sz w:val="12"/>
          <w:szCs w:val="12"/>
          <w:u w:val="single" w:color="auto"/>
          <w:color w:val="auto"/>
        </w:rPr>
        <w:t> Closing of Books</w:t>
      </w:r>
      <w:r>
        <w:rPr>
          <w:rFonts w:ascii="Times New Roman" w:cs="Times New Roman" w:eastAsia="Times New Roman" w:hAnsi="Times New Roman"/>
          <w:sz w:val="12"/>
          <w:szCs w:val="12"/>
          <w:color w:val="auto"/>
        </w:rPr>
        <w:t>. The Company will not close its shareholder books or records in any manner which prevents the timely exercise of this Warrant, pursuant to the terms hereof.</w:t>
      </w:r>
    </w:p>
    <w:p>
      <w:pPr>
        <w:spacing w:after="0" w:line="3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15240</wp:posOffset>
            </wp:positionV>
            <wp:extent cx="71748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60"/>
          </w:cols>
          <w:pgMar w:left="1440" w:top="666" w:right="299" w:bottom="1440" w:gutter="0" w:footer="0" w:header="0"/>
        </w:sectPr>
      </w:pPr>
    </w:p>
    <w:bookmarkStart w:id="7" w:name="page8"/>
    <w:bookmarkEnd w:id="7"/>
    <w:p>
      <w:pPr>
        <w:jc w:val="both"/>
        <w:ind w:firstLine="446"/>
        <w:spacing w:after="0" w:line="259" w:lineRule="auto"/>
        <w:tabs>
          <w:tab w:leader="none" w:pos="57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Holder’s Exercise Limitations</w:t>
      </w:r>
      <w:r>
        <w:rPr>
          <w:rFonts w:ascii="Times New Roman" w:cs="Times New Roman" w:eastAsia="Times New Roman" w:hAnsi="Times New Roman"/>
          <w:sz w:val="12"/>
          <w:szCs w:val="12"/>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(as defined below), and any other Persons acting as a group together with the Holder or any of the Holder’s Affiliates (such Persons, “</w:t>
      </w:r>
      <w:r>
        <w:rPr>
          <w:rFonts w:ascii="Times New Roman" w:cs="Times New Roman" w:eastAsia="Times New Roman" w:hAnsi="Times New Roman"/>
          <w:sz w:val="12"/>
          <w:szCs w:val="12"/>
          <w:u w:val="single" w:color="auto"/>
          <w:color w:val="auto"/>
        </w:rPr>
        <w:t>Attribution Parties</w:t>
      </w:r>
      <w:r>
        <w:rPr>
          <w:rFonts w:ascii="Times New Roman" w:cs="Times New Roman" w:eastAsia="Times New Roman" w:hAnsi="Times New Roman"/>
          <w:sz w:val="12"/>
          <w:szCs w:val="12"/>
          <w:color w:val="auto"/>
        </w:rPr>
        <w:t>”)), would beneficially own in excess of the Beneficial Ownership Limitation (as defined below). For purposes of the foregoing sentence, the number of Common Shares beneficially owned by the Holder and its Affiliates and Attribution Parties shall include the number of Common Shares issuable upon exercise of this Warrant with respect to which such determination is being made, but shall exclude the number of Common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securities of the Company or the Subsidiaries which would entitle the holder thereof to acquire at any time Common Shares, including, without limitation, any debt, preferred share, right, option, warrant or other instrument that is at any time convertible into or exercisable or exchangeable for, or otherwise entitles the holder thereof to receive, Common Shares (“</w:t>
      </w:r>
      <w:r>
        <w:rPr>
          <w:rFonts w:ascii="Times New Roman" w:cs="Times New Roman" w:eastAsia="Times New Roman" w:hAnsi="Times New Roman"/>
          <w:sz w:val="12"/>
          <w:szCs w:val="12"/>
          <w:u w:val="single" w:color="auto"/>
          <w:color w:val="auto"/>
        </w:rPr>
        <w:t>Common Share Equivalents</w:t>
      </w:r>
      <w:r>
        <w:rPr>
          <w:rFonts w:ascii="Times New Roman" w:cs="Times New Roman" w:eastAsia="Times New Roman" w:hAnsi="Times New Roman"/>
          <w:sz w:val="12"/>
          <w:szCs w:val="12"/>
          <w:color w:val="auto"/>
        </w:rPr>
        <w:t>”)) subject to a limitation on conversion or exercise analogous to the limitation contained herein beneficially owned by the Holder or any of its Affiliates or Attribution Parties. Except as set forth in the preceding sentence, for purposes of this Section 2(c), beneficial ownership shall be calculated in accordance with Section 13(d)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2(c)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Common Shares that was provided by the Company.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Common Shares that was provided by the Company. For purposes of this Section 2(c), in determining the number of outstanding Common Shares, a Holder may rely on the number of outstanding Common Shares as reflected in (A) the Company’s most recent periodic or annual report filed with the Commission, as the case may be, (B) a more recent public announcement by the Company or (C) a more recent written notice by the Company or the Transfer Agent setting forth the number of Common Shares outstanding. Upon the written or oral request of a Holder, the Company shall within one Trading Day confirm orally and in writing to the Holder the number of Common Shares then outstanding. In any case, the number of outstanding Common Shares shall be determined after giving effect to the conversion or exercise of securities of the Company, including this Warrant, by the Holder or its Affiliates or Attribution Parties since the date as of which such number of outstanding Common Shares was reported. The “</w:t>
      </w:r>
      <w:r>
        <w:rPr>
          <w:rFonts w:ascii="Times New Roman" w:cs="Times New Roman" w:eastAsia="Times New Roman" w:hAnsi="Times New Roman"/>
          <w:sz w:val="12"/>
          <w:szCs w:val="12"/>
          <w:u w:val="single" w:color="auto"/>
          <w:color w:val="auto"/>
        </w:rPr>
        <w:t>Beneficial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Ownership Limitation</w:t>
      </w:r>
      <w:r>
        <w:rPr>
          <w:rFonts w:ascii="Times New Roman" w:cs="Times New Roman" w:eastAsia="Times New Roman" w:hAnsi="Times New Roman"/>
          <w:sz w:val="12"/>
          <w:szCs w:val="12"/>
          <w:color w:val="auto"/>
        </w:rPr>
        <w:t>” shall be 4.99% of the number of Common Shares outstanding immediately after giving effect to the issuance of Common Shares issuable upon exercise of this Warrant. The Holder, upon notice to the Company, may increase or decrease the Beneficial Ownership Limitation provisions of this Section 2(c), provided that the Beneficial Ownership Limitation in no event exceeds 9.99% of the number of Common Shares outstanding immediately after giving effect to the issuance of Common Shares upon exercise of this Warrant held by the Holder and the provisions of this Section 2(c)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2(c)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 As used herein, “</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any Person (as defined below) that, directly or indirectly through one or more intermediaries, controls or is controlled by or is under common control with a Person, as such terms are used in and construed under Rule 405 under the Securities Act. As used herein, “</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6"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Certain Adjustments</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jc w:val="both"/>
        <w:ind w:firstLine="446"/>
        <w:spacing w:after="0" w:line="265" w:lineRule="auto"/>
        <w:tabs>
          <w:tab w:leader="none" w:pos="573"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Share Dividends and Splits</w:t>
      </w:r>
      <w:r>
        <w:rPr>
          <w:rFonts w:ascii="Times New Roman" w:cs="Times New Roman" w:eastAsia="Times New Roman" w:hAnsi="Times New Roman"/>
          <w:sz w:val="12"/>
          <w:szCs w:val="12"/>
          <w:color w:val="auto"/>
        </w:rPr>
        <w:t>. If the Company, at any time while this Warrant is outstanding: (i) pays a share dividend or otherwise makes a distribution or distributions on Common Shares or any other equity or equity equivalent securities payable in Common Shares (which, for avoidance of doubt, shall not include any Common Shares issued by the Company upon exercise of this Warrant), (ii) subdivides outstanding Common Shares into a larger number of shares, (iii) combines (including by way of reverse share split) outstanding Common Shares into a smaller number of shares, or (iv) issues by reclassification of the Common Shares of the Company, 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122" w:lineRule="exact"/>
        <w:rPr>
          <w:rFonts w:ascii="Times New Roman" w:cs="Times New Roman" w:eastAsia="Times New Roman" w:hAnsi="Times New Roman"/>
          <w:sz w:val="12"/>
          <w:szCs w:val="12"/>
          <w:color w:val="auto"/>
        </w:rPr>
      </w:pPr>
    </w:p>
    <w:p>
      <w:pPr>
        <w:jc w:val="both"/>
        <w:ind w:firstLine="446"/>
        <w:spacing w:after="0" w:line="264" w:lineRule="auto"/>
        <w:tabs>
          <w:tab w:leader="none" w:pos="5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Subsequent Rights Offerings</w:t>
      </w:r>
      <w:r>
        <w:rPr>
          <w:rFonts w:ascii="Times New Roman" w:cs="Times New Roman" w:eastAsia="Times New Roman" w:hAnsi="Times New Roman"/>
          <w:sz w:val="12"/>
          <w:szCs w:val="12"/>
          <w:color w:val="auto"/>
        </w:rPr>
        <w:t>. In addition to any adjustments pursuant to Section 3(a) above, if at any time the Company grants, issues or sells any Common Share Equivalents or rights to purchase shares, warrants, securities or other property pro rata to the record holders of any class of Common Shares (the “</w:t>
      </w:r>
      <w:r>
        <w:rPr>
          <w:rFonts w:ascii="Times New Roman" w:cs="Times New Roman" w:eastAsia="Times New Roman" w:hAnsi="Times New Roman"/>
          <w:sz w:val="12"/>
          <w:szCs w:val="12"/>
          <w:u w:val="single" w:color="auto"/>
          <w:color w:val="auto"/>
        </w:rPr>
        <w:t>Purchase Rights</w:t>
      </w:r>
      <w:r>
        <w:rPr>
          <w:rFonts w:ascii="Times New Roman" w:cs="Times New Roman" w:eastAsia="Times New Roman" w:hAnsi="Times New Roman"/>
          <w:sz w:val="12"/>
          <w:szCs w:val="12"/>
          <w:color w:val="auto"/>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75" w:lineRule="exact"/>
        <w:rPr>
          <w:rFonts w:ascii="Times New Roman" w:cs="Times New Roman" w:eastAsia="Times New Roman" w:hAnsi="Times New Roman"/>
          <w:sz w:val="12"/>
          <w:szCs w:val="12"/>
          <w:color w:val="auto"/>
        </w:rPr>
      </w:pPr>
    </w:p>
    <w:p>
      <w:pPr>
        <w:jc w:val="both"/>
        <w:ind w:firstLine="446"/>
        <w:spacing w:after="0" w:line="262" w:lineRule="auto"/>
        <w:tabs>
          <w:tab w:leader="none" w:pos="58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 Rata Distributions</w:t>
      </w:r>
      <w:r>
        <w:rPr>
          <w:rFonts w:ascii="Times New Roman" w:cs="Times New Roman" w:eastAsia="Times New Roman" w:hAnsi="Times New Roman"/>
          <w:sz w:val="12"/>
          <w:szCs w:val="12"/>
          <w:color w:val="auto"/>
        </w:rPr>
        <w:t>. Subject to compliance with applicable securities and corporate law, including the constituting documents of the Company,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shares or other securities, property or options by way of a dividend, spin off, reclassification, corporate rearrangement, scheme of arrangement or other similar transaction, other than such dividends or distributions that result in an adjustment under Section 3(a) or (b)) (a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at any time after the issuance of this Warrant, then, in each such case, the Holder shall be entitled to receive an equivalent distribution to such Distribution, in the same form and to the equivalent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receive such equivalent distribution to such Distribution would result in the Holder exceeding the Beneficial Ownership Limitation, then the Holder shall not be entitled to such equivalent distribution to such Distribution to such extent (or in the beneficial ownership of any Common Shares as a result of such Distribution to such extent) and the portion of such equivalent distribution shall be held in abeyance for the benefit of the Holder until such time, if ever, as its right thereto would not result in the Holder exceeding the Beneficial Ownership Limitation).</w:t>
      </w:r>
    </w:p>
    <w:p>
      <w:pPr>
        <w:spacing w:after="0" w:line="2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6" w:right="299" w:bottom="1440" w:gutter="0" w:footer="0" w:header="0"/>
        </w:sectPr>
      </w:pPr>
    </w:p>
    <w:bookmarkStart w:id="9" w:name="page10"/>
    <w:bookmarkEnd w:id="9"/>
    <w:p>
      <w:pPr>
        <w:ind w:firstLine="446"/>
        <w:spacing w:after="0" w:line="297" w:lineRule="auto"/>
        <w:tabs>
          <w:tab w:leader="none" w:pos="589"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Calculations</w:t>
      </w:r>
      <w:r>
        <w:rPr>
          <w:rFonts w:ascii="Times New Roman" w:cs="Times New Roman" w:eastAsia="Times New Roman" w:hAnsi="Times New Roman"/>
          <w:sz w:val="12"/>
          <w:szCs w:val="12"/>
          <w:color w:val="auto"/>
        </w:rPr>
        <w:t>. 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spacing w:after="0" w:line="104" w:lineRule="exact"/>
        <w:rPr>
          <w:rFonts w:ascii="Times New Roman" w:cs="Times New Roman" w:eastAsia="Times New Roman" w:hAnsi="Times New Roman"/>
          <w:sz w:val="12"/>
          <w:szCs w:val="12"/>
          <w:color w:val="auto"/>
        </w:rPr>
      </w:pPr>
    </w:p>
    <w:p>
      <w:pPr>
        <w:ind w:left="580" w:hanging="134"/>
        <w:spacing w:after="0"/>
        <w:tabs>
          <w:tab w:leader="none" w:pos="5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to Holder</w:t>
      </w:r>
      <w:r>
        <w:rPr>
          <w:rFonts w:ascii="Times New Roman" w:cs="Times New Roman" w:eastAsia="Times New Roman" w:hAnsi="Times New Roman"/>
          <w:sz w:val="12"/>
          <w:szCs w:val="12"/>
          <w:color w:val="auto"/>
        </w:rPr>
        <w:t>.</w:t>
      </w:r>
    </w:p>
    <w:p>
      <w:pPr>
        <w:spacing w:after="0" w:line="159" w:lineRule="exact"/>
        <w:rPr>
          <w:rFonts w:ascii="Times New Roman" w:cs="Times New Roman" w:eastAsia="Times New Roman" w:hAnsi="Times New Roman"/>
          <w:sz w:val="12"/>
          <w:szCs w:val="12"/>
          <w:color w:val="auto"/>
        </w:rPr>
      </w:pPr>
    </w:p>
    <w:p>
      <w:pPr>
        <w:ind w:left="900" w:right="20" w:firstLine="438"/>
        <w:spacing w:after="0" w:line="297" w:lineRule="auto"/>
        <w:tabs>
          <w:tab w:leader="none" w:pos="1442" w:val="left"/>
        </w:tabs>
        <w:numPr>
          <w:ilvl w:val="2"/>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Adjustment to Exercise Price</w:t>
      </w:r>
      <w:r>
        <w:rPr>
          <w:rFonts w:ascii="Times New Roman" w:cs="Times New Roman" w:eastAsia="Times New Roman" w:hAnsi="Times New Roman"/>
          <w:sz w:val="12"/>
          <w:szCs w:val="12"/>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04" w:lineRule="exact"/>
        <w:rPr>
          <w:rFonts w:ascii="Times New Roman" w:cs="Times New Roman" w:eastAsia="Times New Roman" w:hAnsi="Times New Roman"/>
          <w:sz w:val="12"/>
          <w:szCs w:val="12"/>
          <w:color w:val="auto"/>
        </w:rPr>
      </w:pPr>
    </w:p>
    <w:p>
      <w:pPr>
        <w:jc w:val="both"/>
        <w:ind w:left="900" w:right="20" w:firstLine="438"/>
        <w:spacing w:after="0" w:line="262" w:lineRule="auto"/>
        <w:tabs>
          <w:tab w:leader="none" w:pos="1486" w:val="left"/>
        </w:tabs>
        <w:numPr>
          <w:ilvl w:val="2"/>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to Allow Exercise by Holder</w:t>
      </w:r>
      <w:r>
        <w:rPr>
          <w:rFonts w:ascii="Times New Roman" w:cs="Times New Roman" w:eastAsia="Times New Roman" w:hAnsi="Times New Roman"/>
          <w:sz w:val="12"/>
          <w:szCs w:val="12"/>
          <w:color w:val="auto"/>
        </w:rPr>
        <w:t>. If, while this Warrant is exercisable following the occurrence of the Continuity Conditions (A) the Company shall declare a dividend (or any other distribution on Common Shares in whatever form) on the Common Shares, (B) the Company shall declare a special nonrecurring cash dividend on or a redemption of the Common Shares, (C) the Company shall authorize the granting to all holders of the Common Shares rights or warrants to subscribe for or purchase any shares of any class or of any rights, (D) the approval of any shareholders of the Company shall be required in connection with any reclassification of the Common Shares, any consolidation or merger to which the Company (and all of its Subsidiaries, taken as a whole) is a party, any sale or transfer of all or substantially all of the assets of the Company, or any compulsory share exchange whereby the Common Shares are converted into other securities, cash or property, or</w:t>
      </w:r>
    </w:p>
    <w:p>
      <w:pPr>
        <w:spacing w:after="0" w:line="1" w:lineRule="exact"/>
        <w:rPr>
          <w:rFonts w:ascii="Times New Roman" w:cs="Times New Roman" w:eastAsia="Times New Roman" w:hAnsi="Times New Roman"/>
          <w:sz w:val="12"/>
          <w:szCs w:val="12"/>
          <w:color w:val="auto"/>
        </w:rPr>
      </w:pPr>
    </w:p>
    <w:p>
      <w:pPr>
        <w:jc w:val="both"/>
        <w:ind w:left="900" w:hanging="8"/>
        <w:spacing w:after="0" w:line="260" w:lineRule="auto"/>
        <w:tabs>
          <w:tab w:leader="none" w:pos="1092"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Notwithstanding the foregoing, to the extent that any notice to be provided in this Warrant constitutes, or contains, material, non-public information regarding the Company or any of the Subsidiaries, the Company may delay such notice until such time as the Company would otherwise make a public announcement of such notice or information, whether by a Current Report on Form 8-K or otherwise. The Holder shall remain entitled to exercise this Warrant during the period commencing on the date of such notice to the effective date of the event triggering such notice except as may otherwise be expressly set forth herein.</w:t>
      </w:r>
    </w:p>
    <w:p>
      <w:pPr>
        <w:spacing w:after="0" w:line="2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6"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Transfer of Warrant</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jc w:val="both"/>
        <w:ind w:firstLine="446"/>
        <w:spacing w:after="0" w:line="263" w:lineRule="auto"/>
        <w:tabs>
          <w:tab w:leader="none" w:pos="582"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Transferability</w:t>
      </w:r>
      <w:r>
        <w:rPr>
          <w:rFonts w:ascii="Times New Roman" w:cs="Times New Roman" w:eastAsia="Times New Roman" w:hAnsi="Times New Roman"/>
          <w:sz w:val="12"/>
          <w:szCs w:val="12"/>
          <w:color w:val="auto"/>
        </w:rPr>
        <w:t>. Subject to compliance with applicable laws and the restrictive legend set forth at the beginning of this Warrant, this Warrant and all rights hereunder (including, without limitation, any registration rights) are transferable, in whole or in part, upon surrender of this Warrant at the principal office of the Company or its designated agent, which may be accepted via email, together with a written assignment of this Warrant substantially in the form attached hereto duly executed by the Holder or its agent or attorney and funds sufficient to pay any transfer taxes payable upon the making of such transfer, subject to compliance with applicable securities laws.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Notwithstanding the foregoing, each Holder hereby covenants and agrees in favour of the Company that it will not sell, transfer or assign any Warrants or any Warrant Shares to any Canadian resident or any person for subsequent resale to a Canadian resident for a period of four months and a day after the Issue Date.</w:t>
      </w:r>
    </w:p>
    <w:p>
      <w:pPr>
        <w:spacing w:after="0" w:line="274" w:lineRule="exact"/>
        <w:rPr>
          <w:rFonts w:ascii="Times New Roman" w:cs="Times New Roman" w:eastAsia="Times New Roman" w:hAnsi="Times New Roman"/>
          <w:sz w:val="12"/>
          <w:szCs w:val="12"/>
          <w:color w:val="auto"/>
        </w:rPr>
      </w:pPr>
    </w:p>
    <w:p>
      <w:pPr>
        <w:jc w:val="both"/>
        <w:ind w:firstLine="446"/>
        <w:spacing w:after="0" w:line="278" w:lineRule="auto"/>
        <w:tabs>
          <w:tab w:leader="none" w:pos="5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The Company shall register this Warrant, upon records to be maintained by the Company or the Transfer Agent for that purpose (the “</w:t>
      </w: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15" w:lineRule="exact"/>
        <w:rPr>
          <w:rFonts w:ascii="Times New Roman" w:cs="Times New Roman" w:eastAsia="Times New Roman" w:hAnsi="Times New Roman"/>
          <w:sz w:val="12"/>
          <w:szCs w:val="12"/>
          <w:color w:val="auto"/>
        </w:rPr>
      </w:pPr>
    </w:p>
    <w:p>
      <w:pPr>
        <w:jc w:val="both"/>
        <w:ind w:firstLine="446"/>
        <w:spacing w:after="0" w:line="271" w:lineRule="auto"/>
        <w:tabs>
          <w:tab w:leader="none" w:pos="582"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 Restrictions</w:t>
      </w:r>
      <w:r>
        <w:rPr>
          <w:rFonts w:ascii="Times New Roman" w:cs="Times New Roman" w:eastAsia="Times New Roman" w:hAnsi="Times New Roman"/>
          <w:sz w:val="12"/>
          <w:szCs w:val="12"/>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restrictive legend set forth at the beginning of this Warrant and Section 4(e) below.</w:t>
      </w:r>
    </w:p>
    <w:p>
      <w:pPr>
        <w:spacing w:after="0" w:line="120" w:lineRule="exact"/>
        <w:rPr>
          <w:sz w:val="20"/>
          <w:szCs w:val="20"/>
          <w:color w:val="auto"/>
        </w:rPr>
      </w:pPr>
    </w:p>
    <w:p>
      <w:pPr>
        <w:jc w:val="both"/>
        <w:ind w:firstLine="446"/>
        <w:spacing w:after="0" w:line="264" w:lineRule="auto"/>
        <w:tabs>
          <w:tab w:leader="none" w:pos="57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by the Holder</w:t>
      </w:r>
      <w:r>
        <w:rPr>
          <w:rFonts w:ascii="Times New Roman" w:cs="Times New Roman" w:eastAsia="Times New Roman" w:hAnsi="Times New Roman"/>
          <w:sz w:val="12"/>
          <w:szCs w:val="12"/>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The Holder, by the acceptance hereof, (i) acknowledges that any resale of the Warrant or the Warrant Shares in or into Canada must be exempt from, or not subject to, the requirement in Canadian securities legislation that prohibits a person or company from distributing a security without a prospectus that qualifies that distribution, and, where applicable, in compliance with or exempt from dealer registration requirements under Canadian securities legislation, and (ii) covenants that, unless permitted under applicable Canadian securities legislation, the Holder will not trade the Warrant or the Warrant Shares in Canada before the date that is four (4) months and a day after the date of this Warrant. The Holder acknowledges and agrees that, until such time as this Warrant and the Warrant Shares issuable upon exercise of this Warrant may be sold pursuant to Rule 144 without restriction, this Warrant and any such Warrant Shares, whether maintained in a book-entry system or otherwise, will bear one or more legends in substantially the form and substance as the restrictive legend set forth at the beginning of this Warrant.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ind w:right="20" w:firstLine="446"/>
        <w:spacing w:after="0" w:line="297" w:lineRule="auto"/>
        <w:tabs>
          <w:tab w:leader="none" w:pos="57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Rights as Shareholder Until Exercise; No Settlement in Cash</w:t>
      </w:r>
      <w:r>
        <w:rPr>
          <w:rFonts w:ascii="Times New Roman" w:cs="Times New Roman" w:eastAsia="Times New Roman" w:hAnsi="Times New Roman"/>
          <w:sz w:val="12"/>
          <w:szCs w:val="12"/>
          <w:color w:val="auto"/>
        </w:rPr>
        <w:t>. This Warrant does not entitle the Holder to any voting rights, dividends or other rights as a shareholder of the Company prior to the exercise hereof as set forth in Section 2(b)(i), except as expressly set forth in Section 3. In no event shall the Company be required to net cash settle an exercise of this Warrant.</w:t>
      </w: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6" w:right="299" w:bottom="1440" w:gutter="0" w:footer="0" w:header="0"/>
        </w:sectPr>
      </w:pPr>
    </w:p>
    <w:bookmarkStart w:id="11" w:name="page12"/>
    <w:bookmarkEnd w:id="11"/>
    <w:p>
      <w:pPr>
        <w:jc w:val="both"/>
        <w:ind w:firstLine="446"/>
        <w:spacing w:after="0" w:line="271" w:lineRule="auto"/>
        <w:tabs>
          <w:tab w:leader="none" w:pos="5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Loss, Theft, Destruction or Mutilation of Warrant</w:t>
      </w:r>
      <w:r>
        <w:rPr>
          <w:rFonts w:ascii="Times New Roman" w:cs="Times New Roman" w:eastAsia="Times New Roman" w:hAnsi="Times New Roman"/>
          <w:sz w:val="12"/>
          <w:szCs w:val="12"/>
          <w:color w:val="auto"/>
        </w:rPr>
        <w:t>. Subject to the Articles of the Company,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spacing w:after="0" w:line="120" w:lineRule="exact"/>
        <w:rPr>
          <w:rFonts w:ascii="Times New Roman" w:cs="Times New Roman" w:eastAsia="Times New Roman" w:hAnsi="Times New Roman"/>
          <w:sz w:val="12"/>
          <w:szCs w:val="12"/>
          <w:color w:val="auto"/>
        </w:rPr>
      </w:pPr>
    </w:p>
    <w:p>
      <w:pPr>
        <w:ind w:right="20" w:firstLine="446"/>
        <w:spacing w:after="0" w:line="297" w:lineRule="auto"/>
        <w:tabs>
          <w:tab w:leader="none" w:pos="573"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Trading Days (Saturdays, Sundays, Holidays, etc.)</w:t>
      </w:r>
      <w:r>
        <w:rPr>
          <w:rFonts w:ascii="Times New Roman" w:cs="Times New Roman" w:eastAsia="Times New Roman" w:hAnsi="Times New Roman"/>
          <w:sz w:val="12"/>
          <w:szCs w:val="12"/>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04" w:lineRule="exact"/>
        <w:rPr>
          <w:rFonts w:ascii="Times New Roman" w:cs="Times New Roman" w:eastAsia="Times New Roman" w:hAnsi="Times New Roman"/>
          <w:sz w:val="12"/>
          <w:szCs w:val="12"/>
          <w:color w:val="auto"/>
        </w:rPr>
      </w:pPr>
    </w:p>
    <w:p>
      <w:pPr>
        <w:ind w:left="580" w:hanging="134"/>
        <w:spacing w:after="0"/>
        <w:tabs>
          <w:tab w:leader="none" w:pos="5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Authorized Shares</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jc w:val="both"/>
        <w:ind w:left="440" w:firstLine="446"/>
        <w:spacing w:after="0" w:line="265" w:lineRule="auto"/>
        <w:rPr>
          <w:sz w:val="20"/>
          <w:szCs w:val="20"/>
          <w:color w:val="auto"/>
        </w:rPr>
      </w:pPr>
      <w:r>
        <w:rPr>
          <w:rFonts w:ascii="Times New Roman" w:cs="Times New Roman" w:eastAsia="Times New Roman" w:hAnsi="Times New Roman"/>
          <w:sz w:val="12"/>
          <w:szCs w:val="12"/>
          <w:color w:val="auto"/>
        </w:rPr>
        <w:t>The Company covenants that, during the period the Warrant is outstanding, it will reserve from its authorized and unissued Common Shares a sufficient number of Common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23" w:lineRule="exact"/>
        <w:rPr>
          <w:sz w:val="20"/>
          <w:szCs w:val="20"/>
          <w:color w:val="auto"/>
        </w:rPr>
      </w:pPr>
    </w:p>
    <w:p>
      <w:pPr>
        <w:jc w:val="both"/>
        <w:ind w:left="440" w:firstLine="446"/>
        <w:spacing w:after="0" w:line="265" w:lineRule="auto"/>
        <w:rPr>
          <w:sz w:val="20"/>
          <w:szCs w:val="20"/>
          <w:color w:val="auto"/>
        </w:rPr>
      </w:pPr>
      <w:r>
        <w:rPr>
          <w:rFonts w:ascii="Times New Roman" w:cs="Times New Roman" w:eastAsia="Times New Roman" w:hAnsi="Times New Roman"/>
          <w:sz w:val="12"/>
          <w:szCs w:val="12"/>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23" w:lineRule="exact"/>
        <w:rPr>
          <w:sz w:val="20"/>
          <w:szCs w:val="20"/>
          <w:color w:val="auto"/>
        </w:rPr>
      </w:pPr>
    </w:p>
    <w:p>
      <w:pPr>
        <w:jc w:val="both"/>
        <w:ind w:left="440" w:right="20" w:firstLine="446"/>
        <w:spacing w:after="0" w:line="297" w:lineRule="auto"/>
        <w:rPr>
          <w:sz w:val="20"/>
          <w:szCs w:val="20"/>
          <w:color w:val="auto"/>
        </w:rPr>
      </w:pPr>
      <w:r>
        <w:rPr>
          <w:rFonts w:ascii="Times New Roman" w:cs="Times New Roman" w:eastAsia="Times New Roman" w:hAnsi="Times New Roman"/>
          <w:sz w:val="12"/>
          <w:szCs w:val="1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6" w:right="299" w:bottom="1440" w:gutter="0" w:footer="0" w:header="0"/>
        </w:sectPr>
      </w:pPr>
    </w:p>
    <w:bookmarkStart w:id="12" w:name="page13"/>
    <w:bookmarkEnd w:id="12"/>
    <w:p>
      <w:pPr>
        <w:jc w:val="both"/>
        <w:ind w:left="220" w:firstLine="446"/>
        <w:spacing w:after="0" w:line="263" w:lineRule="auto"/>
        <w:tabs>
          <w:tab w:leader="none" w:pos="802"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Jurisdiction/Governing Law</w:t>
      </w:r>
      <w:r>
        <w:rPr>
          <w:rFonts w:ascii="Times New Roman" w:cs="Times New Roman" w:eastAsia="Times New Roman" w:hAnsi="Times New Roman"/>
          <w:sz w:val="12"/>
          <w:szCs w:val="12"/>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this Warrant),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w:t>
      </w:r>
    </w:p>
    <w:p>
      <w:pPr>
        <w:spacing w:after="0" w:line="125" w:lineRule="exact"/>
        <w:rPr>
          <w:rFonts w:ascii="Times New Roman" w:cs="Times New Roman" w:eastAsia="Times New Roman" w:hAnsi="Times New Roman"/>
          <w:sz w:val="12"/>
          <w:szCs w:val="12"/>
          <w:color w:val="auto"/>
        </w:rPr>
      </w:pPr>
    </w:p>
    <w:p>
      <w:pPr>
        <w:ind w:left="220" w:right="20" w:firstLine="446"/>
        <w:spacing w:after="0" w:line="297" w:lineRule="auto"/>
        <w:tabs>
          <w:tab w:leader="none" w:pos="789"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w:t>
      </w:r>
      <w:r>
        <w:rPr>
          <w:rFonts w:ascii="Times New Roman" w:cs="Times New Roman" w:eastAsia="Times New Roman" w:hAnsi="Times New Roman"/>
          <w:sz w:val="12"/>
          <w:szCs w:val="12"/>
          <w:color w:val="auto"/>
        </w:rPr>
        <w:t>. The Holder acknowledges that the Warrant Shares acquired upon the exercise of this Warrant, if not registered, will have restrictions upon resale imposed by state, provincial and federal securities laws.</w:t>
      </w:r>
    </w:p>
    <w:p>
      <w:pPr>
        <w:spacing w:after="0" w:line="104" w:lineRule="exact"/>
        <w:rPr>
          <w:rFonts w:ascii="Times New Roman" w:cs="Times New Roman" w:eastAsia="Times New Roman" w:hAnsi="Times New Roman"/>
          <w:sz w:val="12"/>
          <w:szCs w:val="12"/>
          <w:color w:val="auto"/>
        </w:rPr>
      </w:pPr>
    </w:p>
    <w:p>
      <w:pPr>
        <w:jc w:val="both"/>
        <w:ind w:left="220" w:right="20" w:firstLine="446"/>
        <w:spacing w:after="0" w:line="278" w:lineRule="auto"/>
        <w:tabs>
          <w:tab w:leader="none" w:pos="8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Nonwaiver and Expenses</w:t>
      </w:r>
      <w:r>
        <w:rPr>
          <w:rFonts w:ascii="Times New Roman" w:cs="Times New Roman" w:eastAsia="Times New Roman" w:hAnsi="Times New Roman"/>
          <w:sz w:val="12"/>
          <w:szCs w:val="12"/>
          <w:color w:val="auto"/>
        </w:rPr>
        <w:t>. No course of dealing or any delay or failure to exercise any right hereunder on the part of Holder shall operate as a waiver of such right or otherwise prejudice the Holder’s rights, powers or remedies. Without limiting any other provision of this Warrant, each party shall pay their own expenses incurred with respect to collecting any amounts due pursuant hereto or in otherwise enforcing any of its rights, powers or remedies hereunder.</w:t>
      </w:r>
    </w:p>
    <w:p>
      <w:pPr>
        <w:spacing w:after="0" w:line="115" w:lineRule="exact"/>
        <w:rPr>
          <w:rFonts w:ascii="Times New Roman" w:cs="Times New Roman" w:eastAsia="Times New Roman" w:hAnsi="Times New Roman"/>
          <w:sz w:val="12"/>
          <w:szCs w:val="12"/>
          <w:color w:val="auto"/>
        </w:rPr>
      </w:pPr>
    </w:p>
    <w:p>
      <w:pPr>
        <w:jc w:val="both"/>
        <w:ind w:left="220" w:firstLine="446"/>
        <w:spacing w:after="0" w:line="268" w:lineRule="auto"/>
        <w:tabs>
          <w:tab w:leader="none" w:pos="8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notices, consents, waivers or other document or communications required or permitted to be given or delivered under the terms of this Warrant must be in writing and will be deemed to have been delivered: (i) upon receipt, if delivered personally; (ii)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(iii) if sent by overnight courier service, one (1) Trading Day after deposit with an overnight courier service with next day delivery specified, in each case, properly addressed to the party to receive the same. If notice is given by email, a copy of such notice shall be dispatched no later than the next business day by first class mail, postage prepaid. The addresses and e-mail addresses for such communications shall be: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If to the Company: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c/o DuMoulin Black LLP</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TMC the metals company Inc.</w:t>
      </w:r>
    </w:p>
    <w:p>
      <w:pPr>
        <w:ind w:left="760"/>
        <w:spacing w:after="0" w:line="197" w:lineRule="auto"/>
        <w:rPr>
          <w:sz w:val="20"/>
          <w:szCs w:val="20"/>
          <w:color w:val="auto"/>
        </w:rPr>
      </w:pPr>
      <w:r>
        <w:rPr>
          <w:rFonts w:ascii="Times New Roman" w:cs="Times New Roman" w:eastAsia="Times New Roman" w:hAnsi="Times New Roman"/>
          <w:sz w:val="12"/>
          <w:szCs w:val="12"/>
          <w:color w:val="auto"/>
        </w:rPr>
        <w:t>1111 West Hastings Street,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Floor</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Vancouver, British Columbia, V6E 2J3</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Attention: Chief Financial Officer</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Email: craig@metals.co</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With a copy (for informational purposes only) to:</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Mintz, Levin, Cohn, Ferris, Glovsky and Popeo, P.C.</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One Financial Center</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Boston, MA 02111</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E-mail: dtkajunski@mintz.com</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color w:val="auto"/>
        </w:rPr>
        <w:t>Attention: Daniel Kajunski, Esq.</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to a Holder, to its address or e-mail address set forth herein or on the books and records of the Company.</w:t>
      </w:r>
    </w:p>
    <w:p>
      <w:pPr>
        <w:spacing w:after="0" w:line="159" w:lineRule="exact"/>
        <w:rPr>
          <w:sz w:val="20"/>
          <w:szCs w:val="20"/>
          <w:color w:val="auto"/>
        </w:rPr>
      </w:pPr>
    </w:p>
    <w:p>
      <w:pPr>
        <w:jc w:val="both"/>
        <w:ind w:right="20" w:firstLine="223"/>
        <w:spacing w:after="0" w:line="271" w:lineRule="auto"/>
        <w:rPr>
          <w:sz w:val="20"/>
          <w:szCs w:val="20"/>
          <w:color w:val="auto"/>
        </w:rPr>
      </w:pPr>
      <w:r>
        <w:rPr>
          <w:rFonts w:ascii="Times New Roman" w:cs="Times New Roman" w:eastAsia="Times New Roman" w:hAnsi="Times New Roman"/>
          <w:sz w:val="12"/>
          <w:szCs w:val="12"/>
          <w:color w:val="auto"/>
        </w:rPr>
        <w:t>Or, in each of the above instances, to such other address or e-mail address and/or to the attention of such other person as the recipient party has specified by written notice given to each other party at least five (5) days prior to the effectiveness of such change. Written confirmation of receipt (A) given by the recipient of such notice, consent, waiver or other communication or (B) provided by an overnight courier service shall be rebuttable evidence of personal service, receipt from an overnight courier service in accordance with clause (i) or (iii) above, respectively. A copy of the e-mail transmission containing the time, date and recipient e- mail address shall be rebuttable evidence of receipt by e-mail in accordance with clause (ii) above.</w:t>
      </w:r>
    </w:p>
    <w:p>
      <w:pPr>
        <w:spacing w:after="0" w:line="26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15240</wp:posOffset>
            </wp:positionV>
            <wp:extent cx="717486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080"/>
          </w:cols>
          <w:pgMar w:left="520" w:top="666" w:right="299" w:bottom="1440" w:gutter="0" w:footer="0" w:header="0"/>
        </w:sectPr>
      </w:pPr>
    </w:p>
    <w:bookmarkStart w:id="13" w:name="page14"/>
    <w:bookmarkEnd w:id="13"/>
    <w:p>
      <w:pPr>
        <w:jc w:val="both"/>
        <w:ind w:right="20" w:firstLine="446"/>
        <w:spacing w:after="0" w:line="290" w:lineRule="auto"/>
        <w:tabs>
          <w:tab w:leader="none" w:pos="553"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Limitation of Liability</w:t>
      </w:r>
      <w:r>
        <w:rPr>
          <w:rFonts w:ascii="Times New Roman" w:cs="Times New Roman" w:eastAsia="Times New Roman" w:hAnsi="Times New Roman"/>
          <w:sz w:val="12"/>
          <w:szCs w:val="1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Company, whether such liability is asserted by the Company or by creditors of the Company.</w:t>
      </w:r>
    </w:p>
    <w:p>
      <w:pPr>
        <w:spacing w:after="0" w:line="261" w:lineRule="exact"/>
        <w:rPr>
          <w:rFonts w:ascii="Times New Roman" w:cs="Times New Roman" w:eastAsia="Times New Roman" w:hAnsi="Times New Roman"/>
          <w:sz w:val="12"/>
          <w:szCs w:val="12"/>
          <w:color w:val="auto"/>
        </w:rPr>
      </w:pPr>
    </w:p>
    <w:p>
      <w:pPr>
        <w:jc w:val="both"/>
        <w:ind w:right="20" w:firstLine="446"/>
        <w:spacing w:after="0" w:line="278" w:lineRule="auto"/>
        <w:tabs>
          <w:tab w:leader="none" w:pos="553"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15" w:lineRule="exact"/>
        <w:rPr>
          <w:rFonts w:ascii="Times New Roman" w:cs="Times New Roman" w:eastAsia="Times New Roman" w:hAnsi="Times New Roman"/>
          <w:sz w:val="12"/>
          <w:szCs w:val="12"/>
          <w:color w:val="auto"/>
        </w:rPr>
      </w:pPr>
    </w:p>
    <w:p>
      <w:pPr>
        <w:jc w:val="both"/>
        <w:ind w:firstLine="446"/>
        <w:spacing w:after="0" w:line="278" w:lineRule="auto"/>
        <w:tabs>
          <w:tab w:leader="none" w:pos="589"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5" w:lineRule="exact"/>
        <w:rPr>
          <w:rFonts w:ascii="Times New Roman" w:cs="Times New Roman" w:eastAsia="Times New Roman" w:hAnsi="Times New Roman"/>
          <w:sz w:val="12"/>
          <w:szCs w:val="12"/>
          <w:color w:val="auto"/>
        </w:rPr>
      </w:pPr>
    </w:p>
    <w:p>
      <w:pPr>
        <w:ind w:left="560" w:hanging="114"/>
        <w:spacing w:after="0"/>
        <w:tabs>
          <w:tab w:leader="none" w:pos="5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This Warrant may be modified or amended or the provisions hereof waived with the written consent of the Company and the Holder.</w:t>
      </w:r>
    </w:p>
    <w:p>
      <w:pPr>
        <w:spacing w:after="0" w:line="159" w:lineRule="exact"/>
        <w:rPr>
          <w:rFonts w:ascii="Times New Roman" w:cs="Times New Roman" w:eastAsia="Times New Roman" w:hAnsi="Times New Roman"/>
          <w:sz w:val="12"/>
          <w:szCs w:val="12"/>
          <w:color w:val="auto"/>
        </w:rPr>
      </w:pPr>
    </w:p>
    <w:p>
      <w:pPr>
        <w:ind w:firstLine="446"/>
        <w:spacing w:after="0" w:line="297" w:lineRule="auto"/>
        <w:tabs>
          <w:tab w:leader="none" w:pos="61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04" w:lineRule="exact"/>
        <w:rPr>
          <w:rFonts w:ascii="Times New Roman" w:cs="Times New Roman" w:eastAsia="Times New Roman" w:hAnsi="Times New Roman"/>
          <w:sz w:val="12"/>
          <w:szCs w:val="12"/>
          <w:color w:val="auto"/>
        </w:rPr>
      </w:pPr>
    </w:p>
    <w:p>
      <w:pPr>
        <w:ind w:left="580" w:hanging="134"/>
        <w:spacing w:after="0"/>
        <w:tabs>
          <w:tab w:leader="none" w:pos="5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Headings</w:t>
      </w:r>
      <w:r>
        <w:rPr>
          <w:rFonts w:ascii="Times New Roman" w:cs="Times New Roman" w:eastAsia="Times New Roman" w:hAnsi="Times New Roman"/>
          <w:sz w:val="12"/>
          <w:szCs w:val="12"/>
          <w:color w:val="auto"/>
        </w:rPr>
        <w:t>. The headings used in this Warrant are for the convenience of reference only and shall not, for any purpose, be deemed a part of this Warrant.</w:t>
      </w:r>
    </w:p>
    <w:p>
      <w:pPr>
        <w:spacing w:after="0" w:line="15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w:t>
      </w:r>
    </w:p>
    <w:p>
      <w:pPr>
        <w:spacing w:after="0" w:line="15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31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6" w:right="29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2"/>
          <w:szCs w:val="12"/>
          <w:color w:val="auto"/>
        </w:rPr>
        <w:t>IN WITNESS WHEREOF, the Company has caused this Warrant to be executed by its officer thereunto duly authorized as of the date first above indicated.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TMC THE METALS COMPANY INC.</w:t>
      </w:r>
    </w:p>
    <w:p>
      <w:pPr>
        <w:spacing w:after="0" w:line="31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/s/ Gerard Barron</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Name: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-86360</wp:posOffset>
            </wp:positionV>
            <wp:extent cx="336931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Agreed to and accepted by: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KINGDOM OF TONGA</w:t>
      </w:r>
    </w:p>
    <w:p>
      <w:pPr>
        <w:spacing w:after="0" w:line="31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/s/ 'Uhilamoelangi Fasi</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Name: Hon. Dr. 'Uhilamoelangi Fasi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-86360</wp:posOffset>
            </wp:positionV>
            <wp:extent cx="336931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2"/>
          <w:szCs w:val="12"/>
          <w:color w:val="auto"/>
        </w:rPr>
        <w:t>Title: Minister for Lands, Survey &amp; Natural Resources</w:t>
      </w:r>
    </w:p>
    <w:p>
      <w:pPr>
        <w:spacing w:after="0" w:line="14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2"/>
          <w:szCs w:val="12"/>
          <w:color w:val="auto"/>
        </w:rPr>
        <w:t>[Signature page to Common Share Purchase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717486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666"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t>NOTICE OF EXERCISE</w:t>
      </w:r>
    </w:p>
    <w:p>
      <w:pPr>
        <w:spacing w:after="0" w:line="16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2"/>
          <w:szCs w:val="12"/>
          <w:color w:val="auto"/>
        </w:rPr>
        <w:t>TO:</w:t>
      </w:r>
      <w:r>
        <w:rPr>
          <w:sz w:val="20"/>
          <w:szCs w:val="20"/>
          <w:color w:val="auto"/>
        </w:rPr>
        <w:tab/>
      </w:r>
      <w:r>
        <w:rPr>
          <w:rFonts w:ascii="Times New Roman" w:cs="Times New Roman" w:eastAsia="Times New Roman" w:hAnsi="Times New Roman"/>
          <w:sz w:val="12"/>
          <w:szCs w:val="12"/>
          <w:color w:val="auto"/>
        </w:rPr>
        <w:t>TMC the metals company Inc.</w:t>
      </w:r>
    </w:p>
    <w:p>
      <w:pPr>
        <w:spacing w:after="0" w:line="159" w:lineRule="exact"/>
        <w:rPr>
          <w:sz w:val="20"/>
          <w:szCs w:val="20"/>
          <w:color w:val="auto"/>
        </w:rPr>
      </w:pPr>
    </w:p>
    <w:p>
      <w:pPr>
        <w:ind w:firstLine="886"/>
        <w:spacing w:after="0" w:line="297" w:lineRule="auto"/>
        <w:tabs>
          <w:tab w:leader="none" w:pos="1065"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hereby elects to purchase ________ Warrant Shares of the Company pursuant to the terms of the attached Warrant (to be delivered only if exercised in full), and tenders herewith payment of the exercise price in full, together with all applicable transfer taxes, if any.</w:t>
      </w:r>
    </w:p>
    <w:p>
      <w:pPr>
        <w:spacing w:after="0" w:line="104" w:lineRule="exact"/>
        <w:rPr>
          <w:rFonts w:ascii="Times New Roman" w:cs="Times New Roman" w:eastAsia="Times New Roman" w:hAnsi="Times New Roman"/>
          <w:sz w:val="12"/>
          <w:szCs w:val="12"/>
          <w:color w:val="auto"/>
        </w:rPr>
      </w:pPr>
    </w:p>
    <w:p>
      <w:pPr>
        <w:ind w:left="1060" w:hanging="174"/>
        <w:spacing w:after="0"/>
        <w:tabs>
          <w:tab w:leader="none" w:pos="10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shall pay the aggregate Exercise Price of US$_________ for the applicable Warrant Shares to the Company in United States dollars as set forth in the attached Warrant.</w:t>
      </w:r>
    </w:p>
    <w:p>
      <w:pPr>
        <w:spacing w:after="0" w:line="159" w:lineRule="exact"/>
        <w:rPr>
          <w:rFonts w:ascii="Times New Roman" w:cs="Times New Roman" w:eastAsia="Times New Roman" w:hAnsi="Times New Roman"/>
          <w:sz w:val="12"/>
          <w:szCs w:val="12"/>
          <w:color w:val="auto"/>
        </w:rPr>
      </w:pPr>
    </w:p>
    <w:p>
      <w:pPr>
        <w:ind w:left="1060" w:hanging="174"/>
        <w:spacing w:after="0"/>
        <w:tabs>
          <w:tab w:leader="none" w:pos="10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Please issue said Warrant Shares in the name of the undersigned or in such other name as is specified below (in the account at the Transfer Agent as specified below):</w:t>
      </w:r>
    </w:p>
    <w:p>
      <w:pPr>
        <w:spacing w:after="0" w:line="1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OF HOLDER]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15240</wp:posOffset>
            </wp:positionV>
            <wp:extent cx="59537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53760" cy="571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Signature of Authorized Signatory of Investing Entity</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16510</wp:posOffset>
            </wp:positionV>
            <wp:extent cx="459041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90415" cy="571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15240</wp:posOffset>
            </wp:positionV>
            <wp:extent cx="56648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4835"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15240</wp:posOffset>
            </wp:positionV>
            <wp:extent cx="56648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4835"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15240</wp:posOffset>
            </wp:positionV>
            <wp:extent cx="681482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4820"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315595</wp:posOffset>
            </wp:positionV>
            <wp:extent cx="717486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16" w:name="page17"/>
    <w:bookmarkEnd w:id="16"/>
    <w:p>
      <w:pPr>
        <w:ind w:left="5020"/>
        <w:spacing w:after="0"/>
        <w:rPr>
          <w:sz w:val="20"/>
          <w:szCs w:val="20"/>
          <w:color w:val="auto"/>
        </w:rPr>
      </w:pPr>
      <w:r>
        <w:rPr>
          <w:rFonts w:ascii="Times New Roman" w:cs="Times New Roman" w:eastAsia="Times New Roman" w:hAnsi="Times New Roman"/>
          <w:sz w:val="12"/>
          <w:szCs w:val="12"/>
          <w:b w:val="1"/>
          <w:bCs w:val="1"/>
          <w:color w:val="auto"/>
        </w:rPr>
        <w:t>ASSIGNMENT FORM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(To assign the foregoing Warrant, execute this form and supply required information. Do not use this form to purchase shares.)</w:t>
      </w:r>
    </w:p>
    <w:p>
      <w:pPr>
        <w:spacing w:after="0" w:line="161" w:lineRule="exact"/>
        <w:rPr>
          <w:sz w:val="20"/>
          <w:szCs w:val="20"/>
          <w:color w:val="auto"/>
        </w:rPr>
      </w:pPr>
    </w:p>
    <w:p>
      <w:pPr>
        <w:ind w:firstLine="223"/>
        <w:spacing w:after="0" w:line="297" w:lineRule="auto"/>
        <w:rPr>
          <w:sz w:val="20"/>
          <w:szCs w:val="20"/>
          <w:color w:val="auto"/>
        </w:rPr>
      </w:pPr>
      <w:r>
        <w:rPr>
          <w:rFonts w:ascii="Times New Roman" w:cs="Times New Roman" w:eastAsia="Times New Roman" w:hAnsi="Times New Roman"/>
          <w:sz w:val="12"/>
          <w:szCs w:val="12"/>
          <w:color w:val="auto"/>
        </w:rPr>
        <w:t>FOR VALUE RECEIVED, the foregoing Warrant and all rights evidenced thereby are hereby assigned to (with the Holder representing and warranting that the assignment complied with all applicable laws and the restrictive legend set forth at the beginning of the foregoing Warrant):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-86360</wp:posOffset>
            </wp:positionV>
            <wp:extent cx="32277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27705" cy="57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-86360</wp:posOffset>
            </wp:positionV>
            <wp:extent cx="32277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27705" cy="57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15240</wp:posOffset>
            </wp:positionV>
            <wp:extent cx="32277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27705"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15240</wp:posOffset>
            </wp:positionV>
            <wp:extent cx="322770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27705"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15240</wp:posOffset>
            </wp:positionV>
            <wp:extent cx="322770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27705"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15240</wp:posOffset>
            </wp:positionV>
            <wp:extent cx="32277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27705"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15240</wp:posOffset>
            </wp:positionV>
            <wp:extent cx="32277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2770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315595</wp:posOffset>
            </wp:positionV>
            <wp:extent cx="717486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17" w:name="page18"/>
    <w:bookmarkEnd w:id="17"/>
    <w:p>
      <w:pPr>
        <w:ind w:left="10520"/>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171"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2"/>
          <w:szCs w:val="12"/>
          <w:color w:val="auto"/>
        </w:rPr>
        <w:t>CERTAIN CONFIDENTIAL INFORMATION CONTAINED IN THIS DOCUMENT, MARKED BY [***], HAS BEEN OMITTED BECAUSE THE INFORMATION (I) IS NOT MATERIAL AND (II) WOULD LIKELY CAUSE COMPETITIVE HARM IF PUBLICLY DISCLOSED.</w:t>
      </w:r>
    </w:p>
    <w:p>
      <w:pPr>
        <w:spacing w:after="0" w:line="104"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2"/>
          <w:szCs w:val="12"/>
          <w:color w:val="auto"/>
        </w:rPr>
        <w:t>Sponsorship Agreement</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The Tonga Seabed Minerals Authority on behalf of the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Government of the Kingdom of Tonga</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Tonga Offshore Mining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17486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color w:val="auto"/>
        </w:rPr>
        <w:t>Sponsorship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17486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3820" w:type="dxa"/>
            <w:vAlign w:val="bottom"/>
          </w:tcPr>
          <w:p>
            <w:pPr>
              <w:spacing w:after="0"/>
              <w:rPr>
                <w:sz w:val="14"/>
                <w:szCs w:val="14"/>
                <w:color w:val="auto"/>
              </w:rPr>
            </w:pPr>
          </w:p>
        </w:tc>
      </w:tr>
      <w:tr>
        <w:trPr>
          <w:trHeight w:val="297"/>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Agreement subject to Act</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Term</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Sponsorship</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Commercial Recovery Payment</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Audit</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Undertaking to Comply with ISA Contract Terms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Subcontractors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Training and Capacity Building</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9.</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Applicable Taxes and Payments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10.</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Tongan Laws, Expropriation and Corporate Existence</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11.</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Access to TOML Rights and Intellectual Property</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12.</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Assignment of TOML Rights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13.</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Notification to TOML</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14.</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Exploration and Exploitation Applications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15.</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Environmental and Safety Performance Monitoring Program</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16.</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ESPMP Officers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17.</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Completion Criteria</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18.</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Confidentiality</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19.</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Administration Fee</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20.</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TOML Default and State Default</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21.</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Temporary Suspension of Activities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22.</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Material TOML Breach Termination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23.</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Material State Breach</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24.</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Payment of a Continuity Benefit</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25.</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Dispute Resolution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26.</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Authorisation to Enter Agreement</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27.</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Governing Law &amp; Jurisdiction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28.</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International Law</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29.</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Notices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30.</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Entire Agreement</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31.</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Force Majeure</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32.</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Amendment</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33.</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Severability of Provisions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34.</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Further Assurances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35.</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No Limitation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36.</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Representations and Warranties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37.</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Non Reliance</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38.</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Counterparts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39.</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Interpretation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w:t>
            </w:r>
          </w:p>
        </w:tc>
      </w:tr>
      <w:tr>
        <w:trPr>
          <w:trHeight w:val="186"/>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40.</w:t>
            </w:r>
          </w:p>
        </w:tc>
        <w:tc>
          <w:tcPr>
            <w:tcW w:w="71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Definitions</w:t>
            </w:r>
          </w:p>
        </w:tc>
        <w:tc>
          <w:tcPr>
            <w:tcW w:w="3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7486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6"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805" cy="2950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 cy="295021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B</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w:t>
      </w:r>
    </w:p>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w:t>
      </w:r>
    </w:p>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August 4,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Tonga Seabed Minerals Authority</w:t>
      </w:r>
      <w:r>
        <w:rPr>
          <w:rFonts w:ascii="Times New Roman" w:cs="Times New Roman" w:eastAsia="Times New Roman" w:hAnsi="Times New Roman"/>
          <w:sz w:val="12"/>
          <w:szCs w:val="12"/>
          <w:color w:val="auto"/>
        </w:rPr>
        <w:t>, on behalf of</w:t>
      </w:r>
      <w:r>
        <w:rPr>
          <w:rFonts w:ascii="Times New Roman" w:cs="Times New Roman" w:eastAsia="Times New Roman" w:hAnsi="Times New Roman"/>
          <w:sz w:val="12"/>
          <w:szCs w:val="12"/>
          <w:b w:val="1"/>
          <w:bCs w:val="1"/>
          <w:color w:val="auto"/>
        </w:rPr>
        <w:t xml:space="preserve"> The Government of the Kingdom of Tonga (</w:t>
      </w:r>
      <w:r>
        <w:rPr>
          <w:rFonts w:ascii="Times New Roman" w:cs="Times New Roman" w:eastAsia="Times New Roman" w:hAnsi="Times New Roman"/>
          <w:sz w:val="12"/>
          <w:szCs w:val="12"/>
          <w:color w:val="auto"/>
        </w:rPr>
        <w:t>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State</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Tonga Offshore Mining Limited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TOML</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TOML has the exclusive right to explore for Polymetallic Nodules in the International Seabed Area pursuant to the ISA Exploration Contract.</w:t>
      </w:r>
    </w:p>
    <w:p>
      <w:pPr>
        <w:spacing w:after="0" w:line="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2"/>
          <w:szCs w:val="12"/>
          <w:color w:val="auto"/>
        </w:rPr>
        <w:t>The State has Sponsored TOML’s Seabed Mineral Activities in the International Seabed Area pursuant to the Sponsorship Certificate, and agrees to maintain Sponsorship on the terms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consideration for the State’s continued sponsorship, TOML will make certain payments to the State in accordance with this Agreement and the Act.</w:t>
      </w:r>
    </w:p>
    <w:p>
      <w:pPr>
        <w:spacing w:after="0" w:line="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2"/>
          <w:szCs w:val="12"/>
          <w:color w:val="auto"/>
        </w:rPr>
        <w:t>During Exploitation, the Commercial Recovery Payment will be paid via the Tonga Seabed Minerals Authority to the Seabed Minerals Fund, in accordance with the Act to provide benefits to Tonga’s current and future generations in a transparent manner.</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TOML currently funds community and social programs and provides training and capacity building initiatives for Tongan nationals and proposes to continue to provide such initiatives during the Exploration and Exploitation phases.</w:t>
      </w:r>
    </w:p>
    <w:p>
      <w:pPr>
        <w:spacing w:after="0" w:line="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2"/>
          <w:szCs w:val="12"/>
          <w:color w:val="auto"/>
        </w:rPr>
        <w:t>The Exploration and Exploitation will be carried out in the International Seabed Area, which is outside the sovereign jurisdiction of the State. For clarity, the State does not own the Polymetallic Nodules contained in the ISA Contract Area. Polymetallic nodule processing will also be carried out in a different national jurisdiction to the State given geographic and infrastructure constraints. ISA Contracts are administered by the ISA, and TOML will be required to make payments to the ISA if it were to recover minerals during Exploitation.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192405</wp:posOffset>
            </wp:positionV>
            <wp:extent cx="717486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15240</wp:posOffset>
            </wp:positionV>
            <wp:extent cx="717486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2">
            <w:col w:w="640" w:space="720"/>
            <w:col w:w="9940"/>
          </w:cols>
          <w:pgMar w:left="300" w:top="664" w:right="299" w:bottom="1440" w:gutter="0" w:footer="0" w:header="0"/>
        </w:sectPr>
      </w:pPr>
    </w:p>
    <w:bookmarkStart w:id="20" w:name="page21"/>
    <w:bookmarkEnd w:id="20"/>
    <w:p>
      <w:pPr>
        <w:ind w:left="1366" w:hanging="1143"/>
        <w:spacing w:after="0" w:line="268" w:lineRule="auto"/>
        <w:tabs>
          <w:tab w:leader="none" w:pos="136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acknowledged that considerable funds will be required to be expended before any commercial Exploitation of the Polymetallic Nodules in the ISA Contract Area. The State is not making any monetary investment toward the Seabed Mineral Activities in the ISA Contract Area, and accordingly is not exposed to the risk of loss associated with such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74865" cy="572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72135"/>
                    </a:xfrm>
                    <a:prstGeom prst="rect">
                      <a:avLst/>
                    </a:prstGeom>
                    <a:noFill/>
                  </pic:spPr>
                </pic:pic>
              </a:graphicData>
            </a:graphic>
          </wp:anchor>
        </w:drawing>
      </w:r>
    </w:p>
    <w:p>
      <w:pPr>
        <w:ind w:left="1366" w:hanging="1143"/>
        <w:spacing w:after="0" w:line="258" w:lineRule="auto"/>
        <w:tabs>
          <w:tab w:leader="none" w:pos="1366"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undertakes that its Polymetallic Nodule Exploitation in the International Seabed Area will not directly impact on the environment in the Kingdom of Tonga and will not cause depletion of the Kingdom of Tonga’s own mineral resources.</w:t>
      </w:r>
    </w:p>
    <w:p>
      <w:pPr>
        <w:spacing w:after="0" w:line="1" w:lineRule="exact"/>
        <w:rPr>
          <w:sz w:val="20"/>
          <w:szCs w:val="20"/>
          <w:color w:val="auto"/>
        </w:rPr>
      </w:pPr>
    </w:p>
    <w:p>
      <w:pPr>
        <w:ind w:left="1366" w:hanging="1143"/>
        <w:spacing w:after="0"/>
        <w:tabs>
          <w:tab w:leader="none" w:pos="1366"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regard to the respective obligations and commitments under this Agreement, each of the parties covenant that it shall act in good faith and deal fairly with the other party.</w:t>
      </w:r>
    </w:p>
    <w:p>
      <w:pPr>
        <w:spacing w:after="0" w:line="3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For good and valuable consideration, the Parties hereto agree to be bound by the following terms and conditions:</w:t>
      </w:r>
    </w:p>
    <w:p>
      <w:pPr>
        <w:spacing w:after="0" w:line="157" w:lineRule="exact"/>
        <w:rPr>
          <w:sz w:val="20"/>
          <w:szCs w:val="20"/>
          <w:color w:val="auto"/>
        </w:rPr>
      </w:pPr>
    </w:p>
    <w:p>
      <w:pPr>
        <w:ind w:left="446" w:hanging="446"/>
        <w:spacing w:after="0"/>
        <w:tabs>
          <w:tab w:leader="none" w:pos="446"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Agreement subject to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446" w:hanging="436"/>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2"/>
          <w:szCs w:val="12"/>
          <w:color w:val="auto"/>
        </w:rPr>
        <w:t>This Agreement is issued under and subject at all times to the Act and the Regulations issued under the Act as at the date of this Agreement. If and to the extent any term and condition of this Agreement is in conflict with or inconsistent with the Act as at the date of this Agreement, the latter prevails.</w:t>
      </w:r>
    </w:p>
    <w:p>
      <w:pPr>
        <w:spacing w:after="0" w:line="104"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2"/>
          <w:szCs w:val="12"/>
          <w:color w:val="auto"/>
        </w:rPr>
        <w:t>Notwithstanding clause 1.1:</w:t>
      </w:r>
    </w:p>
    <w:p>
      <w:pPr>
        <w:spacing w:after="0" w:line="159" w:lineRule="exact"/>
        <w:rPr>
          <w:sz w:val="20"/>
          <w:szCs w:val="20"/>
          <w:color w:val="auto"/>
        </w:rPr>
      </w:pPr>
    </w:p>
    <w:p>
      <w:pPr>
        <w:ind w:left="886" w:right="20"/>
        <w:spacing w:after="0" w:line="297" w:lineRule="auto"/>
        <w:rPr>
          <w:sz w:val="20"/>
          <w:szCs w:val="20"/>
          <w:color w:val="auto"/>
        </w:rPr>
      </w:pPr>
      <w:r>
        <w:rPr>
          <w:rFonts w:ascii="Times New Roman" w:cs="Times New Roman" w:eastAsia="Times New Roman" w:hAnsi="Times New Roman"/>
          <w:sz w:val="12"/>
          <w:szCs w:val="12"/>
          <w:color w:val="auto"/>
        </w:rPr>
        <w:t>the State acknowledges that the payments, contributions and benefits set out in this Agreement are done in satisfaction of any and all payments that may otherwise be payable by TOML under the Act and indemnifies TOML against any liability to make additional payments to the State other than those set out in this Agreement.</w:t>
      </w:r>
    </w:p>
    <w:p>
      <w:pPr>
        <w:spacing w:after="0" w:line="104" w:lineRule="exact"/>
        <w:rPr>
          <w:sz w:val="20"/>
          <w:szCs w:val="20"/>
          <w:color w:val="auto"/>
        </w:rPr>
      </w:pPr>
    </w:p>
    <w:p>
      <w:pPr>
        <w:ind w:left="446" w:right="20" w:hanging="436"/>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2"/>
          <w:szCs w:val="12"/>
          <w:color w:val="auto"/>
        </w:rPr>
        <w:t>Unless a contrary intention appears, terms used in this Agreement that are defined in UNCLOS, the relevant Rules of the ISA, the Act or the Regulations have the same meaning as those in UNCLOS, the relevant Rules of the ISA, the Act or the Regulations.</w:t>
      </w:r>
    </w:p>
    <w:p>
      <w:pPr>
        <w:spacing w:after="0" w:line="102" w:lineRule="exact"/>
        <w:rPr>
          <w:sz w:val="20"/>
          <w:szCs w:val="20"/>
          <w:color w:val="auto"/>
        </w:rPr>
      </w:pPr>
    </w:p>
    <w:p>
      <w:pPr>
        <w:ind w:left="446" w:hanging="446"/>
        <w:spacing w:after="0"/>
        <w:tabs>
          <w:tab w:leader="none" w:pos="446"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2.1</w:t>
      </w:r>
      <w:r>
        <w:rPr>
          <w:sz w:val="20"/>
          <w:szCs w:val="20"/>
          <w:color w:val="auto"/>
        </w:rPr>
        <w:tab/>
      </w:r>
      <w:r>
        <w:rPr>
          <w:rFonts w:ascii="Times New Roman" w:cs="Times New Roman" w:eastAsia="Times New Roman" w:hAnsi="Times New Roman"/>
          <w:sz w:val="12"/>
          <w:szCs w:val="12"/>
          <w:color w:val="auto"/>
        </w:rPr>
        <w:t>This Agreement will remain in force until:</w:t>
      </w:r>
    </w:p>
    <w:p>
      <w:pPr>
        <w:spacing w:after="0" w:line="159" w:lineRule="exact"/>
        <w:rPr>
          <w:sz w:val="20"/>
          <w:szCs w:val="20"/>
          <w:color w:val="auto"/>
        </w:rPr>
      </w:pPr>
    </w:p>
    <w:p>
      <w:pPr>
        <w:ind w:left="886" w:hanging="440"/>
        <w:spacing w:after="0"/>
        <w:tabs>
          <w:tab w:leader="none" w:pos="886"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agree to terminate the Agreement;</w:t>
      </w:r>
    </w:p>
    <w:p>
      <w:pPr>
        <w:spacing w:after="0" w:line="159"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is terminated pursuant to clauses 10.6, 12, 22, or 23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17486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84" w:right="299" w:bottom="1440" w:gutter="0" w:footer="0" w:header="0"/>
        </w:sectPr>
      </w:pPr>
    </w:p>
    <w:bookmarkStart w:id="21" w:name="page22"/>
    <w:bookmarkEnd w:id="21"/>
    <w:p>
      <w:pPr>
        <w:jc w:val="both"/>
        <w:ind w:left="446" w:hanging="436"/>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2"/>
          <w:szCs w:val="12"/>
          <w:color w:val="auto"/>
        </w:rPr>
        <w:t>During the Term, and only if TOML holds an ISA Contracts, TOML shall, within [***] days of the end of each calendar year, submit a report to the Tonga Seabed Minerals Authority, containing information on its programme of activities for the previous year. Within [***] days of submitting the report, the Parties shall meet to discuss the report, as well as the performance of each of the Parties under this Agreement, to ensure the Agreement is being fulfilled as originally intended.</w:t>
      </w:r>
    </w:p>
    <w:p>
      <w:pPr>
        <w:spacing w:after="0" w:line="113" w:lineRule="exact"/>
        <w:rPr>
          <w:sz w:val="20"/>
          <w:szCs w:val="20"/>
          <w:color w:val="auto"/>
        </w:rPr>
      </w:pPr>
    </w:p>
    <w:p>
      <w:pPr>
        <w:ind w:left="446" w:hanging="446"/>
        <w:spacing w:after="0"/>
        <w:tabs>
          <w:tab w:leader="none" w:pos="446" w:val="left"/>
        </w:tabs>
        <w:numPr>
          <w:ilvl w:val="0"/>
          <w:numId w:val="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Sponsorship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2"/>
          <w:szCs w:val="12"/>
          <w:color w:val="auto"/>
        </w:rPr>
        <w:t>The State agrees to:</w:t>
      </w:r>
    </w:p>
    <w:p>
      <w:pPr>
        <w:spacing w:after="0" w:line="159" w:lineRule="exact"/>
        <w:rPr>
          <w:sz w:val="20"/>
          <w:szCs w:val="20"/>
          <w:color w:val="auto"/>
        </w:rPr>
      </w:pPr>
    </w:p>
    <w:p>
      <w:pPr>
        <w:ind w:left="866" w:right="20" w:hanging="420"/>
        <w:spacing w:after="0" w:line="268" w:lineRule="auto"/>
        <w:tabs>
          <w:tab w:leader="none" w:pos="866"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and maintain Sponsorship of TOML and TOML’s Exploration and Exploitation of the ISA Contract Area (including providing Sponsorship of any future TOML’s Exploitation application(s) to the ISA) for the Term of this Agreement; and</w:t>
      </w:r>
    </w:p>
    <w:p>
      <w:pPr>
        <w:jc w:val="both"/>
        <w:ind w:left="866" w:hanging="420"/>
        <w:spacing w:after="0" w:line="267" w:lineRule="auto"/>
        <w:tabs>
          <w:tab w:leader="none" w:pos="866"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all things reasonably necessary to give effect to TOML having the full benefit of the Sponsorship, including renewing TOML’s Sponsorship Certificate where applicable, supporting any application made by TOML to the ISA for an extension to its ISA Exploration Contract, undertaking communications with, and providing documentation, certificates and undertakings to, the ISA or other regulatory body required in respect of the Sponsorship.</w:t>
      </w:r>
    </w:p>
    <w:p>
      <w:pPr>
        <w:spacing w:after="0" w:line="122" w:lineRule="exact"/>
        <w:rPr>
          <w:sz w:val="20"/>
          <w:szCs w:val="20"/>
          <w:color w:val="auto"/>
        </w:rPr>
      </w:pPr>
    </w:p>
    <w:p>
      <w:pPr>
        <w:ind w:left="446" w:right="20" w:hanging="436"/>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3.2</w:t>
      </w:r>
      <w:r>
        <w:rPr>
          <w:sz w:val="20"/>
          <w:szCs w:val="20"/>
          <w:color w:val="auto"/>
        </w:rPr>
        <w:tab/>
      </w:r>
      <w:r>
        <w:rPr>
          <w:rFonts w:ascii="Times New Roman" w:cs="Times New Roman" w:eastAsia="Times New Roman" w:hAnsi="Times New Roman"/>
          <w:sz w:val="12"/>
          <w:szCs w:val="12"/>
          <w:color w:val="auto"/>
        </w:rPr>
        <w:t>For clarity, the State acknowledges that the Sponsorship is provided by the State, as a signatory to UNCLOS, for the purposes of UNCLOS and the Rules of the ISA and that neither this Agreement nor Sponsorship confers on the State any rights to or in connection with:</w:t>
      </w:r>
    </w:p>
    <w:p>
      <w:pPr>
        <w:spacing w:after="0" w:line="104" w:lineRule="exact"/>
        <w:rPr>
          <w:sz w:val="20"/>
          <w:szCs w:val="20"/>
          <w:color w:val="auto"/>
        </w:rPr>
      </w:pPr>
    </w:p>
    <w:p>
      <w:pPr>
        <w:ind w:left="866" w:hanging="420"/>
        <w:spacing w:after="0"/>
        <w:tabs>
          <w:tab w:leader="none" w:pos="866"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ISA Contracts;</w:t>
      </w:r>
    </w:p>
    <w:p>
      <w:pPr>
        <w:spacing w:after="0" w:line="22" w:lineRule="exact"/>
        <w:rPr>
          <w:rFonts w:ascii="Times New Roman" w:cs="Times New Roman" w:eastAsia="Times New Roman" w:hAnsi="Times New Roman"/>
          <w:sz w:val="12"/>
          <w:szCs w:val="12"/>
          <w:color w:val="auto"/>
        </w:rPr>
      </w:pPr>
    </w:p>
    <w:p>
      <w:pPr>
        <w:ind w:left="866" w:hanging="420"/>
        <w:spacing w:after="0"/>
        <w:tabs>
          <w:tab w:leader="none" w:pos="866"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Polymetallic Nodules contained within the ISA Contract Area or recovered therefrom; or</w:t>
      </w:r>
    </w:p>
    <w:p>
      <w:pPr>
        <w:spacing w:after="0" w:line="10" w:lineRule="exact"/>
        <w:rPr>
          <w:rFonts w:ascii="Times New Roman" w:cs="Times New Roman" w:eastAsia="Times New Roman" w:hAnsi="Times New Roman"/>
          <w:sz w:val="12"/>
          <w:szCs w:val="12"/>
          <w:color w:val="auto"/>
        </w:rPr>
      </w:pPr>
    </w:p>
    <w:p>
      <w:pPr>
        <w:ind w:left="866" w:hanging="420"/>
        <w:spacing w:after="0"/>
        <w:tabs>
          <w:tab w:leader="none" w:pos="866"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product produced from the processing of the Polymetallic Nodules.</w:t>
      </w:r>
    </w:p>
    <w:p>
      <w:pPr>
        <w:spacing w:after="0" w:line="148" w:lineRule="exact"/>
        <w:rPr>
          <w:sz w:val="20"/>
          <w:szCs w:val="20"/>
          <w:color w:val="auto"/>
        </w:rPr>
      </w:pPr>
    </w:p>
    <w:p>
      <w:pPr>
        <w:jc w:val="both"/>
        <w:ind w:left="446" w:right="20" w:hanging="436"/>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3.3</w:t>
      </w:r>
      <w:r>
        <w:rPr>
          <w:sz w:val="20"/>
          <w:szCs w:val="20"/>
          <w:color w:val="auto"/>
        </w:rPr>
        <w:tab/>
      </w:r>
      <w:r>
        <w:rPr>
          <w:rFonts w:ascii="Times New Roman" w:cs="Times New Roman" w:eastAsia="Times New Roman" w:hAnsi="Times New Roman"/>
          <w:sz w:val="12"/>
          <w:szCs w:val="12"/>
          <w:color w:val="auto"/>
        </w:rPr>
        <w:t>Under its ISA Contracts, TOML will have the exclusive enjoyment and right to carry out the Exploration and Exploitation in the ISA Contract Area, and TOML may at its sole discretion deal with the title and ownership of ISA Contract Area and Polymetallic Nodules in any way.</w:t>
      </w:r>
    </w:p>
    <w:p>
      <w:pPr>
        <w:spacing w:after="0" w:line="104" w:lineRule="exact"/>
        <w:rPr>
          <w:sz w:val="20"/>
          <w:szCs w:val="20"/>
          <w:color w:val="auto"/>
        </w:rPr>
      </w:pPr>
    </w:p>
    <w:p>
      <w:pPr>
        <w:jc w:val="both"/>
        <w:ind w:left="446" w:hanging="436"/>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3.4</w:t>
      </w:r>
      <w:r>
        <w:rPr>
          <w:sz w:val="20"/>
          <w:szCs w:val="20"/>
          <w:color w:val="auto"/>
        </w:rPr>
        <w:tab/>
      </w:r>
      <w:r>
        <w:rPr>
          <w:rFonts w:ascii="Times New Roman" w:cs="Times New Roman" w:eastAsia="Times New Roman" w:hAnsi="Times New Roman"/>
          <w:sz w:val="12"/>
          <w:szCs w:val="12"/>
          <w:color w:val="auto"/>
        </w:rPr>
        <w:t>The State recognizes that the Exploration and Exploitation within the ISA Contract Area shall require significant international financing, and the State agrees to use its best efforts to assist the TOML Group to obtain financing, including entering into agreements and providing formal documents that the lenders, investors and other third parties may reasonably require in relation to Sponsorship and the provision of regulatory certainty, however nothing herein will require or be deemed that the State has provided or guaranteed any such financing.</w:t>
      </w:r>
    </w:p>
    <w:p>
      <w:pPr>
        <w:spacing w:after="0" w:line="115"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3.5</w:t>
      </w:r>
      <w:r>
        <w:rPr>
          <w:sz w:val="20"/>
          <w:szCs w:val="20"/>
          <w:color w:val="auto"/>
        </w:rPr>
        <w:tab/>
      </w:r>
      <w:r>
        <w:rPr>
          <w:rFonts w:ascii="Times New Roman" w:cs="Times New Roman" w:eastAsia="Times New Roman" w:hAnsi="Times New Roman"/>
          <w:sz w:val="12"/>
          <w:szCs w:val="12"/>
          <w:color w:val="auto"/>
        </w:rPr>
        <w:t>For the avoidance of doubt, the State is only sponsoring TOML, and is not sponsoring or responsible for the activities of any other entity in the TOML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17486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22" w:name="page23"/>
    <w:bookmarkEnd w:id="22"/>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3.6</w:t>
      </w:r>
      <w:r>
        <w:rPr>
          <w:sz w:val="20"/>
          <w:szCs w:val="20"/>
          <w:color w:val="auto"/>
        </w:rPr>
        <w:tab/>
      </w:r>
      <w:r>
        <w:rPr>
          <w:rFonts w:ascii="Times New Roman" w:cs="Times New Roman" w:eastAsia="Times New Roman" w:hAnsi="Times New Roman"/>
          <w:sz w:val="12"/>
          <w:szCs w:val="12"/>
          <w:color w:val="auto"/>
        </w:rPr>
        <w:t>For clarity, the Sponsorship Certificate is also referred to as a Title under the Act.</w:t>
      </w:r>
    </w:p>
    <w:p>
      <w:pPr>
        <w:spacing w:after="0" w:line="157" w:lineRule="exact"/>
        <w:rPr>
          <w:sz w:val="20"/>
          <w:szCs w:val="20"/>
          <w:color w:val="auto"/>
        </w:rPr>
      </w:pPr>
    </w:p>
    <w:p>
      <w:pPr>
        <w:ind w:left="446" w:hanging="446"/>
        <w:spacing w:after="0"/>
        <w:tabs>
          <w:tab w:leader="none" w:pos="446"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Commercial Recovery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446" w:hanging="436"/>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4.1</w:t>
      </w:r>
      <w:r>
        <w:rPr>
          <w:sz w:val="20"/>
          <w:szCs w:val="20"/>
          <w:color w:val="auto"/>
        </w:rPr>
        <w:tab/>
      </w:r>
      <w:r>
        <w:rPr>
          <w:rFonts w:ascii="Times New Roman" w:cs="Times New Roman" w:eastAsia="Times New Roman" w:hAnsi="Times New Roman"/>
          <w:sz w:val="12"/>
          <w:szCs w:val="12"/>
          <w:color w:val="auto"/>
        </w:rPr>
        <w:t>In exchange for the State agreeing to provide continued Sponsorship for the Term on the terms set out in this Agreement, TOML shall pay to the Tonga Seabed Minerals Authority during Payment Years a Commercial Recovery Payment (“</w:t>
      </w:r>
      <w:r>
        <w:rPr>
          <w:rFonts w:ascii="Times New Roman" w:cs="Times New Roman" w:eastAsia="Times New Roman" w:hAnsi="Times New Roman"/>
          <w:sz w:val="12"/>
          <w:szCs w:val="12"/>
          <w:b w:val="1"/>
          <w:bCs w:val="1"/>
          <w:color w:val="auto"/>
        </w:rPr>
        <w:t>CRP</w:t>
      </w:r>
      <w:r>
        <w:rPr>
          <w:rFonts w:ascii="Times New Roman" w:cs="Times New Roman" w:eastAsia="Times New Roman" w:hAnsi="Times New Roman"/>
          <w:sz w:val="12"/>
          <w:szCs w:val="12"/>
          <w:color w:val="auto"/>
        </w:rPr>
        <w:t>”) in accordance with this clause 4.</w:t>
      </w:r>
    </w:p>
    <w:p>
      <w:pPr>
        <w:spacing w:after="0" w:line="104"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4.2</w:t>
      </w:r>
      <w:r>
        <w:rPr>
          <w:sz w:val="20"/>
          <w:szCs w:val="20"/>
          <w:color w:val="auto"/>
        </w:rPr>
        <w:tab/>
      </w:r>
      <w:r>
        <w:rPr>
          <w:rFonts w:ascii="Times New Roman" w:cs="Times New Roman" w:eastAsia="Times New Roman" w:hAnsi="Times New Roman"/>
          <w:sz w:val="12"/>
          <w:szCs w:val="12"/>
          <w:color w:val="auto"/>
        </w:rPr>
        <w:t>The CRP will be [***] per Tonne of Polymetallic Nodules Recovered from the ISA Contract Area during Payment Years.</w:t>
      </w:r>
    </w:p>
    <w:p>
      <w:pPr>
        <w:spacing w:after="0" w:line="159"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4.3</w:t>
      </w:r>
      <w:r>
        <w:rPr>
          <w:sz w:val="20"/>
          <w:szCs w:val="20"/>
          <w:color w:val="auto"/>
        </w:rPr>
        <w:tab/>
      </w:r>
      <w:r>
        <w:rPr>
          <w:rFonts w:ascii="Times New Roman" w:cs="Times New Roman" w:eastAsia="Times New Roman" w:hAnsi="Times New Roman"/>
          <w:sz w:val="12"/>
          <w:szCs w:val="12"/>
          <w:color w:val="auto"/>
        </w:rPr>
        <w:t>The CRP shall be paid in arrears on or before:</w:t>
      </w:r>
    </w:p>
    <w:p>
      <w:pPr>
        <w:spacing w:after="0" w:line="159" w:lineRule="exact"/>
        <w:rPr>
          <w:sz w:val="20"/>
          <w:szCs w:val="20"/>
          <w:color w:val="auto"/>
        </w:rPr>
      </w:pPr>
    </w:p>
    <w:p>
      <w:pPr>
        <w:ind w:left="866" w:hanging="420"/>
        <w:spacing w:after="0"/>
        <w:tabs>
          <w:tab w:leader="none" w:pos="86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last day of [***], in respect of the period [***] to [***] each year; and</w:t>
      </w:r>
    </w:p>
    <w:p>
      <w:pPr>
        <w:spacing w:after="0" w:line="22" w:lineRule="exact"/>
        <w:rPr>
          <w:rFonts w:ascii="Times New Roman" w:cs="Times New Roman" w:eastAsia="Times New Roman" w:hAnsi="Times New Roman"/>
          <w:sz w:val="12"/>
          <w:szCs w:val="12"/>
          <w:color w:val="auto"/>
        </w:rPr>
      </w:pPr>
    </w:p>
    <w:p>
      <w:pPr>
        <w:ind w:left="866" w:hanging="420"/>
        <w:spacing w:after="0"/>
        <w:tabs>
          <w:tab w:leader="none" w:pos="86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last day of [***], in respect of the period [***] to [***] each year.</w:t>
      </w:r>
    </w:p>
    <w:p>
      <w:pPr>
        <w:spacing w:after="0" w:line="148" w:lineRule="exact"/>
        <w:rPr>
          <w:sz w:val="20"/>
          <w:szCs w:val="20"/>
          <w:color w:val="auto"/>
        </w:rPr>
      </w:pPr>
    </w:p>
    <w:p>
      <w:pPr>
        <w:jc w:val="both"/>
        <w:ind w:left="446" w:hanging="436"/>
        <w:spacing w:after="0" w:line="268" w:lineRule="auto"/>
        <w:tabs>
          <w:tab w:leader="none" w:pos="425" w:val="left"/>
        </w:tabs>
        <w:rPr>
          <w:sz w:val="20"/>
          <w:szCs w:val="20"/>
          <w:color w:val="auto"/>
        </w:rPr>
      </w:pPr>
      <w:r>
        <w:rPr>
          <w:rFonts w:ascii="Times New Roman" w:cs="Times New Roman" w:eastAsia="Times New Roman" w:hAnsi="Times New Roman"/>
          <w:sz w:val="12"/>
          <w:szCs w:val="12"/>
          <w:color w:val="auto"/>
        </w:rPr>
        <w:t>4.4</w:t>
      </w:r>
      <w:r>
        <w:rPr>
          <w:sz w:val="20"/>
          <w:szCs w:val="20"/>
          <w:color w:val="auto"/>
        </w:rPr>
        <w:tab/>
      </w:r>
      <w:r>
        <w:rPr>
          <w:rFonts w:ascii="Times New Roman" w:cs="Times New Roman" w:eastAsia="Times New Roman" w:hAnsi="Times New Roman"/>
          <w:sz w:val="12"/>
          <w:szCs w:val="12"/>
          <w:color w:val="auto"/>
        </w:rPr>
        <w:t>The CRP shall be adjusted (on a compounding basis) on the first day of January in each following year by the relevant factor in each following year that represents official inflation in the United States of America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using the All Items Consumer Price Index for All Urban Consumers (CPI-U) for the US City Average published from time to time by the US Department of Labour, Bureau of Labour Statistics. For example, if</w:t>
      </w:r>
    </w:p>
    <w:p>
      <w:pPr>
        <w:spacing w:after="0" w:line="1"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2"/>
          <w:szCs w:val="12"/>
          <w:color w:val="auto"/>
        </w:rPr>
        <w:t>official inflation in the US is 3% in the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color w:val="auto"/>
        </w:rPr>
        <w:t xml:space="preserve"> year of this Agreement the CRP will be increased by 3%.</w:t>
      </w:r>
    </w:p>
    <w:p>
      <w:pPr>
        <w:spacing w:after="0" w:line="84"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4.5</w:t>
      </w:r>
      <w:r>
        <w:rPr>
          <w:sz w:val="20"/>
          <w:szCs w:val="20"/>
          <w:color w:val="auto"/>
        </w:rPr>
        <w:tab/>
      </w:r>
      <w:r>
        <w:rPr>
          <w:rFonts w:ascii="Times New Roman" w:cs="Times New Roman" w:eastAsia="Times New Roman" w:hAnsi="Times New Roman"/>
          <w:sz w:val="12"/>
          <w:szCs w:val="12"/>
          <w:color w:val="auto"/>
        </w:rPr>
        <w:t>No CRP or other amounts or payments will be payable by TOML to the State (except for the Administration Fee under clause 19 of this Agreement) until [***].</w:t>
      </w:r>
    </w:p>
    <w:p>
      <w:pPr>
        <w:spacing w:after="0" w:line="159" w:lineRule="exact"/>
        <w:rPr>
          <w:sz w:val="20"/>
          <w:szCs w:val="20"/>
          <w:color w:val="auto"/>
        </w:rPr>
      </w:pPr>
    </w:p>
    <w:p>
      <w:pPr>
        <w:jc w:val="both"/>
        <w:ind w:left="446" w:hanging="436"/>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4.6</w:t>
      </w:r>
      <w:r>
        <w:rPr>
          <w:sz w:val="20"/>
          <w:szCs w:val="20"/>
          <w:color w:val="auto"/>
        </w:rPr>
        <w:tab/>
      </w:r>
      <w:r>
        <w:rPr>
          <w:rFonts w:ascii="Times New Roman" w:cs="Times New Roman" w:eastAsia="Times New Roman" w:hAnsi="Times New Roman"/>
          <w:sz w:val="12"/>
          <w:szCs w:val="12"/>
          <w:color w:val="auto"/>
        </w:rPr>
        <w:t>Subject to clauses 10 and 19 of this Agreement, the State hereby agrees that the TOML Group will not be subject to or required to pay any taxes, payments or fees, other than those set out in this Agreement or the Act (as at the date of this Agreement), including the CRP and the taxes, payments and fees listed in clause 9.</w:t>
      </w:r>
    </w:p>
    <w:p>
      <w:pPr>
        <w:spacing w:after="0" w:line="104" w:lineRule="exact"/>
        <w:rPr>
          <w:sz w:val="20"/>
          <w:szCs w:val="20"/>
          <w:color w:val="auto"/>
        </w:rPr>
      </w:pPr>
    </w:p>
    <w:p>
      <w:pPr>
        <w:jc w:val="both"/>
        <w:ind w:left="446" w:hanging="436"/>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4.7</w:t>
      </w:r>
      <w:r>
        <w:rPr>
          <w:sz w:val="20"/>
          <w:szCs w:val="20"/>
          <w:color w:val="auto"/>
        </w:rPr>
        <w:tab/>
      </w:r>
      <w:r>
        <w:rPr>
          <w:rFonts w:ascii="Times New Roman" w:cs="Times New Roman" w:eastAsia="Times New Roman" w:hAnsi="Times New Roman"/>
          <w:sz w:val="12"/>
          <w:szCs w:val="12"/>
          <w:color w:val="auto"/>
        </w:rPr>
        <w:t>The State hereby undertakes and affirms that at no time will the rights (and the full and peaceful enjoyment thereof) granted by it under this Agreement be discriminately derogated from or otherwise prejudiced by any Tongan Law or the action or inaction of the State, or any official thereof, or any other person whose actions or inactions are subject to the control of the Government. To the extent there is inconsistency between any future Tongan Law related to taxation or the financial terms between the State and the TOML Group, then this Agreement will govern.</w:t>
      </w:r>
    </w:p>
    <w:p>
      <w:pPr>
        <w:spacing w:after="0" w:line="115" w:lineRule="exact"/>
        <w:rPr>
          <w:sz w:val="20"/>
          <w:szCs w:val="20"/>
          <w:color w:val="auto"/>
        </w:rPr>
      </w:pPr>
    </w:p>
    <w:p>
      <w:pPr>
        <w:jc w:val="both"/>
        <w:ind w:left="446" w:hanging="436"/>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4.8</w:t>
      </w:r>
      <w:r>
        <w:rPr>
          <w:sz w:val="20"/>
          <w:szCs w:val="20"/>
          <w:color w:val="auto"/>
        </w:rPr>
        <w:tab/>
      </w:r>
      <w:r>
        <w:rPr>
          <w:rFonts w:ascii="Times New Roman" w:cs="Times New Roman" w:eastAsia="Times New Roman" w:hAnsi="Times New Roman"/>
          <w:sz w:val="12"/>
          <w:szCs w:val="12"/>
          <w:color w:val="auto"/>
        </w:rPr>
        <w:t>In accordance with section 94 of the Act, once the CRP has been received by the Tonga Seabed Minerals Authority, the Tonga Seabed Minerals Authority will pay the funds in to the Seabed Minerals Fund, excepting any funds allocated by the Treasury to be used directly for the purposes of covering the costs of establishing the Tonga Seabed Minerals Authority and performing the functions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7486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23" w:name="page24"/>
    <w:bookmarkEnd w:id="23"/>
    <w:p>
      <w:pPr>
        <w:ind w:left="446" w:hanging="446"/>
        <w:spacing w:after="0"/>
        <w:tabs>
          <w:tab w:leader="none" w:pos="446"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jc w:val="both"/>
        <w:ind w:left="446" w:right="20" w:hanging="436"/>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5.1</w:t>
      </w:r>
      <w:r>
        <w:rPr>
          <w:sz w:val="20"/>
          <w:szCs w:val="20"/>
          <w:color w:val="auto"/>
        </w:rPr>
        <w:tab/>
      </w:r>
      <w:r>
        <w:rPr>
          <w:rFonts w:ascii="Times New Roman" w:cs="Times New Roman" w:eastAsia="Times New Roman" w:hAnsi="Times New Roman"/>
          <w:sz w:val="12"/>
          <w:szCs w:val="12"/>
          <w:color w:val="auto"/>
        </w:rPr>
        <w:t>During the term of the ISA Contract, the State may, not more than once each calendar year, request in writing an independent audit of the amount of Polymetallic Nodules Recovered in the preceding calendar year (“</w:t>
      </w:r>
      <w:r>
        <w:rPr>
          <w:rFonts w:ascii="Times New Roman" w:cs="Times New Roman" w:eastAsia="Times New Roman" w:hAnsi="Times New Roman"/>
          <w:sz w:val="12"/>
          <w:szCs w:val="12"/>
          <w:b w:val="1"/>
          <w:bCs w:val="1"/>
          <w:color w:val="auto"/>
        </w:rPr>
        <w:t>Production Audit</w:t>
      </w:r>
      <w:r>
        <w:rPr>
          <w:rFonts w:ascii="Times New Roman" w:cs="Times New Roman" w:eastAsia="Times New Roman" w:hAnsi="Times New Roman"/>
          <w:sz w:val="12"/>
          <w:szCs w:val="12"/>
          <w:color w:val="auto"/>
        </w:rPr>
        <w:t>”). If the State requests a Production Audit, TOML and the State shall seek to agree on a suitably qualified and independent auditor to conduct the Production Audit.</w:t>
      </w:r>
    </w:p>
    <w:p>
      <w:pPr>
        <w:spacing w:after="0" w:line="104"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5.2</w:t>
      </w:r>
      <w:r>
        <w:rPr>
          <w:sz w:val="20"/>
          <w:szCs w:val="20"/>
          <w:color w:val="auto"/>
        </w:rPr>
        <w:tab/>
      </w:r>
      <w:r>
        <w:rPr>
          <w:rFonts w:ascii="Times New Roman" w:cs="Times New Roman" w:eastAsia="Times New Roman" w:hAnsi="Times New Roman"/>
          <w:sz w:val="12"/>
          <w:szCs w:val="12"/>
          <w:color w:val="auto"/>
        </w:rPr>
        <w:t>TOML will provide the auditor with reasonable access to its records for the purpose of undertaking the Production Audit.</w:t>
      </w:r>
    </w:p>
    <w:p>
      <w:pPr>
        <w:spacing w:after="0" w:line="159" w:lineRule="exact"/>
        <w:rPr>
          <w:sz w:val="20"/>
          <w:szCs w:val="20"/>
          <w:color w:val="auto"/>
        </w:rPr>
      </w:pPr>
    </w:p>
    <w:p>
      <w:pPr>
        <w:jc w:val="both"/>
        <w:ind w:left="446" w:right="20" w:hanging="436"/>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5.3</w:t>
      </w:r>
      <w:r>
        <w:rPr>
          <w:sz w:val="20"/>
          <w:szCs w:val="20"/>
          <w:color w:val="auto"/>
        </w:rPr>
        <w:tab/>
      </w:r>
      <w:r>
        <w:rPr>
          <w:rFonts w:ascii="Times New Roman" w:cs="Times New Roman" w:eastAsia="Times New Roman" w:hAnsi="Times New Roman"/>
          <w:sz w:val="12"/>
          <w:szCs w:val="12"/>
          <w:color w:val="auto"/>
        </w:rPr>
        <w:t>The Parties will require the auditor to provide a written report to the Parties on the findings of the Production Audit within [***] days of completion of the Production Audit. In the absence of manifest error, the findings of the auditor will be binding on the Parties.</w:t>
      </w:r>
    </w:p>
    <w:p>
      <w:pPr>
        <w:spacing w:after="0" w:line="104" w:lineRule="exact"/>
        <w:rPr>
          <w:sz w:val="20"/>
          <w:szCs w:val="20"/>
          <w:color w:val="auto"/>
        </w:rPr>
      </w:pPr>
    </w:p>
    <w:p>
      <w:pPr>
        <w:jc w:val="both"/>
        <w:ind w:left="446" w:hanging="436"/>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5.4</w:t>
      </w:r>
      <w:r>
        <w:rPr>
          <w:sz w:val="20"/>
          <w:szCs w:val="20"/>
          <w:color w:val="auto"/>
        </w:rPr>
        <w:tab/>
      </w:r>
      <w:r>
        <w:rPr>
          <w:rFonts w:ascii="Times New Roman" w:cs="Times New Roman" w:eastAsia="Times New Roman" w:hAnsi="Times New Roman"/>
          <w:sz w:val="12"/>
          <w:szCs w:val="12"/>
          <w:color w:val="auto"/>
        </w:rPr>
        <w:t>If the auditor determines that a materially larger or smaller (i.e. more than 5%) amount of Polymetallic Nodules were Recovered from the ISA Contract Area in the preceding year than reflected in the CRP calculated by TOML for the year pursuant to clause 4, then within [***] of receipt of the auditor's report, TOML must recalculate in accordance with the accurate and revised figures determined by the auditor for that year the CRP under clause 4, and pay to (or deduct from future payments to) the State the difference between the CRP already paid and the CRP due under clause 4 on the basis of the revised figures.</w:t>
      </w:r>
    </w:p>
    <w:p>
      <w:pPr>
        <w:spacing w:after="0" w:line="115"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5.5</w:t>
      </w:r>
      <w:r>
        <w:rPr>
          <w:sz w:val="20"/>
          <w:szCs w:val="20"/>
          <w:color w:val="auto"/>
        </w:rPr>
        <w:tab/>
      </w:r>
      <w:r>
        <w:rPr>
          <w:rFonts w:ascii="Times New Roman" w:cs="Times New Roman" w:eastAsia="Times New Roman" w:hAnsi="Times New Roman"/>
          <w:sz w:val="12"/>
          <w:szCs w:val="12"/>
          <w:color w:val="auto"/>
        </w:rPr>
        <w:t>The cost of an audit under this clause will be borne equally between the State and TOML.</w:t>
      </w:r>
    </w:p>
    <w:p>
      <w:pPr>
        <w:spacing w:after="0" w:line="157" w:lineRule="exact"/>
        <w:rPr>
          <w:sz w:val="20"/>
          <w:szCs w:val="20"/>
          <w:color w:val="auto"/>
        </w:rPr>
      </w:pPr>
    </w:p>
    <w:p>
      <w:pPr>
        <w:ind w:left="446" w:hanging="446"/>
        <w:spacing w:after="0"/>
        <w:tabs>
          <w:tab w:leader="none" w:pos="446"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Undertaking to Comply with ISA Contract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6.1</w:t>
      </w:r>
      <w:r>
        <w:rPr>
          <w:sz w:val="20"/>
          <w:szCs w:val="20"/>
          <w:color w:val="auto"/>
        </w:rPr>
        <w:tab/>
      </w:r>
      <w:r>
        <w:rPr>
          <w:rFonts w:ascii="Times New Roman" w:cs="Times New Roman" w:eastAsia="Times New Roman" w:hAnsi="Times New Roman"/>
          <w:sz w:val="12"/>
          <w:szCs w:val="12"/>
          <w:color w:val="auto"/>
        </w:rPr>
        <w:t>TOML shall ensure that the Activities carried out in the International Seabed Area will be in compliance with:</w:t>
      </w:r>
    </w:p>
    <w:p>
      <w:pPr>
        <w:spacing w:after="0" w:line="159" w:lineRule="exact"/>
        <w:rPr>
          <w:sz w:val="20"/>
          <w:szCs w:val="20"/>
          <w:color w:val="auto"/>
        </w:rPr>
      </w:pPr>
    </w:p>
    <w:p>
      <w:pPr>
        <w:ind w:left="866" w:right="20" w:hanging="420"/>
        <w:spacing w:after="0" w:line="268" w:lineRule="auto"/>
        <w:tabs>
          <w:tab w:leader="none" w:pos="866"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conditions of the applicable ISA Contract that is in existence at the time and that pertains to the Activities in the International Seabed Area, including the environmental terms and conditions contained in the applicable ISA Contract; and</w:t>
      </w:r>
    </w:p>
    <w:p>
      <w:pPr>
        <w:ind w:left="886" w:hanging="440"/>
        <w:spacing w:after="0"/>
        <w:tabs>
          <w:tab w:leader="none" w:pos="886"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TOML’s ISA Obligations that pertain to the Activities in the International Seabed Area.</w:t>
      </w:r>
    </w:p>
    <w:p>
      <w:pPr>
        <w:spacing w:after="0" w:line="148"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6.2</w:t>
      </w:r>
      <w:r>
        <w:rPr>
          <w:sz w:val="20"/>
          <w:szCs w:val="20"/>
          <w:color w:val="auto"/>
        </w:rPr>
        <w:tab/>
      </w:r>
      <w:r>
        <w:rPr>
          <w:rFonts w:ascii="Times New Roman" w:cs="Times New Roman" w:eastAsia="Times New Roman" w:hAnsi="Times New Roman"/>
          <w:sz w:val="12"/>
          <w:szCs w:val="12"/>
          <w:color w:val="auto"/>
        </w:rPr>
        <w:t>TOML and its Subcontractors will not commit any actions, or make any omissions that would cause the State to materially breach its Sponsorship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17486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24" w:name="page25"/>
    <w:bookmarkEnd w:id="24"/>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6.3</w:t>
      </w:r>
      <w:r>
        <w:rPr>
          <w:sz w:val="20"/>
          <w:szCs w:val="20"/>
          <w:color w:val="auto"/>
        </w:rPr>
        <w:tab/>
      </w:r>
      <w:r>
        <w:rPr>
          <w:rFonts w:ascii="Times New Roman" w:cs="Times New Roman" w:eastAsia="Times New Roman" w:hAnsi="Times New Roman"/>
          <w:sz w:val="12"/>
          <w:szCs w:val="12"/>
          <w:color w:val="auto"/>
        </w:rPr>
        <w:t>The State will not commit any actions or make any omissions that would cause TOML to breach its obligations under clause 6.1 .</w:t>
      </w:r>
    </w:p>
    <w:p>
      <w:pPr>
        <w:spacing w:after="0" w:line="157" w:lineRule="exact"/>
        <w:rPr>
          <w:sz w:val="20"/>
          <w:szCs w:val="20"/>
          <w:color w:val="auto"/>
        </w:rPr>
      </w:pPr>
    </w:p>
    <w:p>
      <w:pPr>
        <w:ind w:left="446" w:hanging="446"/>
        <w:spacing w:after="0"/>
        <w:tabs>
          <w:tab w:leader="none" w:pos="446" w:val="left"/>
        </w:tabs>
        <w:numPr>
          <w:ilvl w:val="0"/>
          <w:numId w:val="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7.1</w:t>
      </w:r>
      <w:r>
        <w:rPr>
          <w:sz w:val="20"/>
          <w:szCs w:val="20"/>
          <w:color w:val="auto"/>
        </w:rPr>
        <w:tab/>
      </w:r>
      <w:r>
        <w:rPr>
          <w:rFonts w:ascii="Times New Roman" w:cs="Times New Roman" w:eastAsia="Times New Roman" w:hAnsi="Times New Roman"/>
          <w:sz w:val="12"/>
          <w:szCs w:val="12"/>
          <w:color w:val="auto"/>
        </w:rPr>
        <w:t>Subject to the provisions of this clause, the State acknowledges and agrees that TOML may delegate to and/or contract with Subcontractors to undertake all or part of the Exploration and Exploitation.</w:t>
      </w:r>
    </w:p>
    <w:p>
      <w:pPr>
        <w:spacing w:after="0" w:line="159"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7.2</w:t>
      </w:r>
      <w:r>
        <w:rPr>
          <w:sz w:val="20"/>
          <w:szCs w:val="20"/>
          <w:color w:val="auto"/>
        </w:rPr>
        <w:tab/>
      </w:r>
      <w:r>
        <w:rPr>
          <w:rFonts w:ascii="Times New Roman" w:cs="Times New Roman" w:eastAsia="Times New Roman" w:hAnsi="Times New Roman"/>
          <w:sz w:val="12"/>
          <w:szCs w:val="12"/>
          <w:color w:val="auto"/>
        </w:rPr>
        <w:t>Notwithstanding any delegation or contract to a Subcontractor, TOML:</w:t>
      </w:r>
    </w:p>
    <w:p>
      <w:pPr>
        <w:spacing w:after="0" w:line="159" w:lineRule="exact"/>
        <w:rPr>
          <w:sz w:val="20"/>
          <w:szCs w:val="20"/>
          <w:color w:val="auto"/>
        </w:rPr>
      </w:pPr>
    </w:p>
    <w:p>
      <w:pPr>
        <w:ind w:left="886" w:right="20" w:hanging="440"/>
        <w:spacing w:after="0" w:line="268" w:lineRule="auto"/>
        <w:tabs>
          <w:tab w:leader="none" w:pos="886"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remains bound by its obligations under this Agreement and the Act to carry out the Activities in accordance with TOML’s ISA Obligations, and will take reasonable and appropriate measures to ensure that the Subcontractors comply with TOML’s ISA Obligations;</w:t>
      </w:r>
    </w:p>
    <w:p>
      <w:pPr>
        <w:ind w:left="886" w:hanging="440"/>
        <w:spacing w:after="0" w:line="258" w:lineRule="auto"/>
        <w:tabs>
          <w:tab w:leader="none" w:pos="886"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agrees that the Exploration and Exploitation under an ISA Contract shall be carried out in accordance with TOML’s ISA Obligations and the Act, whether the Exploration or Exploitation is being carried out by TOML or a Subcontractor; and</w:t>
      </w:r>
    </w:p>
    <w:p>
      <w:pPr>
        <w:ind w:left="886" w:hanging="440"/>
        <w:spacing w:after="0" w:line="277" w:lineRule="auto"/>
        <w:tabs>
          <w:tab w:leader="none" w:pos="886"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responsible to the State for any monetary damage the State suffers under UNCLOS for a breach of its Sponsorship Obligations resulting from the acts, negligence, omissions or defaults of any Subcontractor in carrying out the Activities in the International Seabed Area under TOML’s ISA Contract, as if they were the acts, negligence, omissions or defaults of TOML.</w:t>
      </w:r>
    </w:p>
    <w:p>
      <w:pPr>
        <w:spacing w:after="0" w:line="116" w:lineRule="exact"/>
        <w:rPr>
          <w:sz w:val="20"/>
          <w:szCs w:val="20"/>
          <w:color w:val="auto"/>
        </w:rPr>
      </w:pPr>
    </w:p>
    <w:p>
      <w:pPr>
        <w:ind w:left="446"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7.3</w:t>
      </w:r>
      <w:r>
        <w:rPr>
          <w:sz w:val="20"/>
          <w:szCs w:val="20"/>
          <w:color w:val="auto"/>
        </w:rPr>
        <w:tab/>
      </w:r>
      <w:r>
        <w:rPr>
          <w:rFonts w:ascii="Times New Roman" w:cs="Times New Roman" w:eastAsia="Times New Roman" w:hAnsi="Times New Roman"/>
          <w:sz w:val="12"/>
          <w:szCs w:val="12"/>
          <w:color w:val="auto"/>
        </w:rPr>
        <w:t>TOML shall take reasonable and appropriate measures to ensure that the Activities carried out in the International Seabed Area under an ISA Contract are executed by and under the supervision of appropriately qualified, experienced and skilled personnel.</w:t>
      </w:r>
    </w:p>
    <w:p>
      <w:pPr>
        <w:spacing w:after="0" w:line="102" w:lineRule="exact"/>
        <w:rPr>
          <w:sz w:val="20"/>
          <w:szCs w:val="20"/>
          <w:color w:val="auto"/>
        </w:rPr>
      </w:pPr>
    </w:p>
    <w:p>
      <w:pPr>
        <w:ind w:left="446" w:hanging="446"/>
        <w:spacing w:after="0"/>
        <w:tabs>
          <w:tab w:leader="none" w:pos="446"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Training and Capacity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8.1</w:t>
      </w:r>
      <w:r>
        <w:rPr>
          <w:sz w:val="20"/>
          <w:szCs w:val="20"/>
          <w:color w:val="auto"/>
        </w:rPr>
        <w:tab/>
      </w:r>
      <w:r>
        <w:rPr>
          <w:rFonts w:ascii="Times New Roman" w:cs="Times New Roman" w:eastAsia="Times New Roman" w:hAnsi="Times New Roman"/>
          <w:sz w:val="12"/>
          <w:szCs w:val="12"/>
          <w:color w:val="auto"/>
        </w:rPr>
        <w:t>TOML will fund and implement training and capacity building initiatives for Tongan nationals.</w:t>
      </w:r>
    </w:p>
    <w:p>
      <w:pPr>
        <w:spacing w:after="0" w:line="157" w:lineRule="exact"/>
        <w:rPr>
          <w:sz w:val="20"/>
          <w:szCs w:val="20"/>
          <w:color w:val="auto"/>
        </w:rPr>
      </w:pPr>
    </w:p>
    <w:p>
      <w:pPr>
        <w:ind w:left="446" w:hanging="446"/>
        <w:spacing w:after="0"/>
        <w:tabs>
          <w:tab w:leader="none" w:pos="446" w:val="left"/>
        </w:tabs>
        <w:numPr>
          <w:ilvl w:val="0"/>
          <w:numId w:val="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Applicable Taxes and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9.1</w:t>
      </w:r>
      <w:r>
        <w:rPr>
          <w:sz w:val="20"/>
          <w:szCs w:val="20"/>
          <w:color w:val="auto"/>
        </w:rPr>
        <w:tab/>
      </w:r>
      <w:r>
        <w:rPr>
          <w:rFonts w:ascii="Times New Roman" w:cs="Times New Roman" w:eastAsia="Times New Roman" w:hAnsi="Times New Roman"/>
          <w:sz w:val="12"/>
          <w:szCs w:val="12"/>
          <w:color w:val="auto"/>
        </w:rPr>
        <w:t>Notwithstanding anything contained in this Agreement, TOML agrees that it will be subject to the following payments and conditions, where applicable:</w:t>
      </w:r>
    </w:p>
    <w:p>
      <w:pPr>
        <w:spacing w:after="0" w:line="159" w:lineRule="exact"/>
        <w:rPr>
          <w:sz w:val="20"/>
          <w:szCs w:val="20"/>
          <w:color w:val="auto"/>
        </w:rPr>
      </w:pPr>
    </w:p>
    <w:p>
      <w:pPr>
        <w:ind w:left="886" w:hanging="440"/>
        <w:spacing w:after="0"/>
        <w:tabs>
          <w:tab w:leader="none" w:pos="88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717486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25" w:name="page26"/>
    <w:bookmarkEnd w:id="25"/>
    <w:p>
      <w:pPr>
        <w:ind w:left="886" w:hanging="440"/>
        <w:spacing w:after="0"/>
        <w:tabs>
          <w:tab w:leader="none" w:pos="886"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2"/>
          <w:szCs w:val="12"/>
          <w:color w:val="auto"/>
        </w:rPr>
        <w:t>provided that such payments and conditions are applied on a fair and reasonable basis and are imposed on a non-discriminatory basis to all Tongan entities and nationals.</w:t>
      </w:r>
    </w:p>
    <w:p>
      <w:pPr>
        <w:spacing w:after="0" w:line="159" w:lineRule="exact"/>
        <w:rPr>
          <w:sz w:val="20"/>
          <w:szCs w:val="20"/>
          <w:color w:val="auto"/>
        </w:rPr>
      </w:pPr>
    </w:p>
    <w:p>
      <w:pPr>
        <w:ind w:left="446"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9.2</w:t>
      </w:r>
      <w:r>
        <w:rPr>
          <w:sz w:val="20"/>
          <w:szCs w:val="20"/>
          <w:color w:val="auto"/>
        </w:rPr>
        <w:tab/>
      </w:r>
      <w:r>
        <w:rPr>
          <w:rFonts w:ascii="Times New Roman" w:cs="Times New Roman" w:eastAsia="Times New Roman" w:hAnsi="Times New Roman"/>
          <w:sz w:val="12"/>
          <w:szCs w:val="12"/>
          <w:color w:val="auto"/>
        </w:rPr>
        <w:t>The State also agrees that the payments TOML makes pursuant to this Agreement satisfy, fulfil and extinguish any obligation or liability to make any payments whatsoever under the Act. The State further indemnifies TOML against [***].</w:t>
      </w:r>
    </w:p>
    <w:p>
      <w:pPr>
        <w:spacing w:after="0" w:line="104"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9.3</w:t>
      </w:r>
      <w:r>
        <w:rPr>
          <w:sz w:val="20"/>
          <w:szCs w:val="20"/>
          <w:color w:val="auto"/>
        </w:rPr>
        <w:tab/>
      </w:r>
      <w:r>
        <w:rPr>
          <w:rFonts w:ascii="Times New Roman" w:cs="Times New Roman" w:eastAsia="Times New Roman" w:hAnsi="Times New Roman"/>
          <w:sz w:val="12"/>
          <w:szCs w:val="12"/>
          <w:color w:val="auto"/>
        </w:rPr>
        <w:t>For the avoidance of doubt, the TOML Group will not be subject to or required to pay any other Taxes for the Term, including without limitation [***].</w:t>
      </w:r>
    </w:p>
    <w:p>
      <w:pPr>
        <w:spacing w:after="0" w:line="157" w:lineRule="exact"/>
        <w:rPr>
          <w:sz w:val="20"/>
          <w:szCs w:val="20"/>
          <w:color w:val="auto"/>
        </w:rPr>
      </w:pPr>
    </w:p>
    <w:p>
      <w:pPr>
        <w:ind w:left="446" w:hanging="446"/>
        <w:spacing w:after="0"/>
        <w:tabs>
          <w:tab w:leader="none" w:pos="446"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Tongan Laws, Expropriation and Corporate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10.1</w:t>
      </w:r>
      <w:r>
        <w:rPr>
          <w:sz w:val="20"/>
          <w:szCs w:val="20"/>
          <w:color w:val="auto"/>
        </w:rPr>
        <w:tab/>
      </w:r>
      <w:r>
        <w:rPr>
          <w:rFonts w:ascii="Times New Roman" w:cs="Times New Roman" w:eastAsia="Times New Roman" w:hAnsi="Times New Roman"/>
          <w:sz w:val="12"/>
          <w:szCs w:val="12"/>
          <w:color w:val="auto"/>
        </w:rPr>
        <w:t>The State agrees and warrants that:</w:t>
      </w:r>
    </w:p>
    <w:p>
      <w:pPr>
        <w:spacing w:after="0" w:line="159" w:lineRule="exact"/>
        <w:rPr>
          <w:sz w:val="20"/>
          <w:szCs w:val="20"/>
          <w:color w:val="auto"/>
        </w:rPr>
      </w:pPr>
    </w:p>
    <w:p>
      <w:pPr>
        <w:jc w:val="both"/>
        <w:ind w:left="886" w:hanging="440"/>
        <w:spacing w:after="0" w:line="265" w:lineRule="auto"/>
        <w:tabs>
          <w:tab w:leader="none" w:pos="886"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Tongan Laws and regulations brought into effect after the Commencement Date will not interfere with or diminish TOML’s rights with respect to any ISA Contract Area, the Business or the rights arising under this Agreement and must not be a Discriminatory Change in Tongan Law, except to the extent the State has an obligation at International Law to enact or comply with such laws in order to fulfil the State’s Sponsorship Obligations;</w:t>
      </w:r>
    </w:p>
    <w:p>
      <w:pPr>
        <w:ind w:left="886" w:right="20" w:hanging="440"/>
        <w:spacing w:after="0" w:line="258" w:lineRule="auto"/>
        <w:tabs>
          <w:tab w:leader="none" w:pos="886"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TOML or the TOML Group’s rights and obligations under this Agreement conflict with their rights and obligations under any Tongan Law, this Agreement will take precedence, and TOML and the TOML Group will be relieved of any obligations under Tongan Law to the extent that their rights and obligations conflict with Tongan Law;</w:t>
      </w:r>
    </w:p>
    <w:p>
      <w:pPr>
        <w:ind w:left="886" w:hanging="440"/>
        <w:spacing w:after="0"/>
        <w:tabs>
          <w:tab w:leader="none" w:pos="886"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will take such actions necessary to give effect to the exemptions from applicable law and tax law expressly provided in this Agreement.</w:t>
      </w:r>
    </w:p>
    <w:p>
      <w:pPr>
        <w:spacing w:after="0" w:line="148"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10.2</w:t>
      </w:r>
      <w:r>
        <w:rPr>
          <w:sz w:val="20"/>
          <w:szCs w:val="20"/>
          <w:color w:val="auto"/>
        </w:rPr>
        <w:tab/>
      </w:r>
      <w:r>
        <w:rPr>
          <w:rFonts w:ascii="Times New Roman" w:cs="Times New Roman" w:eastAsia="Times New Roman" w:hAnsi="Times New Roman"/>
          <w:sz w:val="12"/>
          <w:szCs w:val="12"/>
          <w:color w:val="auto"/>
        </w:rPr>
        <w:t>Prior to bringing in any laws or regulations that are required by International Law to fulfil the State’s Sponsorship Obligations the State will provide TOML with reasonable and meaningful consultation.</w:t>
      </w:r>
    </w:p>
    <w:p>
      <w:pPr>
        <w:spacing w:after="0" w:line="159" w:lineRule="exact"/>
        <w:rPr>
          <w:sz w:val="20"/>
          <w:szCs w:val="20"/>
          <w:color w:val="auto"/>
        </w:rPr>
      </w:pPr>
    </w:p>
    <w:p>
      <w:pPr>
        <w:jc w:val="both"/>
        <w:ind w:left="446" w:right="20" w:hanging="445"/>
        <w:spacing w:after="0" w:line="271" w:lineRule="auto"/>
        <w:tabs>
          <w:tab w:leader="none" w:pos="425" w:val="left"/>
        </w:tabs>
        <w:rPr>
          <w:sz w:val="20"/>
          <w:szCs w:val="20"/>
          <w:color w:val="auto"/>
        </w:rPr>
      </w:pPr>
      <w:r>
        <w:rPr>
          <w:rFonts w:ascii="Times New Roman" w:cs="Times New Roman" w:eastAsia="Times New Roman" w:hAnsi="Times New Roman"/>
          <w:sz w:val="12"/>
          <w:szCs w:val="12"/>
          <w:color w:val="auto"/>
        </w:rPr>
        <w:t>10.3</w:t>
      </w:r>
      <w:r>
        <w:rPr>
          <w:sz w:val="20"/>
          <w:szCs w:val="20"/>
          <w:color w:val="auto"/>
        </w:rPr>
        <w:tab/>
      </w:r>
      <w:r>
        <w:rPr>
          <w:rFonts w:ascii="Times New Roman" w:cs="Times New Roman" w:eastAsia="Times New Roman" w:hAnsi="Times New Roman"/>
          <w:sz w:val="12"/>
          <w:szCs w:val="12"/>
          <w:color w:val="auto"/>
        </w:rPr>
        <w:t>The State must also notify TOML from time to time as to any applicable Tongan Law that may be brought in to effect to fulfil the State’s Sponsorship Obligations and shall provide TOML sufficient time to ensure that it is able to comply with those laws or otherwise seek dispute resolution between the Parties with regards to the application of such Tongan Law. In the event any such change comes into force and materially impacts on the financial obligations of TOML, then the parties agree to negotiate in good faith appropriate amendments to the payments contemplated to the State under this Agreement in order to maintain the same level of financial burden on TOML as of the date of execution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717486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84" w:right="299" w:bottom="1440" w:gutter="0" w:footer="0" w:header="0"/>
        </w:sectPr>
      </w:pPr>
    </w:p>
    <w:bookmarkStart w:id="26" w:name="page27"/>
    <w:bookmarkEnd w:id="26"/>
    <w:p>
      <w:pPr>
        <w:jc w:val="both"/>
        <w:ind w:left="440" w:hanging="445"/>
        <w:spacing w:after="0" w:line="271" w:lineRule="auto"/>
        <w:tabs>
          <w:tab w:leader="none" w:pos="42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The State shall not impose, nor shall it permit or authorise any of its agencies or instrumentalities or any local or other authority of the State to impose any Taxes, impositions, rates or charges of any nature whatsoever on or in respect of the titles, property, or other assets, products, materials, or services used or produced by or through the Activities or by any or all of the TOML Group otherwise in the conduct of its business pursuant to the TOML Rights nor will the State take or permit to be taken by any such State authority any other discriminatory action which would deprive the TOML Group of full enjoyment of the rights granted and intended to be granted by the TOML Rights or otherwise under this Agreement.</w:t>
      </w:r>
    </w:p>
    <w:p>
      <w:pPr>
        <w:spacing w:after="0" w:line="120" w:lineRule="exact"/>
        <w:rPr>
          <w:sz w:val="20"/>
          <w:szCs w:val="20"/>
          <w:color w:val="auto"/>
        </w:rPr>
      </w:pPr>
    </w:p>
    <w:p>
      <w:pPr>
        <w:jc w:val="both"/>
        <w:ind w:left="440" w:right="2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10.5</w:t>
      </w:r>
      <w:r>
        <w:rPr>
          <w:sz w:val="20"/>
          <w:szCs w:val="20"/>
          <w:color w:val="auto"/>
        </w:rPr>
        <w:tab/>
      </w:r>
      <w:r>
        <w:rPr>
          <w:rFonts w:ascii="Times New Roman" w:cs="Times New Roman" w:eastAsia="Times New Roman" w:hAnsi="Times New Roman"/>
          <w:sz w:val="12"/>
          <w:szCs w:val="12"/>
          <w:color w:val="auto"/>
        </w:rPr>
        <w:t>In enacting and implementing Tongan Laws and regulations the State shall at all times accord TOML fair and equitable treatment, and will provide a stable and predictable legal framework and make decisions consistently and transparently and in accordance with the legitimate expectations of TOML and the TOML Group.</w:t>
      </w:r>
    </w:p>
    <w:p>
      <w:pPr>
        <w:spacing w:after="0" w:line="104" w:lineRule="exact"/>
        <w:rPr>
          <w:sz w:val="20"/>
          <w:szCs w:val="20"/>
          <w:color w:val="auto"/>
        </w:rPr>
      </w:pPr>
    </w:p>
    <w:p>
      <w:pPr>
        <w:jc w:val="both"/>
        <w:ind w:left="440" w:hanging="445"/>
        <w:spacing w:after="0" w:line="268" w:lineRule="auto"/>
        <w:tabs>
          <w:tab w:leader="none" w:pos="420" w:val="left"/>
        </w:tabs>
        <w:rPr>
          <w:sz w:val="20"/>
          <w:szCs w:val="20"/>
          <w:color w:val="auto"/>
        </w:rPr>
      </w:pPr>
      <w:r>
        <w:rPr>
          <w:rFonts w:ascii="Times New Roman" w:cs="Times New Roman" w:eastAsia="Times New Roman" w:hAnsi="Times New Roman"/>
          <w:sz w:val="12"/>
          <w:szCs w:val="12"/>
          <w:color w:val="auto"/>
        </w:rPr>
        <w:t>10.6</w:t>
      </w:r>
      <w:r>
        <w:rPr>
          <w:sz w:val="20"/>
          <w:szCs w:val="20"/>
          <w:color w:val="auto"/>
        </w:rPr>
        <w:tab/>
      </w:r>
      <w:r>
        <w:rPr>
          <w:rFonts w:ascii="Times New Roman" w:cs="Times New Roman" w:eastAsia="Times New Roman" w:hAnsi="Times New Roman"/>
          <w:sz w:val="12"/>
          <w:szCs w:val="12"/>
          <w:color w:val="auto"/>
        </w:rPr>
        <w:t>In the event there occurs any change in Tongan Laws (including without limitation provisions relating to imposts, duties, fees, charges, penalties, and Tax related legislation) after the date of this Agreement, and if upon TOML’s representation it appears that on a reasonable interpretation and application of the law it would have the effect of divesting, decreasing, or in any way limiting, reducing or withholding any rights or benefits accruing to TOML or the TOML Group under this Agreement or under current legislation, then the Parties shall, in good faith, negotiate to modify this Agreement so as to restore the economic rights and benefits of the TOML Group to a level equivalent to or as close as possible to what they would have been if such change had not occurred. If the economic rights and benefits of the TOML Group are not restored then TOML may at its election terminate this agreement.</w:t>
      </w:r>
    </w:p>
    <w:p>
      <w:pPr>
        <w:spacing w:after="0" w:line="122" w:lineRule="exact"/>
        <w:rPr>
          <w:sz w:val="20"/>
          <w:szCs w:val="20"/>
          <w:color w:val="auto"/>
        </w:rPr>
      </w:pPr>
    </w:p>
    <w:p>
      <w:pPr>
        <w:jc w:val="both"/>
        <w:ind w:left="440" w:right="2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10.7</w:t>
      </w:r>
      <w:r>
        <w:rPr>
          <w:sz w:val="20"/>
          <w:szCs w:val="20"/>
          <w:color w:val="auto"/>
        </w:rPr>
        <w:tab/>
      </w:r>
      <w:r>
        <w:rPr>
          <w:rFonts w:ascii="Times New Roman" w:cs="Times New Roman" w:eastAsia="Times New Roman" w:hAnsi="Times New Roman"/>
          <w:sz w:val="12"/>
          <w:szCs w:val="12"/>
          <w:color w:val="auto"/>
        </w:rPr>
        <w:t>The State will permit all bona fide monetary conversions and transfers related to the TOML Rights or the Business (including currency conversions, transfers to, by or on behalf of TOML, or any member of the TOML Group) to be made freely and without delay into and out of the Kingdom of Tonga provided the procedural laws applicable to the transfer of funds out of jurisdiction applicable to all persons are be complied with.</w:t>
      </w:r>
    </w:p>
    <w:p>
      <w:pPr>
        <w:spacing w:after="0" w:line="104" w:lineRule="exact"/>
        <w:rPr>
          <w:sz w:val="20"/>
          <w:szCs w:val="20"/>
          <w:color w:val="auto"/>
        </w:rPr>
      </w:pPr>
    </w:p>
    <w:p>
      <w:pPr>
        <w:jc w:val="both"/>
        <w:ind w:left="440" w:right="2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10.8</w:t>
      </w:r>
      <w:r>
        <w:rPr>
          <w:sz w:val="20"/>
          <w:szCs w:val="20"/>
          <w:color w:val="auto"/>
        </w:rPr>
        <w:tab/>
      </w:r>
      <w:r>
        <w:rPr>
          <w:rFonts w:ascii="Times New Roman" w:cs="Times New Roman" w:eastAsia="Times New Roman" w:hAnsi="Times New Roman"/>
          <w:sz w:val="12"/>
          <w:szCs w:val="12"/>
          <w:color w:val="auto"/>
        </w:rPr>
        <w:t>The State acting in good faith shall not do or cause to be done or permit any act, thing or omission whether legislative, executive or administrative which discriminates adversely and unfairly against TOML, any member of the TOML Group, the TOML Rights or the Business if it results, upon its application, in a deprivation of the full enjoyment of the rights granted or intended to be granted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17486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6" w:right="299" w:bottom="1440" w:gutter="0" w:footer="0" w:header="0"/>
        </w:sectPr>
      </w:pPr>
    </w:p>
    <w:bookmarkStart w:id="27" w:name="page28"/>
    <w:bookmarkEnd w:id="27"/>
    <w:p>
      <w:pPr>
        <w:spacing w:after="0"/>
        <w:tabs>
          <w:tab w:leader="none" w:pos="420" w:val="left"/>
        </w:tabs>
        <w:rPr>
          <w:sz w:val="20"/>
          <w:szCs w:val="20"/>
          <w:color w:val="auto"/>
        </w:rPr>
      </w:pPr>
      <w:r>
        <w:rPr>
          <w:rFonts w:ascii="Times New Roman" w:cs="Times New Roman" w:eastAsia="Times New Roman" w:hAnsi="Times New Roman"/>
          <w:sz w:val="12"/>
          <w:szCs w:val="12"/>
          <w:color w:val="auto"/>
        </w:rPr>
        <w:t>10.9</w:t>
      </w:r>
      <w:r>
        <w:rPr>
          <w:sz w:val="20"/>
          <w:szCs w:val="20"/>
          <w:color w:val="auto"/>
        </w:rPr>
        <w:tab/>
      </w:r>
      <w:r>
        <w:rPr>
          <w:rFonts w:ascii="Times New Roman" w:cs="Times New Roman" w:eastAsia="Times New Roman" w:hAnsi="Times New Roman"/>
          <w:sz w:val="12"/>
          <w:szCs w:val="12"/>
          <w:color w:val="auto"/>
        </w:rPr>
        <w:t>The State shall accord TOML treatment no less favourable than the treatment it accords, in like situations, to other investors.</w:t>
      </w:r>
    </w:p>
    <w:p>
      <w:pPr>
        <w:spacing w:after="0" w:line="1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10.10</w:t>
        <w:tab/>
        <w:t>The State shall accord TOML full security and protection, including complete and unconditional legal protection.</w:t>
      </w:r>
    </w:p>
    <w:p>
      <w:pPr>
        <w:spacing w:after="0" w:line="159" w:lineRule="exact"/>
        <w:rPr>
          <w:sz w:val="20"/>
          <w:szCs w:val="20"/>
          <w:color w:val="auto"/>
        </w:rPr>
      </w:pPr>
    </w:p>
    <w:p>
      <w:pPr>
        <w:jc w:val="both"/>
        <w:ind w:left="440" w:hanging="445"/>
        <w:spacing w:after="0" w:line="271" w:lineRule="auto"/>
        <w:tabs>
          <w:tab w:leader="none" w:pos="420" w:val="left"/>
        </w:tabs>
        <w:rPr>
          <w:sz w:val="20"/>
          <w:szCs w:val="20"/>
          <w:color w:val="auto"/>
        </w:rPr>
      </w:pPr>
      <w:r>
        <w:rPr>
          <w:rFonts w:ascii="Times New Roman" w:cs="Times New Roman" w:eastAsia="Times New Roman" w:hAnsi="Times New Roman"/>
          <w:sz w:val="12"/>
          <w:szCs w:val="12"/>
          <w:color w:val="auto"/>
        </w:rPr>
        <w:t>10.11</w:t>
        <w:tab/>
        <w:t>The State shall not Expropriate, nationalize, confiscate, condemn or wrongfully possess, nor, to the extent possible, destroy, disrupt or interfere with TOML, TOML’s title to possession, TOML’s peaceful enjoyment of the TOML Rights and all property of TOML and any member of the TOML Group except against prompt adequate and effective compensation. Such compensation shall amount to the genuine value of TOML’s investment expropriated immediately before the expropriation or before the impending expropriation became public knowledge, whichever is the earlier, shall include interest at a normal commercial rate until the date of payment, shall be made without delay, be effectively realizable and be freely transferable.</w:t>
      </w:r>
    </w:p>
    <w:p>
      <w:pPr>
        <w:spacing w:after="0" w:line="120" w:lineRule="exact"/>
        <w:rPr>
          <w:sz w:val="20"/>
          <w:szCs w:val="20"/>
          <w:color w:val="auto"/>
        </w:rPr>
      </w:pPr>
    </w:p>
    <w:p>
      <w:pPr>
        <w:jc w:val="both"/>
        <w:ind w:left="44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10.12</w:t>
        <w:tab/>
        <w:t>In the event of any inconsistency between the provisions contained within this Agreement, the Parties agree that an interpretation of this Agreement will be preferred which gives TOML and the TOML Group the benefit of this Agreement without nationalisation or expropriation.</w:t>
      </w:r>
    </w:p>
    <w:p>
      <w:pPr>
        <w:spacing w:after="0" w:line="104" w:lineRule="exact"/>
        <w:rPr>
          <w:sz w:val="20"/>
          <w:szCs w:val="20"/>
          <w:color w:val="auto"/>
        </w:rPr>
      </w:pPr>
    </w:p>
    <w:p>
      <w:pPr>
        <w:jc w:val="both"/>
        <w:ind w:left="440" w:hanging="445"/>
        <w:spacing w:after="0" w:line="268" w:lineRule="auto"/>
        <w:tabs>
          <w:tab w:leader="none" w:pos="420" w:val="left"/>
        </w:tabs>
        <w:rPr>
          <w:sz w:val="20"/>
          <w:szCs w:val="20"/>
          <w:color w:val="auto"/>
        </w:rPr>
      </w:pPr>
      <w:r>
        <w:rPr>
          <w:rFonts w:ascii="Times New Roman" w:cs="Times New Roman" w:eastAsia="Times New Roman" w:hAnsi="Times New Roman"/>
          <w:sz w:val="12"/>
          <w:szCs w:val="12"/>
          <w:color w:val="auto"/>
        </w:rPr>
        <w:t>10.13</w:t>
        <w:tab/>
        <w:t>Provided TOML is in material compliance with this Agreement and the Companies Act, the State will take all necessary actions for the Term to ensure that the corporate existence of TOML as a body corporate duly organized and validly existing and in good standing under the laws of the State is maintained, including ensuring that all such authorisations, approvals, consents and licences are issued as may be required to enable TOML to maintain its good standing, including ensuring that certificates evidencing annual renewal of registration of incorporation are issued in a timely manner in accordance with the Companies Act. Unless TOML is in material breach of this Agreement and/or the Companies Act, the State shall ensure that no action is taken (either by the government or by any government entity or instrumentality) to interfere with the continued corporate existence and registration of TOML and such other members of the TOML Group incorporated in the State.</w:t>
      </w:r>
    </w:p>
    <w:p>
      <w:pPr>
        <w:spacing w:after="0" w:line="12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10.14</w:t>
        <w:tab/>
        <w:t>The State guarantees the conversion and transfer overseas of TOML earnings and savings or earnings of expatriate personnel, their Affiliates and Subcontractors, resulting from the Activities.</w:t>
      </w:r>
    </w:p>
    <w:p>
      <w:pPr>
        <w:spacing w:after="0" w:line="159" w:lineRule="exact"/>
        <w:rPr>
          <w:sz w:val="20"/>
          <w:szCs w:val="20"/>
          <w:color w:val="auto"/>
        </w:rPr>
      </w:pPr>
    </w:p>
    <w:p>
      <w:pPr>
        <w:jc w:val="both"/>
        <w:ind w:left="44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10.15</w:t>
        <w:tab/>
        <w:t>With respect to earnings of TOML servants or agents, and expatriate personnel, whilst the State will not place unnecessary restriction of transfer of funds legitimately earned by TOML servants or agents, and expatriate personnel, such transfers will comply with the procedural laws applicable to transfer of funds out of jurisdiction applicable to all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17486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6" w:right="299" w:bottom="1440" w:gutter="0" w:footer="0" w:header="0"/>
        </w:sectPr>
      </w:pPr>
    </w:p>
    <w:bookmarkStart w:id="28" w:name="page29"/>
    <w:bookmarkEnd w:id="28"/>
    <w:p>
      <w:pPr>
        <w:ind w:left="446" w:hanging="446"/>
        <w:spacing w:after="0"/>
        <w:tabs>
          <w:tab w:leader="none" w:pos="446" w:val="left"/>
        </w:tabs>
        <w:numPr>
          <w:ilvl w:val="0"/>
          <w:numId w:val="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Access to TOML Rights and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jc w:val="both"/>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11.1</w:t>
      </w:r>
      <w:r>
        <w:rPr>
          <w:sz w:val="20"/>
          <w:szCs w:val="20"/>
          <w:color w:val="auto"/>
        </w:rPr>
        <w:tab/>
      </w:r>
      <w:r>
        <w:rPr>
          <w:rFonts w:ascii="Times New Roman" w:cs="Times New Roman" w:eastAsia="Times New Roman" w:hAnsi="Times New Roman"/>
          <w:sz w:val="12"/>
          <w:szCs w:val="12"/>
          <w:color w:val="auto"/>
        </w:rPr>
        <w:t>In accordance with the Act, the State agrees that any or all members of the TOML Group may have access by way of sharing, use, Assignment or any other manner of access to the TOML Rights and Intellectual Property or any part thereof at any time (</w:t>
      </w:r>
      <w:r>
        <w:rPr>
          <w:rFonts w:ascii="Times New Roman" w:cs="Times New Roman" w:eastAsia="Times New Roman" w:hAnsi="Times New Roman"/>
          <w:sz w:val="12"/>
          <w:szCs w:val="12"/>
          <w:b w:val="1"/>
          <w:bCs w:val="1"/>
          <w:color w:val="auto"/>
        </w:rPr>
        <w:t>“Access to TOML Rights and Intellectual Property”</w:t>
      </w:r>
      <w:r>
        <w:rPr>
          <w:rFonts w:ascii="Times New Roman" w:cs="Times New Roman" w:eastAsia="Times New Roman" w:hAnsi="Times New Roman"/>
          <w:sz w:val="12"/>
          <w:szCs w:val="12"/>
          <w:color w:val="auto"/>
        </w:rPr>
        <w:t>), at their sole discretion, without reason and without prior consultation, upon providing notification to the State.</w:t>
      </w:r>
    </w:p>
    <w:p>
      <w:pPr>
        <w:spacing w:after="0" w:line="104" w:lineRule="exact"/>
        <w:rPr>
          <w:sz w:val="20"/>
          <w:szCs w:val="20"/>
          <w:color w:val="auto"/>
        </w:rPr>
      </w:pPr>
    </w:p>
    <w:p>
      <w:pPr>
        <w:jc w:val="both"/>
        <w:ind w:left="446"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11.2</w:t>
      </w:r>
      <w:r>
        <w:rPr>
          <w:sz w:val="20"/>
          <w:szCs w:val="20"/>
          <w:color w:val="auto"/>
        </w:rPr>
        <w:tab/>
      </w:r>
      <w:r>
        <w:rPr>
          <w:rFonts w:ascii="Times New Roman" w:cs="Times New Roman" w:eastAsia="Times New Roman" w:hAnsi="Times New Roman"/>
          <w:sz w:val="12"/>
          <w:szCs w:val="12"/>
          <w:color w:val="auto"/>
        </w:rPr>
        <w:t>The Parties agree that Access to TOML Rights and Intellectual Property in accordance with clause 11.1 shall not cause TOML or any member of the TOML Group to be regarded as conducting business for the purposes of the Income Tax Act (Cap. 11.05) of the State, or any successor legislation relating to the taxation of business income.</w:t>
      </w:r>
    </w:p>
    <w:p>
      <w:pPr>
        <w:spacing w:after="0" w:line="104" w:lineRule="exact"/>
        <w:rPr>
          <w:sz w:val="20"/>
          <w:szCs w:val="20"/>
          <w:color w:val="auto"/>
        </w:rPr>
      </w:pPr>
    </w:p>
    <w:p>
      <w:pPr>
        <w:jc w:val="both"/>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11.3</w:t>
      </w:r>
      <w:r>
        <w:rPr>
          <w:sz w:val="20"/>
          <w:szCs w:val="20"/>
          <w:color w:val="auto"/>
        </w:rPr>
        <w:tab/>
      </w:r>
      <w:r>
        <w:rPr>
          <w:rFonts w:ascii="Times New Roman" w:cs="Times New Roman" w:eastAsia="Times New Roman" w:hAnsi="Times New Roman"/>
          <w:sz w:val="12"/>
          <w:szCs w:val="12"/>
          <w:color w:val="auto"/>
        </w:rPr>
        <w:t>The Parties agree that for the term of this Agreement the market value in the case of Assignment or granting of Access to the TOML Rights and Intellectual Property shall not exceed the total cumulative spend on exploration, research and development by TOML from the earliest date of TOML’s incorporation or incorporation of any member of the TOML Group.</w:t>
      </w:r>
    </w:p>
    <w:p>
      <w:pPr>
        <w:spacing w:after="0" w:line="104"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11.4</w:t>
      </w:r>
      <w:r>
        <w:rPr>
          <w:sz w:val="20"/>
          <w:szCs w:val="20"/>
          <w:color w:val="auto"/>
        </w:rPr>
        <w:tab/>
      </w:r>
      <w:r>
        <w:rPr>
          <w:rFonts w:ascii="Times New Roman" w:cs="Times New Roman" w:eastAsia="Times New Roman" w:hAnsi="Times New Roman"/>
          <w:sz w:val="12"/>
          <w:szCs w:val="12"/>
          <w:color w:val="auto"/>
        </w:rPr>
        <w:t>TOML or any member of the TOML Group will supply the State with a schedule of its total cumulative spend on exploration, research and development referred to in clause 11.3.</w:t>
      </w:r>
    </w:p>
    <w:p>
      <w:pPr>
        <w:spacing w:after="0" w:line="159" w:lineRule="exact"/>
        <w:rPr>
          <w:sz w:val="20"/>
          <w:szCs w:val="20"/>
          <w:color w:val="auto"/>
        </w:rPr>
      </w:pPr>
    </w:p>
    <w:p>
      <w:pPr>
        <w:jc w:val="both"/>
        <w:ind w:left="446" w:hanging="445"/>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11.5</w:t>
      </w:r>
      <w:r>
        <w:rPr>
          <w:sz w:val="20"/>
          <w:szCs w:val="20"/>
          <w:color w:val="auto"/>
        </w:rPr>
        <w:tab/>
      </w:r>
      <w:r>
        <w:rPr>
          <w:rFonts w:ascii="Times New Roman" w:cs="Times New Roman" w:eastAsia="Times New Roman" w:hAnsi="Times New Roman"/>
          <w:sz w:val="12"/>
          <w:szCs w:val="12"/>
          <w:color w:val="auto"/>
        </w:rPr>
        <w:t>In the event that a member of the TOML Group notifies the State that Access to TOML Rights and Intellectual Property, including any Assignment of the TOML Rights and Intellectual Property, is to be granted or Assigned, or is proposed to be granted or Assigned, the State shall sign all documents, do all things and take all measures reasonably requested by the TOML Group to facilitate that Access to TOML Rights and Intellectual Property, including any Assignment of the TOML Rights, and will not act in any way to prevent or delay Access to TOML Rights and Intellectual Property, including any Assignment of the TOML Rights.</w:t>
      </w:r>
    </w:p>
    <w:p>
      <w:pPr>
        <w:spacing w:after="0" w:line="115"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11.6</w:t>
      </w:r>
      <w:r>
        <w:rPr>
          <w:sz w:val="20"/>
          <w:szCs w:val="20"/>
          <w:color w:val="auto"/>
        </w:rPr>
        <w:tab/>
      </w:r>
      <w:r>
        <w:rPr>
          <w:rFonts w:ascii="Times New Roman" w:cs="Times New Roman" w:eastAsia="Times New Roman" w:hAnsi="Times New Roman"/>
          <w:sz w:val="12"/>
          <w:szCs w:val="12"/>
          <w:color w:val="auto"/>
        </w:rPr>
        <w:t>Upon the later of:</w:t>
      </w:r>
    </w:p>
    <w:p>
      <w:pPr>
        <w:spacing w:after="0" w:line="159" w:lineRule="exact"/>
        <w:rPr>
          <w:sz w:val="20"/>
          <w:szCs w:val="20"/>
          <w:color w:val="auto"/>
        </w:rPr>
      </w:pPr>
    </w:p>
    <w:p>
      <w:pPr>
        <w:ind w:left="886" w:hanging="440"/>
        <w:spacing w:after="0"/>
        <w:tabs>
          <w:tab w:leader="none" w:pos="886"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Assignment being completed in favour of an assignee; or</w:t>
      </w:r>
    </w:p>
    <w:p>
      <w:pPr>
        <w:spacing w:after="0" w:line="22" w:lineRule="exact"/>
        <w:rPr>
          <w:rFonts w:ascii="Times New Roman" w:cs="Times New Roman" w:eastAsia="Times New Roman" w:hAnsi="Times New Roman"/>
          <w:sz w:val="12"/>
          <w:szCs w:val="12"/>
          <w:color w:val="auto"/>
        </w:rPr>
      </w:pPr>
    </w:p>
    <w:p>
      <w:pPr>
        <w:ind w:left="886" w:right="20" w:hanging="440"/>
        <w:spacing w:after="0" w:line="277" w:lineRule="auto"/>
        <w:tabs>
          <w:tab w:leader="none" w:pos="886"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certificate of sponsorship being signed by a new country pursuant to the ISA Regulations under which that country sponsors the assignee under the Assignment (or the assignees nominee) as the new holder of the TOML Rights,</w:t>
      </w:r>
    </w:p>
    <w:p>
      <w:pPr>
        <w:spacing w:after="0" w:line="116"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2"/>
          <w:szCs w:val="12"/>
          <w:color w:val="auto"/>
        </w:rPr>
        <w:t>this Agreement will terminate effective immediately thereafter and:</w:t>
      </w:r>
    </w:p>
    <w:p>
      <w:pPr>
        <w:spacing w:after="0" w:line="159" w:lineRule="exact"/>
        <w:rPr>
          <w:sz w:val="20"/>
          <w:szCs w:val="20"/>
          <w:color w:val="auto"/>
        </w:rPr>
      </w:pPr>
    </w:p>
    <w:p>
      <w:pPr>
        <w:ind w:left="886" w:hanging="440"/>
        <w:spacing w:after="0"/>
        <w:tabs>
          <w:tab w:leader="none" w:pos="886"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will no longer have any obligations to pay an Administration Fee or the CRP to the State except:</w:t>
      </w:r>
    </w:p>
    <w:p>
      <w:pPr>
        <w:spacing w:after="0" w:line="159" w:lineRule="exact"/>
        <w:rPr>
          <w:rFonts w:ascii="Times New Roman" w:cs="Times New Roman" w:eastAsia="Times New Roman" w:hAnsi="Times New Roman"/>
          <w:sz w:val="12"/>
          <w:szCs w:val="12"/>
          <w:color w:val="auto"/>
        </w:rPr>
      </w:pPr>
    </w:p>
    <w:p>
      <w:pPr>
        <w:ind w:left="1106" w:hanging="214"/>
        <w:spacing w:after="0"/>
        <w:tabs>
          <w:tab w:leader="none" w:pos="1106"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cover the calendar year's Administration Fee during which the Agreement is terminated;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17486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29" w:name="page30"/>
    <w:bookmarkEnd w:id="29"/>
    <w:p>
      <w:pPr>
        <w:ind w:left="1106" w:hanging="214"/>
        <w:spacing w:after="0"/>
        <w:tabs>
          <w:tab w:leader="none" w:pos="1106"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cover any CRP owing in respect of any seabed mineral production that has occurred up to the day before completion of an Assignment.</w:t>
      </w:r>
    </w:p>
    <w:p>
      <w:pPr>
        <w:spacing w:after="0" w:line="159" w:lineRule="exact"/>
        <w:rPr>
          <w:rFonts w:ascii="Times New Roman" w:cs="Times New Roman" w:eastAsia="Times New Roman" w:hAnsi="Times New Roman"/>
          <w:sz w:val="12"/>
          <w:szCs w:val="12"/>
          <w:color w:val="auto"/>
        </w:rPr>
      </w:pPr>
    </w:p>
    <w:p>
      <w:pPr>
        <w:ind w:left="886" w:hanging="440"/>
        <w:spacing w:after="0" w:line="297" w:lineRule="auto"/>
        <w:tabs>
          <w:tab w:leader="none" w:pos="886"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be liable to any other Party, whether arising under contract, tort, strict liability or otherwise, for any consequential or indirect loss or damage, of any nature arising at any time from any cause whatsoever.</w:t>
      </w:r>
    </w:p>
    <w:p>
      <w:pPr>
        <w:spacing w:after="0" w:line="104"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11.7</w:t>
      </w:r>
      <w:r>
        <w:rPr>
          <w:sz w:val="20"/>
          <w:szCs w:val="20"/>
          <w:color w:val="auto"/>
        </w:rPr>
        <w:tab/>
      </w:r>
      <w:r>
        <w:rPr>
          <w:rFonts w:ascii="Times New Roman" w:cs="Times New Roman" w:eastAsia="Times New Roman" w:hAnsi="Times New Roman"/>
          <w:sz w:val="12"/>
          <w:szCs w:val="12"/>
          <w:color w:val="auto"/>
        </w:rPr>
        <w:t>For the avoidance of doubt, and subject to clause 9.1, the State shall not impose any Tax (including without limitation capital gains tax, stamp duty, consumption tax, transfer tax, business profits tax under the Income Tax Act (Cap. 11.05), or withholding tax) on:</w:t>
      </w:r>
    </w:p>
    <w:p>
      <w:pPr>
        <w:spacing w:after="0" w:line="104" w:lineRule="exact"/>
        <w:rPr>
          <w:sz w:val="20"/>
          <w:szCs w:val="20"/>
          <w:color w:val="auto"/>
        </w:rPr>
      </w:pPr>
    </w:p>
    <w:p>
      <w:pPr>
        <w:ind w:left="666" w:hanging="220"/>
        <w:spacing w:after="0"/>
        <w:tabs>
          <w:tab w:leader="none" w:pos="666"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Access to TOML Rights and Intellectual Property in accordance with clause 11.1; or</w:t>
      </w:r>
    </w:p>
    <w:p>
      <w:pPr>
        <w:spacing w:after="0" w:line="22" w:lineRule="exact"/>
        <w:rPr>
          <w:rFonts w:ascii="Times New Roman" w:cs="Times New Roman" w:eastAsia="Times New Roman" w:hAnsi="Times New Roman"/>
          <w:sz w:val="12"/>
          <w:szCs w:val="12"/>
          <w:color w:val="auto"/>
        </w:rPr>
      </w:pPr>
    </w:p>
    <w:p>
      <w:pPr>
        <w:ind w:left="666" w:hanging="220"/>
        <w:spacing w:after="0"/>
        <w:tabs>
          <w:tab w:leader="none" w:pos="666"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transfer or assignment of shares or other membership interests in TOML or any member of the TOML Group.</w:t>
      </w:r>
    </w:p>
    <w:p>
      <w:pPr>
        <w:spacing w:after="0" w:line="148" w:lineRule="exact"/>
        <w:rPr>
          <w:sz w:val="20"/>
          <w:szCs w:val="20"/>
          <w:color w:val="auto"/>
        </w:rPr>
      </w:pPr>
    </w:p>
    <w:p>
      <w:pPr>
        <w:ind w:left="446" w:right="20"/>
        <w:spacing w:after="0" w:line="297" w:lineRule="auto"/>
        <w:rPr>
          <w:sz w:val="20"/>
          <w:szCs w:val="20"/>
          <w:color w:val="auto"/>
        </w:rPr>
      </w:pPr>
      <w:r>
        <w:rPr>
          <w:rFonts w:ascii="Times New Roman" w:cs="Times New Roman" w:eastAsia="Times New Roman" w:hAnsi="Times New Roman"/>
          <w:sz w:val="12"/>
          <w:szCs w:val="12"/>
          <w:color w:val="auto"/>
        </w:rPr>
        <w:t>This provision shall not limit the State's right to tax other activities or income expressly addressed in clause 9.1 or under the applicable laws of the Kingdom of Tonga where such tax arises from a Tongan-source income or business conducted within the jurisdiction of Tonga.</w:t>
      </w:r>
    </w:p>
    <w:p>
      <w:pPr>
        <w:spacing w:after="0" w:line="104"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11.8</w:t>
      </w:r>
      <w:r>
        <w:rPr>
          <w:sz w:val="20"/>
          <w:szCs w:val="20"/>
          <w:color w:val="auto"/>
        </w:rPr>
        <w:tab/>
      </w:r>
      <w:r>
        <w:rPr>
          <w:rFonts w:ascii="Times New Roman" w:cs="Times New Roman" w:eastAsia="Times New Roman" w:hAnsi="Times New Roman"/>
          <w:sz w:val="12"/>
          <w:szCs w:val="12"/>
          <w:color w:val="auto"/>
        </w:rPr>
        <w:t>This clause 11 survives the termination or expiry of this Agreement.</w:t>
      </w:r>
    </w:p>
    <w:p>
      <w:pPr>
        <w:spacing w:after="0" w:line="157" w:lineRule="exact"/>
        <w:rPr>
          <w:sz w:val="20"/>
          <w:szCs w:val="20"/>
          <w:color w:val="auto"/>
        </w:rPr>
      </w:pPr>
    </w:p>
    <w:p>
      <w:pPr>
        <w:ind w:left="446" w:hanging="446"/>
        <w:spacing w:after="0"/>
        <w:tabs>
          <w:tab w:leader="none" w:pos="446" w:val="left"/>
        </w:tabs>
        <w:numPr>
          <w:ilvl w:val="0"/>
          <w:numId w:val="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of TOML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12.1</w:t>
      </w:r>
      <w:r>
        <w:rPr>
          <w:sz w:val="20"/>
          <w:szCs w:val="20"/>
          <w:color w:val="auto"/>
        </w:rPr>
        <w:tab/>
      </w:r>
      <w:r>
        <w:rPr>
          <w:rFonts w:ascii="Times New Roman" w:cs="Times New Roman" w:eastAsia="Times New Roman" w:hAnsi="Times New Roman"/>
          <w:sz w:val="12"/>
          <w:szCs w:val="12"/>
          <w:color w:val="auto"/>
        </w:rPr>
        <w:t>In accordance with the Act, State agrees that any or all members of the TOML Group may Assign the TOML Rights or any part thereof at any time, at their sole discretion, without reason and without prior consultation, upon providing notification to the State.</w:t>
      </w:r>
    </w:p>
    <w:p>
      <w:pPr>
        <w:spacing w:after="0" w:line="104" w:lineRule="exact"/>
        <w:rPr>
          <w:sz w:val="20"/>
          <w:szCs w:val="20"/>
          <w:color w:val="auto"/>
        </w:rPr>
      </w:pPr>
    </w:p>
    <w:p>
      <w:pPr>
        <w:ind w:left="446"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12.2</w:t>
      </w:r>
      <w:r>
        <w:rPr>
          <w:sz w:val="20"/>
          <w:szCs w:val="20"/>
          <w:color w:val="auto"/>
        </w:rPr>
        <w:tab/>
      </w:r>
      <w:r>
        <w:rPr>
          <w:rFonts w:ascii="Times New Roman" w:cs="Times New Roman" w:eastAsia="Times New Roman" w:hAnsi="Times New Roman"/>
          <w:sz w:val="12"/>
          <w:szCs w:val="12"/>
          <w:color w:val="auto"/>
        </w:rPr>
        <w:t>In the event that a member of the TOML Group notifies the State that an Assignment is to be made or is proposed to be made the State shall sign all documents, do all things and take all measures reasonably requested by the TOML Group to facilitate that Assignment, and will not act in any way to prevent or delay the Assignment.</w:t>
      </w:r>
    </w:p>
    <w:p>
      <w:pPr>
        <w:spacing w:after="0" w:line="104"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12.3</w:t>
      </w:r>
      <w:r>
        <w:rPr>
          <w:sz w:val="20"/>
          <w:szCs w:val="20"/>
          <w:color w:val="auto"/>
        </w:rPr>
        <w:tab/>
      </w:r>
      <w:r>
        <w:rPr>
          <w:rFonts w:ascii="Times New Roman" w:cs="Times New Roman" w:eastAsia="Times New Roman" w:hAnsi="Times New Roman"/>
          <w:sz w:val="12"/>
          <w:szCs w:val="12"/>
          <w:color w:val="auto"/>
        </w:rPr>
        <w:t>Upon the later of:</w:t>
      </w:r>
    </w:p>
    <w:p>
      <w:pPr>
        <w:spacing w:after="0" w:line="159" w:lineRule="exact"/>
        <w:rPr>
          <w:sz w:val="20"/>
          <w:szCs w:val="20"/>
          <w:color w:val="auto"/>
        </w:rPr>
      </w:pPr>
    </w:p>
    <w:p>
      <w:pPr>
        <w:ind w:left="886" w:hanging="440"/>
        <w:spacing w:after="0"/>
        <w:tabs>
          <w:tab w:leader="none" w:pos="88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Assignment being completed in favour of an assignee; or</w:t>
      </w:r>
    </w:p>
    <w:p>
      <w:pPr>
        <w:spacing w:after="0" w:line="159" w:lineRule="exact"/>
        <w:rPr>
          <w:rFonts w:ascii="Times New Roman" w:cs="Times New Roman" w:eastAsia="Times New Roman" w:hAnsi="Times New Roman"/>
          <w:sz w:val="12"/>
          <w:szCs w:val="12"/>
          <w:color w:val="auto"/>
        </w:rPr>
      </w:pPr>
    </w:p>
    <w:p>
      <w:pPr>
        <w:ind w:left="886" w:right="20" w:hanging="440"/>
        <w:spacing w:after="0" w:line="297" w:lineRule="auto"/>
        <w:tabs>
          <w:tab w:leader="none" w:pos="88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Sponsorship Certificate being signed by a new country pursuant to the ISA Regulations under which that country sponsors the assignee under the Assignment (or the assignees nominee) as the new holder of the TOML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7486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30" w:name="page31"/>
    <w:bookmarkEnd w:id="30"/>
    <w:p>
      <w:pPr>
        <w:ind w:left="446"/>
        <w:spacing w:after="0"/>
        <w:rPr>
          <w:sz w:val="20"/>
          <w:szCs w:val="20"/>
          <w:color w:val="auto"/>
        </w:rPr>
      </w:pPr>
      <w:r>
        <w:rPr>
          <w:rFonts w:ascii="Times New Roman" w:cs="Times New Roman" w:eastAsia="Times New Roman" w:hAnsi="Times New Roman"/>
          <w:sz w:val="12"/>
          <w:szCs w:val="12"/>
          <w:color w:val="auto"/>
        </w:rPr>
        <w:t>this Agreement will terminate effective immediately and:</w:t>
      </w:r>
    </w:p>
    <w:p>
      <w:pPr>
        <w:spacing w:after="0" w:line="159" w:lineRule="exact"/>
        <w:rPr>
          <w:sz w:val="20"/>
          <w:szCs w:val="20"/>
          <w:color w:val="auto"/>
        </w:rPr>
      </w:pPr>
    </w:p>
    <w:p>
      <w:pPr>
        <w:ind w:left="886" w:hanging="440"/>
        <w:spacing w:after="0"/>
        <w:tabs>
          <w:tab w:leader="none" w:pos="886"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will no longer have any obligations to pay an Administration Fee or CRP to the State except:</w:t>
      </w:r>
    </w:p>
    <w:p>
      <w:pPr>
        <w:spacing w:after="0" w:line="159" w:lineRule="exact"/>
        <w:rPr>
          <w:rFonts w:ascii="Times New Roman" w:cs="Times New Roman" w:eastAsia="Times New Roman" w:hAnsi="Times New Roman"/>
          <w:sz w:val="12"/>
          <w:szCs w:val="12"/>
          <w:color w:val="auto"/>
        </w:rPr>
      </w:pPr>
    </w:p>
    <w:p>
      <w:pPr>
        <w:ind w:left="1306" w:hanging="414"/>
        <w:spacing w:after="0"/>
        <w:tabs>
          <w:tab w:leader="none" w:pos="1306"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cover the calendar year’s Administration Fee during which the Agreement is terminated; and</w:t>
      </w:r>
    </w:p>
    <w:p>
      <w:pPr>
        <w:spacing w:after="0" w:line="159" w:lineRule="exact"/>
        <w:rPr>
          <w:rFonts w:ascii="Times New Roman" w:cs="Times New Roman" w:eastAsia="Times New Roman" w:hAnsi="Times New Roman"/>
          <w:sz w:val="12"/>
          <w:szCs w:val="12"/>
          <w:color w:val="auto"/>
        </w:rPr>
      </w:pPr>
    </w:p>
    <w:p>
      <w:pPr>
        <w:ind w:left="1306" w:hanging="414"/>
        <w:spacing w:after="0"/>
        <w:tabs>
          <w:tab w:leader="none" w:pos="1306"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cover any CRP owing in respect of any seabed mineral production that has occurred up to the day before completion of an Assignment;</w:t>
      </w:r>
    </w:p>
    <w:p>
      <w:pPr>
        <w:spacing w:after="0" w:line="159"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be liable to any other Party, whether arising under contract, tort, strict liability or otherwise, for any:</w:t>
      </w:r>
    </w:p>
    <w:p>
      <w:pPr>
        <w:spacing w:after="0" w:line="159" w:lineRule="exact"/>
        <w:rPr>
          <w:rFonts w:ascii="Times New Roman" w:cs="Times New Roman" w:eastAsia="Times New Roman" w:hAnsi="Times New Roman"/>
          <w:sz w:val="12"/>
          <w:szCs w:val="12"/>
          <w:color w:val="auto"/>
        </w:rPr>
      </w:pPr>
    </w:p>
    <w:p>
      <w:pPr>
        <w:ind w:left="1306" w:hanging="414"/>
        <w:spacing w:after="0"/>
        <w:tabs>
          <w:tab w:leader="none" w:pos="1306"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anticipated profits, loss of opportunity, loss of use, loss of production, loss of contracts; or</w:t>
      </w:r>
    </w:p>
    <w:p>
      <w:pPr>
        <w:spacing w:after="0" w:line="159" w:lineRule="exact"/>
        <w:rPr>
          <w:rFonts w:ascii="Times New Roman" w:cs="Times New Roman" w:eastAsia="Times New Roman" w:hAnsi="Times New Roman"/>
          <w:sz w:val="12"/>
          <w:szCs w:val="12"/>
          <w:color w:val="auto"/>
        </w:rPr>
      </w:pPr>
    </w:p>
    <w:p>
      <w:pPr>
        <w:ind w:left="1306" w:hanging="414"/>
        <w:spacing w:after="0"/>
        <w:tabs>
          <w:tab w:leader="none" w:pos="1306"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consequential or indirect loss or damage, of any nature arising at any time from any cause whatsoever; and</w:t>
      </w:r>
    </w:p>
    <w:p>
      <w:pPr>
        <w:spacing w:after="0" w:line="159"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12.4</w:t>
      </w:r>
      <w:r>
        <w:rPr>
          <w:sz w:val="20"/>
          <w:szCs w:val="20"/>
          <w:color w:val="auto"/>
        </w:rPr>
        <w:tab/>
      </w:r>
      <w:r>
        <w:rPr>
          <w:rFonts w:ascii="Times New Roman" w:cs="Times New Roman" w:eastAsia="Times New Roman" w:hAnsi="Times New Roman"/>
          <w:sz w:val="12"/>
          <w:szCs w:val="12"/>
          <w:color w:val="auto"/>
        </w:rPr>
        <w:t>For avoidance of any doubt, and subject to clause 10.1, the State will not impose any Tax (including without limitation capital gains tax, stamp duty, sales tax or transfer tax) on any sale or transfer of:</w:t>
      </w:r>
    </w:p>
    <w:p>
      <w:pPr>
        <w:spacing w:after="0" w:line="159" w:lineRule="exact"/>
        <w:rPr>
          <w:sz w:val="20"/>
          <w:szCs w:val="20"/>
          <w:color w:val="auto"/>
        </w:rPr>
      </w:pPr>
    </w:p>
    <w:p>
      <w:pPr>
        <w:ind w:left="886" w:hanging="440"/>
        <w:spacing w:after="0"/>
        <w:tabs>
          <w:tab w:leader="none" w:pos="886"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TOML Rights and Intellectual Property;</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asset held by the TOML Group;</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TOML Group entity; or</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shares in the TOML Group.</w:t>
      </w:r>
    </w:p>
    <w:p>
      <w:pPr>
        <w:spacing w:after="0" w:line="148"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12.5</w:t>
      </w:r>
      <w:r>
        <w:rPr>
          <w:sz w:val="20"/>
          <w:szCs w:val="20"/>
          <w:color w:val="auto"/>
        </w:rPr>
        <w:tab/>
      </w:r>
      <w:r>
        <w:rPr>
          <w:rFonts w:ascii="Times New Roman" w:cs="Times New Roman" w:eastAsia="Times New Roman" w:hAnsi="Times New Roman"/>
          <w:sz w:val="12"/>
          <w:szCs w:val="12"/>
          <w:color w:val="auto"/>
        </w:rPr>
        <w:t>This clause 12 survives termination or expiry of this Agreement.</w:t>
      </w:r>
    </w:p>
    <w:p>
      <w:pPr>
        <w:spacing w:after="0" w:line="157" w:lineRule="exact"/>
        <w:rPr>
          <w:sz w:val="20"/>
          <w:szCs w:val="20"/>
          <w:color w:val="auto"/>
        </w:rPr>
      </w:pPr>
    </w:p>
    <w:p>
      <w:pPr>
        <w:ind w:left="446" w:hanging="446"/>
        <w:spacing w:after="0"/>
        <w:tabs>
          <w:tab w:leader="none" w:pos="446" w:val="left"/>
        </w:tabs>
        <w:numPr>
          <w:ilvl w:val="0"/>
          <w:numId w:val="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Notification to TOML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13.1</w:t>
      </w:r>
      <w:r>
        <w:rPr>
          <w:sz w:val="20"/>
          <w:szCs w:val="20"/>
          <w:color w:val="auto"/>
        </w:rPr>
        <w:tab/>
      </w:r>
      <w:r>
        <w:rPr>
          <w:rFonts w:ascii="Times New Roman" w:cs="Times New Roman" w:eastAsia="Times New Roman" w:hAnsi="Times New Roman"/>
          <w:sz w:val="12"/>
          <w:szCs w:val="12"/>
          <w:color w:val="auto"/>
        </w:rPr>
        <w:t>Should the State or the Tonga Seabed Minerals Authority receive material information, correspondence or notices from the ISA or other regulatory body relating to:</w:t>
      </w:r>
    </w:p>
    <w:p>
      <w:pPr>
        <w:spacing w:after="0" w:line="159" w:lineRule="exact"/>
        <w:rPr>
          <w:sz w:val="20"/>
          <w:szCs w:val="20"/>
          <w:color w:val="auto"/>
        </w:rPr>
      </w:pPr>
    </w:p>
    <w:p>
      <w:pPr>
        <w:ind w:left="886" w:hanging="440"/>
        <w:spacing w:after="0"/>
        <w:tabs>
          <w:tab w:leader="none" w:pos="886"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TOML’s ISA Obligations;</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State’s Sponsorship Obligations;</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Subcontractor;</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Activities; or</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ISA Contracts,</w:t>
      </w:r>
    </w:p>
    <w:p>
      <w:pPr>
        <w:spacing w:after="0" w:line="148"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2"/>
          <w:szCs w:val="12"/>
          <w:color w:val="auto"/>
        </w:rPr>
        <w:t>it shall promptly inform TOML and provide a copy of such material information, correspondence or notice.</w:t>
      </w:r>
    </w:p>
    <w:p>
      <w:pPr>
        <w:spacing w:after="0" w:line="157" w:lineRule="exact"/>
        <w:rPr>
          <w:sz w:val="20"/>
          <w:szCs w:val="20"/>
          <w:color w:val="auto"/>
        </w:rPr>
      </w:pPr>
    </w:p>
    <w:p>
      <w:pPr>
        <w:ind w:left="446" w:hanging="446"/>
        <w:spacing w:after="0"/>
        <w:tabs>
          <w:tab w:leader="none" w:pos="446" w:val="left"/>
        </w:tabs>
        <w:numPr>
          <w:ilvl w:val="0"/>
          <w:numId w:val="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Exploration and Exploitation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14.1</w:t>
      </w:r>
      <w:r>
        <w:rPr>
          <w:sz w:val="20"/>
          <w:szCs w:val="20"/>
          <w:color w:val="auto"/>
        </w:rPr>
        <w:tab/>
      </w:r>
      <w:r>
        <w:rPr>
          <w:rFonts w:ascii="Times New Roman" w:cs="Times New Roman" w:eastAsia="Times New Roman" w:hAnsi="Times New Roman"/>
          <w:sz w:val="12"/>
          <w:szCs w:val="12"/>
          <w:color w:val="auto"/>
        </w:rPr>
        <w:t>The State will take all necessary measures to cooperate with TOML to facilitate the preparation, submission and support of:</w:t>
      </w:r>
    </w:p>
    <w:p>
      <w:pPr>
        <w:spacing w:after="0" w:line="159" w:lineRule="exact"/>
        <w:rPr>
          <w:sz w:val="20"/>
          <w:szCs w:val="20"/>
          <w:color w:val="auto"/>
        </w:rPr>
      </w:pPr>
    </w:p>
    <w:p>
      <w:pPr>
        <w:ind w:left="886" w:hanging="440"/>
        <w:spacing w:after="0"/>
        <w:tabs>
          <w:tab w:leader="none" w:pos="886"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applications to extend the ISA Exploration Contract;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17486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31" w:name="page32"/>
    <w:bookmarkEnd w:id="31"/>
    <w:p>
      <w:pPr>
        <w:ind w:left="886" w:hanging="440"/>
        <w:spacing w:after="0"/>
        <w:tabs>
          <w:tab w:leader="none" w:pos="886"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applications to the ISA for Exploitation Contracts and to extend any ISA Exploitation Contract.</w:t>
      </w:r>
    </w:p>
    <w:p>
      <w:pPr>
        <w:spacing w:after="0" w:line="159"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14.2</w:t>
      </w:r>
      <w:r>
        <w:rPr>
          <w:sz w:val="20"/>
          <w:szCs w:val="20"/>
          <w:color w:val="auto"/>
        </w:rPr>
        <w:tab/>
      </w:r>
      <w:r>
        <w:rPr>
          <w:rFonts w:ascii="Times New Roman" w:cs="Times New Roman" w:eastAsia="Times New Roman" w:hAnsi="Times New Roman"/>
          <w:sz w:val="12"/>
          <w:szCs w:val="12"/>
          <w:color w:val="auto"/>
        </w:rPr>
        <w:t xml:space="preserve">The costs of presenting the applications to the ISA referred to in clause 14.1 shall be borne by TOML, including any costs reasonably incurred by the State in taking actions either requested by TOML or deemed necessary by the State under the rules of the ISA, to support the application before the ISA </w:t>
      </w:r>
      <w:r>
        <w:rPr>
          <w:rFonts w:ascii="Times New Roman" w:cs="Times New Roman" w:eastAsia="Times New Roman" w:hAnsi="Times New Roman"/>
          <w:sz w:val="12"/>
          <w:szCs w:val="12"/>
          <w:b w:val="1"/>
          <w:bCs w:val="1"/>
          <w:color w:val="auto"/>
        </w:rPr>
        <w:t>(“ISA Application Costs”)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446" w:hanging="446"/>
        <w:spacing w:after="0"/>
        <w:tabs>
          <w:tab w:leader="none" w:pos="446"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Environmental and Safety Performance Monitoring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4" w:lineRule="exact"/>
        <w:rPr>
          <w:sz w:val="20"/>
          <w:szCs w:val="20"/>
          <w:color w:val="auto"/>
        </w:rPr>
      </w:pPr>
    </w:p>
    <w:p>
      <w:pPr>
        <w:ind w:left="446" w:hanging="445"/>
        <w:spacing w:after="0" w:line="300" w:lineRule="auto"/>
        <w:tabs>
          <w:tab w:leader="none" w:pos="425" w:val="left"/>
        </w:tabs>
        <w:rPr>
          <w:sz w:val="20"/>
          <w:szCs w:val="20"/>
          <w:color w:val="auto"/>
        </w:rPr>
      </w:pPr>
      <w:r>
        <w:rPr>
          <w:rFonts w:ascii="Times New Roman" w:cs="Times New Roman" w:eastAsia="Times New Roman" w:hAnsi="Times New Roman"/>
          <w:sz w:val="12"/>
          <w:szCs w:val="12"/>
          <w:color w:val="auto"/>
        </w:rPr>
        <w:t>15.1</w:t>
      </w:r>
      <w:r>
        <w:rPr>
          <w:sz w:val="20"/>
          <w:szCs w:val="20"/>
          <w:color w:val="auto"/>
        </w:rPr>
        <w:tab/>
      </w:r>
      <w:r>
        <w:rPr>
          <w:rFonts w:ascii="Times New Roman" w:cs="Times New Roman" w:eastAsia="Times New Roman" w:hAnsi="Times New Roman"/>
          <w:sz w:val="12"/>
          <w:szCs w:val="12"/>
          <w:color w:val="auto"/>
        </w:rPr>
        <w:t>Subject to clause 15.4, TOML acknowledges that the State has the right to carry out an environmental and safety performance monitoring program (“</w:t>
      </w:r>
      <w:r>
        <w:rPr>
          <w:rFonts w:ascii="Times New Roman" w:cs="Times New Roman" w:eastAsia="Times New Roman" w:hAnsi="Times New Roman"/>
          <w:sz w:val="12"/>
          <w:szCs w:val="12"/>
          <w:b w:val="1"/>
          <w:bCs w:val="1"/>
          <w:color w:val="auto"/>
        </w:rPr>
        <w:t>Environmental and Safety Performance Monitoring Program</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ESPMP</w:t>
      </w:r>
      <w:r>
        <w:rPr>
          <w:rFonts w:ascii="Times New Roman" w:cs="Times New Roman" w:eastAsia="Times New Roman" w:hAnsi="Times New Roman"/>
          <w:sz w:val="12"/>
          <w:szCs w:val="12"/>
          <w:color w:val="auto"/>
        </w:rPr>
        <w:t xml:space="preserve">”) to,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886" w:hanging="440"/>
        <w:spacing w:after="0"/>
        <w:tabs>
          <w:tab w:leader="none" w:pos="886"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 the State satisfy its Sponsorship Obligations;</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Verify whether the Activities, Subcontractors, Vessels and Installations are in compliance with TOML’s ISA Obligations; and/or</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Verify whether any Activities or Subcontractors are causing or have caused Pollution Incidents or Serious Harm to the Marine Environment.</w:t>
      </w:r>
    </w:p>
    <w:p>
      <w:pPr>
        <w:spacing w:after="0" w:line="148"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15.2</w:t>
      </w:r>
      <w:r>
        <w:rPr>
          <w:sz w:val="20"/>
          <w:szCs w:val="20"/>
          <w:color w:val="auto"/>
        </w:rPr>
        <w:tab/>
      </w:r>
      <w:r>
        <w:rPr>
          <w:rFonts w:ascii="Times New Roman" w:cs="Times New Roman" w:eastAsia="Times New Roman" w:hAnsi="Times New Roman"/>
          <w:sz w:val="12"/>
          <w:szCs w:val="12"/>
          <w:color w:val="auto"/>
        </w:rPr>
        <w:t>TOML acknowledges that it must permit, and must ensure that all relevant Subcontractors permit, the State, the State’s nominees, any suitably qualified person authorized by the State, or any independent qualified environmental or safety officers engaged by the State or acting on the State’s behalf (collectively referred to as “</w:t>
      </w:r>
      <w:r>
        <w:rPr>
          <w:rFonts w:ascii="Times New Roman" w:cs="Times New Roman" w:eastAsia="Times New Roman" w:hAnsi="Times New Roman"/>
          <w:sz w:val="12"/>
          <w:szCs w:val="12"/>
          <w:b w:val="1"/>
          <w:bCs w:val="1"/>
          <w:color w:val="auto"/>
        </w:rPr>
        <w:t>ESPMP Officers</w:t>
      </w:r>
      <w:r>
        <w:rPr>
          <w:rFonts w:ascii="Times New Roman" w:cs="Times New Roman" w:eastAsia="Times New Roman" w:hAnsi="Times New Roman"/>
          <w:sz w:val="12"/>
          <w:szCs w:val="12"/>
          <w:color w:val="auto"/>
        </w:rPr>
        <w:t>”), to conduct an ESPMP in accordance with this clause 15.</w:t>
      </w:r>
    </w:p>
    <w:p>
      <w:pPr>
        <w:spacing w:after="0" w:line="104"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15.3</w:t>
      </w:r>
      <w:r>
        <w:rPr>
          <w:sz w:val="20"/>
          <w:szCs w:val="20"/>
          <w:color w:val="auto"/>
        </w:rPr>
        <w:tab/>
      </w:r>
      <w:r>
        <w:rPr>
          <w:rFonts w:ascii="Times New Roman" w:cs="Times New Roman" w:eastAsia="Times New Roman" w:hAnsi="Times New Roman"/>
          <w:sz w:val="12"/>
          <w:szCs w:val="12"/>
          <w:color w:val="auto"/>
        </w:rPr>
        <w:t>TOML acknowledges that it must give, and must ensure that all relevant Subcontractors give, the ESPMP Officers access to any Vessel or Installation being used in the Activities that is relevant to the ESPMP, and provide the ESPMP Officers with:</w:t>
      </w:r>
    </w:p>
    <w:p>
      <w:pPr>
        <w:spacing w:after="0" w:line="104" w:lineRule="exact"/>
        <w:rPr>
          <w:sz w:val="20"/>
          <w:szCs w:val="20"/>
          <w:color w:val="auto"/>
        </w:rPr>
      </w:pPr>
    </w:p>
    <w:p>
      <w:pPr>
        <w:ind w:left="886" w:hanging="440"/>
        <w:spacing w:after="0"/>
        <w:tabs>
          <w:tab w:leader="none" w:pos="886"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assistance requested by the ESPMP Officers to allow them to access, inspect, assess, audit and/or monitor the relevant Activities, including:</w:t>
      </w:r>
    </w:p>
    <w:p>
      <w:pPr>
        <w:spacing w:after="0" w:line="159"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safe boarding of Vessels and Installations;</w:t>
      </w:r>
    </w:p>
    <w:p>
      <w:pPr>
        <w:spacing w:after="0" w:line="22"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cooperation and assistance with the ESPMP on Vessels and Installations;</w:t>
      </w:r>
    </w:p>
    <w:p>
      <w:pPr>
        <w:spacing w:after="0" w:line="10"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access to relevant log books, records, documents, equipment, facilities and personnel on Vessels and Installations at reasonable times;</w:t>
      </w:r>
    </w:p>
    <w:p>
      <w:pPr>
        <w:spacing w:after="0" w:line="10"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 of reasonable accommodation and facilities, including, where appropriate, food and means of adequate subsistence while on any Vessel or Installation; and</w:t>
      </w:r>
    </w:p>
    <w:p>
      <w:pPr>
        <w:spacing w:after="0" w:line="10"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1"/>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safe disembarkation from Vessels and Installations; and</w:t>
      </w:r>
    </w:p>
    <w:p>
      <w:pPr>
        <w:spacing w:after="0" w:line="147" w:lineRule="exact"/>
        <w:rPr>
          <w:rFonts w:ascii="Times New Roman" w:cs="Times New Roman" w:eastAsia="Times New Roman" w:hAnsi="Times New Roman"/>
          <w:sz w:val="12"/>
          <w:szCs w:val="12"/>
          <w:color w:val="auto"/>
        </w:rPr>
      </w:pPr>
    </w:p>
    <w:p>
      <w:pPr>
        <w:ind w:left="886" w:hanging="440"/>
        <w:spacing w:after="0" w:line="268" w:lineRule="auto"/>
        <w:tabs>
          <w:tab w:leader="none" w:pos="886"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any documents requested by the ESPMP Officers that are in the possession of TOML and/or a relevant Subcontractor and are strictly necessary to carry out the ESPMP (subject to confidentiality constraints).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717486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32" w:name="page33"/>
    <w:bookmarkEnd w:id="32"/>
    <w:p>
      <w:pPr>
        <w:jc w:val="both"/>
        <w:ind w:left="446" w:right="20" w:hanging="445"/>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15.4</w:t>
      </w:r>
      <w:r>
        <w:rPr>
          <w:sz w:val="20"/>
          <w:szCs w:val="20"/>
          <w:color w:val="auto"/>
        </w:rPr>
        <w:tab/>
      </w:r>
      <w:r>
        <w:rPr>
          <w:rFonts w:ascii="Times New Roman" w:cs="Times New Roman" w:eastAsia="Times New Roman" w:hAnsi="Times New Roman"/>
          <w:sz w:val="12"/>
          <w:szCs w:val="12"/>
          <w:color w:val="auto"/>
        </w:rPr>
        <w:t>The State shall, and shall ensure that all ESPMP Officers engaged in the ESPMP shall, keep confidential all information provided to them by or on behalf of TOML or any Subcontractors or otherwise obtained by the State or ESPMP Officers in connection with any ESPMP and which relates to TOML, the Activities or any Subcontractor. TOML reserves the right to require any ESPMP Officer before receiving such information to first sign a confidentiality agreement in person that strictly limits the approved purpose of disclosure to that of carrying out the ESPMP and reporting to the State.</w:t>
      </w:r>
    </w:p>
    <w:p>
      <w:pPr>
        <w:spacing w:after="0" w:line="115"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15.5</w:t>
      </w:r>
      <w:r>
        <w:rPr>
          <w:sz w:val="20"/>
          <w:szCs w:val="20"/>
          <w:color w:val="auto"/>
        </w:rPr>
        <w:tab/>
      </w:r>
      <w:r>
        <w:rPr>
          <w:rFonts w:ascii="Times New Roman" w:cs="Times New Roman" w:eastAsia="Times New Roman" w:hAnsi="Times New Roman"/>
          <w:sz w:val="12"/>
          <w:szCs w:val="12"/>
          <w:color w:val="auto"/>
        </w:rPr>
        <w:t>The State shall, prior to finalising any report prepared under a ESPMP regarding TOML, share such report with TOML and provide TOML with the opportunity to comment on and provide input into such report.</w:t>
      </w:r>
    </w:p>
    <w:p>
      <w:pPr>
        <w:spacing w:after="0" w:line="157" w:lineRule="exact"/>
        <w:rPr>
          <w:sz w:val="20"/>
          <w:szCs w:val="20"/>
          <w:color w:val="auto"/>
        </w:rPr>
      </w:pPr>
    </w:p>
    <w:p>
      <w:pPr>
        <w:ind w:left="446" w:hanging="446"/>
        <w:spacing w:after="0"/>
        <w:tabs>
          <w:tab w:leader="none" w:pos="446"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ESPMP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16.1</w:t>
      </w:r>
      <w:r>
        <w:rPr>
          <w:sz w:val="20"/>
          <w:szCs w:val="20"/>
          <w:color w:val="auto"/>
        </w:rPr>
        <w:tab/>
      </w:r>
      <w:r>
        <w:rPr>
          <w:rFonts w:ascii="Times New Roman" w:cs="Times New Roman" w:eastAsia="Times New Roman" w:hAnsi="Times New Roman"/>
          <w:sz w:val="12"/>
          <w:szCs w:val="12"/>
          <w:color w:val="auto"/>
        </w:rPr>
        <w:t>Notwithstanding anything contained in this Agreement:</w:t>
      </w:r>
    </w:p>
    <w:p>
      <w:pPr>
        <w:spacing w:after="0" w:line="159" w:lineRule="exact"/>
        <w:rPr>
          <w:sz w:val="20"/>
          <w:szCs w:val="20"/>
          <w:color w:val="auto"/>
        </w:rPr>
      </w:pPr>
    </w:p>
    <w:p>
      <w:pPr>
        <w:jc w:val="both"/>
        <w:ind w:left="886" w:right="20" w:hanging="440"/>
        <w:spacing w:after="0" w:line="278" w:lineRule="auto"/>
        <w:tabs>
          <w:tab w:leader="none" w:pos="886"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ESPMP Officers must follow all instructions and directions pertaining to Safety at Sea given to them from TOML, a relevant Subcontractor, the captain and/or other relevant safety officers on board Vessels and Installations whether given in writing, verbally or via signage, and TOML is not liable (including under any indemnity in this Agreement) for injury, loss or damage caused by a failure of any ESPMP Officers to follow any instructions and directions or any negligence on the part of such ESPMP Officers; and</w:t>
      </w:r>
    </w:p>
    <w:p>
      <w:pPr>
        <w:spacing w:after="0" w:line="115"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has the right to:</w:t>
      </w:r>
    </w:p>
    <w:p>
      <w:pPr>
        <w:spacing w:after="0" w:line="159" w:lineRule="exact"/>
        <w:rPr>
          <w:rFonts w:ascii="Times New Roman" w:cs="Times New Roman" w:eastAsia="Times New Roman" w:hAnsi="Times New Roman"/>
          <w:sz w:val="12"/>
          <w:szCs w:val="12"/>
          <w:color w:val="auto"/>
        </w:rPr>
      </w:pPr>
    </w:p>
    <w:p>
      <w:pPr>
        <w:jc w:val="both"/>
        <w:ind w:left="1346" w:hanging="454"/>
        <w:spacing w:after="0" w:line="265" w:lineRule="auto"/>
        <w:tabs>
          <w:tab w:leader="none" w:pos="1346"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request and receive from any ESPMP Officer, prior to their involvement in any aspect of the Activities, all reasonable information necessary to assess the officer’s suitability and qualifications for participation in the Activities, including without limitation relevant criminal records, medical information and certification of health including a test for contagious diseases and drugs (with TOML reserving the right to refuse participation in any aspect of the Activities should TOML deem an ESPMP Officer or candidate unsuitable or unsafe);</w:t>
      </w:r>
    </w:p>
    <w:p>
      <w:pPr>
        <w:ind w:left="1346" w:right="20" w:hanging="454"/>
        <w:spacing w:after="0" w:line="258" w:lineRule="auto"/>
        <w:tabs>
          <w:tab w:leader="none" w:pos="1346"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TOML’s sole discretion, deny any ESPMP Officer access to or remove any ESPMP Officer from any aspect of the Activities in the event that the Officer poses an unreasonable risk to Safety at Sea, the Activities or does not possess the necessary safety qualifications or training including survival training; and</w:t>
      </w:r>
    </w:p>
    <w:p>
      <w:pPr>
        <w:ind w:left="1346" w:hanging="454"/>
        <w:spacing w:after="0"/>
        <w:tabs>
          <w:tab w:leader="none" w:pos="1346"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order any ESPMP Officers to undergo, if necessary, offshore safety training before or while on board Vessels or Installations,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17486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33" w:name="page34"/>
    <w:bookmarkEnd w:id="33"/>
    <w:p>
      <w:pPr>
        <w:ind w:left="446" w:hanging="446"/>
        <w:spacing w:after="0"/>
        <w:tabs>
          <w:tab w:leader="none" w:pos="446"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Completion Criteria</w:t>
      </w:r>
    </w:p>
    <w:p>
      <w:pPr>
        <w:spacing w:after="0" w:line="226" w:lineRule="exact"/>
        <w:rPr>
          <w:rFonts w:ascii="Times New Roman" w:cs="Times New Roman" w:eastAsia="Times New Roman" w:hAnsi="Times New Roman"/>
          <w:sz w:val="12"/>
          <w:szCs w:val="12"/>
          <w:b w:val="1"/>
          <w:bCs w:val="1"/>
          <w:color w:val="auto"/>
        </w:rPr>
      </w:pPr>
    </w:p>
    <w:p>
      <w:pPr>
        <w:ind w:left="44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TOML will comply with TOML’s ISA Obligations pertaining to completion or relinquishment of the Exploration or Exploitation, including safe removal of Installations from the ISA Contract Area.</w:t>
      </w:r>
    </w:p>
    <w:p>
      <w:pPr>
        <w:spacing w:after="0" w:line="157" w:lineRule="exact"/>
        <w:rPr>
          <w:rFonts w:ascii="Times New Roman" w:cs="Times New Roman" w:eastAsia="Times New Roman" w:hAnsi="Times New Roman"/>
          <w:sz w:val="12"/>
          <w:szCs w:val="12"/>
          <w:b w:val="1"/>
          <w:bCs w:val="1"/>
          <w:color w:val="auto"/>
        </w:rPr>
      </w:pPr>
    </w:p>
    <w:p>
      <w:pPr>
        <w:ind w:left="446" w:hanging="446"/>
        <w:spacing w:after="0"/>
        <w:tabs>
          <w:tab w:leader="none" w:pos="446"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17486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18.1</w:t>
      </w:r>
      <w:r>
        <w:rPr>
          <w:sz w:val="20"/>
          <w:szCs w:val="20"/>
          <w:color w:val="auto"/>
        </w:rPr>
        <w:tab/>
      </w:r>
      <w:r>
        <w:rPr>
          <w:rFonts w:ascii="Times New Roman" w:cs="Times New Roman" w:eastAsia="Times New Roman" w:hAnsi="Times New Roman"/>
          <w:sz w:val="12"/>
          <w:szCs w:val="12"/>
          <w:color w:val="auto"/>
        </w:rPr>
        <w:t>Subject to clause 18.2, the State must not disclose to a third party Confidential Information.</w:t>
      </w:r>
    </w:p>
    <w:p>
      <w:pPr>
        <w:spacing w:after="0" w:line="159"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18.2</w:t>
      </w:r>
      <w:r>
        <w:rPr>
          <w:sz w:val="20"/>
          <w:szCs w:val="20"/>
          <w:color w:val="auto"/>
        </w:rPr>
        <w:tab/>
      </w:r>
      <w:r>
        <w:rPr>
          <w:rFonts w:ascii="Times New Roman" w:cs="Times New Roman" w:eastAsia="Times New Roman" w:hAnsi="Times New Roman"/>
          <w:sz w:val="12"/>
          <w:szCs w:val="12"/>
          <w:color w:val="auto"/>
        </w:rPr>
        <w:t>The State may disclose information:</w:t>
      </w:r>
    </w:p>
    <w:p>
      <w:pPr>
        <w:spacing w:after="0" w:line="159" w:lineRule="exact"/>
        <w:rPr>
          <w:sz w:val="20"/>
          <w:szCs w:val="20"/>
          <w:color w:val="auto"/>
        </w:rPr>
      </w:pPr>
    </w:p>
    <w:p>
      <w:pPr>
        <w:ind w:left="886" w:hanging="440"/>
        <w:spacing w:after="0"/>
        <w:tabs>
          <w:tab w:leader="none" w:pos="886"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enforcing this Agreement or in a proceeding arising out of or in connection with this Agreement;</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required under the Rules of the ISA;</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is required or permitted to be disclosed by this Agreement;</w:t>
      </w:r>
    </w:p>
    <w:p>
      <w:pPr>
        <w:spacing w:after="0" w:line="10" w:lineRule="exact"/>
        <w:rPr>
          <w:rFonts w:ascii="Times New Roman" w:cs="Times New Roman" w:eastAsia="Times New Roman" w:hAnsi="Times New Roman"/>
          <w:sz w:val="12"/>
          <w:szCs w:val="12"/>
          <w:color w:val="auto"/>
        </w:rPr>
      </w:pPr>
    </w:p>
    <w:p>
      <w:pPr>
        <w:ind w:left="886" w:right="20" w:hanging="440"/>
        <w:spacing w:after="0" w:line="258" w:lineRule="auto"/>
        <w:tabs>
          <w:tab w:leader="none" w:pos="886"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its legal advisers, consultants, directors, officers and employees provided that such parties undertake to keep the information confidential and provided the disclosure is reasonably necessary in connection with the State exercising its rights or performing its obligations under this Agreement or performing the State’s Sponsorship Obligations; or</w:t>
      </w:r>
    </w:p>
    <w:p>
      <w:pPr>
        <w:ind w:left="886" w:hanging="440"/>
        <w:spacing w:after="0"/>
        <w:tabs>
          <w:tab w:leader="none" w:pos="886"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TOML has given prior written consent.</w:t>
      </w:r>
    </w:p>
    <w:p>
      <w:pPr>
        <w:spacing w:after="0" w:line="148"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18.3</w:t>
      </w:r>
      <w:r>
        <w:rPr>
          <w:sz w:val="20"/>
          <w:szCs w:val="20"/>
          <w:color w:val="auto"/>
        </w:rPr>
        <w:tab/>
      </w:r>
      <w:r>
        <w:rPr>
          <w:rFonts w:ascii="Times New Roman" w:cs="Times New Roman" w:eastAsia="Times New Roman" w:hAnsi="Times New Roman"/>
          <w:sz w:val="12"/>
          <w:szCs w:val="12"/>
          <w:color w:val="auto"/>
        </w:rPr>
        <w:t>If the State becomes aware of a suspected or actual breach of this clause 18, the State will immediately notify TOML and take all practicable steps to prevent or stop the suspected or actual breach.</w:t>
      </w:r>
    </w:p>
    <w:p>
      <w:pPr>
        <w:spacing w:after="0" w:line="159"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18.4</w:t>
      </w:r>
      <w:r>
        <w:rPr>
          <w:sz w:val="20"/>
          <w:szCs w:val="20"/>
          <w:color w:val="auto"/>
        </w:rPr>
        <w:tab/>
      </w:r>
      <w:r>
        <w:rPr>
          <w:rFonts w:ascii="Times New Roman" w:cs="Times New Roman" w:eastAsia="Times New Roman" w:hAnsi="Times New Roman"/>
          <w:sz w:val="12"/>
          <w:szCs w:val="12"/>
          <w:color w:val="auto"/>
        </w:rPr>
        <w:t>This clause 18 survives termination or expiry of this Agreement.</w:t>
      </w:r>
    </w:p>
    <w:p>
      <w:pPr>
        <w:spacing w:after="0" w:line="157" w:lineRule="exact"/>
        <w:rPr>
          <w:sz w:val="20"/>
          <w:szCs w:val="20"/>
          <w:color w:val="auto"/>
        </w:rPr>
      </w:pPr>
    </w:p>
    <w:p>
      <w:pPr>
        <w:ind w:left="446" w:hanging="446"/>
        <w:spacing w:after="0"/>
        <w:tabs>
          <w:tab w:leader="none" w:pos="446" w:val="left"/>
        </w:tabs>
        <w:numPr>
          <w:ilvl w:val="0"/>
          <w:numId w:val="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Administration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jc w:val="both"/>
        <w:ind w:left="446" w:hanging="445"/>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19.1</w:t>
      </w:r>
      <w:r>
        <w:rPr>
          <w:sz w:val="20"/>
          <w:szCs w:val="20"/>
          <w:color w:val="auto"/>
        </w:rPr>
        <w:tab/>
      </w:r>
      <w:r>
        <w:rPr>
          <w:rFonts w:ascii="Times New Roman" w:cs="Times New Roman" w:eastAsia="Times New Roman" w:hAnsi="Times New Roman"/>
          <w:sz w:val="12"/>
          <w:szCs w:val="12"/>
          <w:color w:val="auto"/>
        </w:rPr>
        <w:t>Pursuant to section 91(2)(a) of the Act, and subject to clause 24 of this Agreement, TOML will pay a fee to the Tonga Seabed Minerals Authority to cover the costs associated with the State’s administration of its Sponsorship in that calendar year (“</w:t>
      </w:r>
      <w:r>
        <w:rPr>
          <w:rFonts w:ascii="Times New Roman" w:cs="Times New Roman" w:eastAsia="Times New Roman" w:hAnsi="Times New Roman"/>
          <w:sz w:val="12"/>
          <w:szCs w:val="12"/>
          <w:b w:val="1"/>
          <w:bCs w:val="1"/>
          <w:color w:val="auto"/>
        </w:rPr>
        <w:t>Administration Fee</w:t>
      </w:r>
      <w:r>
        <w:rPr>
          <w:rFonts w:ascii="Times New Roman" w:cs="Times New Roman" w:eastAsia="Times New Roman" w:hAnsi="Times New Roman"/>
          <w:sz w:val="12"/>
          <w:szCs w:val="12"/>
          <w:color w:val="auto"/>
        </w:rPr>
        <w:t>”). The Administration Fee will be set in accordance with the Act and shall be no greater than [***] in the first year of its payment and increase by no more than [***] in each subsequent year.</w:t>
      </w:r>
    </w:p>
    <w:p>
      <w:pPr>
        <w:spacing w:after="0" w:line="115"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19.2</w:t>
      </w:r>
      <w:r>
        <w:rPr>
          <w:sz w:val="20"/>
          <w:szCs w:val="20"/>
          <w:color w:val="auto"/>
        </w:rPr>
        <w:tab/>
      </w:r>
      <w:r>
        <w:rPr>
          <w:rFonts w:ascii="Times New Roman" w:cs="Times New Roman" w:eastAsia="Times New Roman" w:hAnsi="Times New Roman"/>
          <w:sz w:val="12"/>
          <w:szCs w:val="12"/>
          <w:color w:val="auto"/>
        </w:rPr>
        <w:t>The Administration Fee will be paid annually on the anniversary of the signing of this Agreement, or such other date mutually agreed from time to time between TOML and the Tonga Seabed Minerals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717486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34" w:name="page35"/>
    <w:bookmarkEnd w:id="34"/>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19.3</w:t>
      </w:r>
      <w:r>
        <w:rPr>
          <w:sz w:val="20"/>
          <w:szCs w:val="20"/>
          <w:color w:val="auto"/>
        </w:rPr>
        <w:tab/>
      </w:r>
      <w:r>
        <w:rPr>
          <w:rFonts w:ascii="Times New Roman" w:cs="Times New Roman" w:eastAsia="Times New Roman" w:hAnsi="Times New Roman"/>
          <w:sz w:val="12"/>
          <w:szCs w:val="12"/>
          <w:color w:val="auto"/>
        </w:rPr>
        <w:t>The Administration Fee shall only be used by the State in accordance with the Act to fund its monitoring and regulation of TOML’s Seabed Mineral Activities and the State’s engagement with the ISA and support for TOML at the ISA.</w:t>
      </w:r>
    </w:p>
    <w:p>
      <w:pPr>
        <w:spacing w:after="0" w:line="104" w:lineRule="exact"/>
        <w:rPr>
          <w:sz w:val="20"/>
          <w:szCs w:val="20"/>
          <w:color w:val="auto"/>
        </w:rPr>
      </w:pPr>
    </w:p>
    <w:p>
      <w:pPr>
        <w:ind w:left="446"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19.4</w:t>
      </w:r>
      <w:r>
        <w:rPr>
          <w:sz w:val="20"/>
          <w:szCs w:val="20"/>
          <w:color w:val="auto"/>
        </w:rPr>
        <w:tab/>
      </w:r>
      <w:r>
        <w:rPr>
          <w:rFonts w:ascii="Times New Roman" w:cs="Times New Roman" w:eastAsia="Times New Roman" w:hAnsi="Times New Roman"/>
          <w:sz w:val="12"/>
          <w:szCs w:val="12"/>
          <w:color w:val="auto"/>
        </w:rPr>
        <w:t>Prior to the payment of each year’s Administration Fee, the Tonga Ministry of Lands and Natural Resources shall provide TOML with an annual budget demonstrating what the Administration Fee will be used for in that year and an accounting of how the previous year’s Administration Fee had been used.</w:t>
      </w:r>
    </w:p>
    <w:p>
      <w:pPr>
        <w:spacing w:after="0" w:line="104"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19.5</w:t>
      </w:r>
      <w:r>
        <w:rPr>
          <w:sz w:val="20"/>
          <w:szCs w:val="20"/>
          <w:color w:val="auto"/>
        </w:rPr>
        <w:tab/>
      </w:r>
      <w:r>
        <w:rPr>
          <w:rFonts w:ascii="Times New Roman" w:cs="Times New Roman" w:eastAsia="Times New Roman" w:hAnsi="Times New Roman"/>
          <w:sz w:val="12"/>
          <w:szCs w:val="12"/>
          <w:color w:val="auto"/>
        </w:rPr>
        <w:t>The Administration Fee will be reviewed once TOML receives an ISA Exploitation Contract to include any additional costs to the State of administering and supervising the sponsorship, including the costs of ESPMP Officers.</w:t>
      </w:r>
    </w:p>
    <w:p>
      <w:pPr>
        <w:spacing w:after="0" w:line="104" w:lineRule="exact"/>
        <w:rPr>
          <w:sz w:val="20"/>
          <w:szCs w:val="20"/>
          <w:color w:val="auto"/>
        </w:rPr>
      </w:pPr>
    </w:p>
    <w:p>
      <w:pPr>
        <w:ind w:left="446"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19.6</w:t>
      </w:r>
      <w:r>
        <w:rPr>
          <w:sz w:val="20"/>
          <w:szCs w:val="20"/>
          <w:color w:val="auto"/>
        </w:rPr>
        <w:tab/>
      </w:r>
      <w:r>
        <w:rPr>
          <w:rFonts w:ascii="Times New Roman" w:cs="Times New Roman" w:eastAsia="Times New Roman" w:hAnsi="Times New Roman"/>
          <w:sz w:val="12"/>
          <w:szCs w:val="12"/>
          <w:color w:val="auto"/>
        </w:rPr>
        <w:t>If TOML relinquishes its Exploration Contract, the Administration Fee will be payable each year until [***] of the first year in which the Continuity Benefits become payable pursuant to clause 24. In the event that the final year in which the Administration Fee is payable does not cover [***] months, the State shall accept a pro-rated payment of the Administration Fee.</w:t>
      </w:r>
    </w:p>
    <w:p>
      <w:pPr>
        <w:spacing w:after="0" w:line="102" w:lineRule="exact"/>
        <w:rPr>
          <w:sz w:val="20"/>
          <w:szCs w:val="20"/>
          <w:color w:val="auto"/>
        </w:rPr>
      </w:pPr>
    </w:p>
    <w:p>
      <w:pPr>
        <w:ind w:left="446" w:hanging="446"/>
        <w:spacing w:after="0"/>
        <w:tabs>
          <w:tab w:leader="none" w:pos="446" w:val="left"/>
        </w:tabs>
        <w:numPr>
          <w:ilvl w:val="0"/>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TOML Default and State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20.1</w:t>
      </w:r>
      <w:r>
        <w:rPr>
          <w:sz w:val="20"/>
          <w:szCs w:val="20"/>
          <w:color w:val="auto"/>
        </w:rPr>
        <w:tab/>
      </w:r>
      <w:r>
        <w:rPr>
          <w:rFonts w:ascii="Times New Roman" w:cs="Times New Roman" w:eastAsia="Times New Roman" w:hAnsi="Times New Roman"/>
          <w:sz w:val="12"/>
          <w:szCs w:val="12"/>
          <w:color w:val="auto"/>
        </w:rPr>
        <w:t>A TOML default occurs if:</w:t>
      </w:r>
    </w:p>
    <w:p>
      <w:pPr>
        <w:spacing w:after="0" w:line="159" w:lineRule="exact"/>
        <w:rPr>
          <w:sz w:val="20"/>
          <w:szCs w:val="20"/>
          <w:color w:val="auto"/>
        </w:rPr>
      </w:pPr>
    </w:p>
    <w:p>
      <w:pPr>
        <w:ind w:left="886" w:hanging="440"/>
        <w:spacing w:after="0"/>
        <w:tabs>
          <w:tab w:leader="none" w:pos="886"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material breach of an obligation under this Agreement by TOML; or</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is in material breach of TOML’s ISA Obligations (“</w:t>
      </w:r>
      <w:r>
        <w:rPr>
          <w:rFonts w:ascii="Times New Roman" w:cs="Times New Roman" w:eastAsia="Times New Roman" w:hAnsi="Times New Roman"/>
          <w:sz w:val="12"/>
          <w:szCs w:val="12"/>
          <w:b w:val="1"/>
          <w:bCs w:val="1"/>
          <w:color w:val="auto"/>
        </w:rPr>
        <w:t>TOML Default</w:t>
      </w:r>
      <w:r>
        <w:rPr>
          <w:rFonts w:ascii="Times New Roman" w:cs="Times New Roman" w:eastAsia="Times New Roman" w:hAnsi="Times New Roman"/>
          <w:sz w:val="12"/>
          <w:szCs w:val="12"/>
          <w:color w:val="auto"/>
        </w:rPr>
        <w:t>”); or</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fails to act in good faith.</w:t>
      </w:r>
    </w:p>
    <w:p>
      <w:pPr>
        <w:spacing w:after="0" w:line="146" w:lineRule="exact"/>
        <w:rPr>
          <w:sz w:val="20"/>
          <w:szCs w:val="20"/>
          <w:color w:val="auto"/>
        </w:rPr>
      </w:pPr>
    </w:p>
    <w:p>
      <w:pPr>
        <w:ind w:left="446" w:right="20" w:hanging="445"/>
        <w:spacing w:after="0" w:line="300" w:lineRule="auto"/>
        <w:tabs>
          <w:tab w:leader="none" w:pos="425" w:val="left"/>
        </w:tabs>
        <w:rPr>
          <w:sz w:val="20"/>
          <w:szCs w:val="20"/>
          <w:color w:val="auto"/>
        </w:rPr>
      </w:pPr>
      <w:r>
        <w:rPr>
          <w:rFonts w:ascii="Times New Roman" w:cs="Times New Roman" w:eastAsia="Times New Roman" w:hAnsi="Times New Roman"/>
          <w:sz w:val="12"/>
          <w:szCs w:val="12"/>
          <w:color w:val="auto"/>
        </w:rPr>
        <w:t>20.2</w:t>
      </w:r>
      <w:r>
        <w:rPr>
          <w:sz w:val="20"/>
          <w:szCs w:val="20"/>
          <w:color w:val="auto"/>
        </w:rPr>
        <w:tab/>
      </w:r>
      <w:r>
        <w:rPr>
          <w:rFonts w:ascii="Times New Roman" w:cs="Times New Roman" w:eastAsia="Times New Roman" w:hAnsi="Times New Roman"/>
          <w:sz w:val="12"/>
          <w:szCs w:val="12"/>
          <w:color w:val="auto"/>
        </w:rPr>
        <w:t>If a TOML Default occurs the State may give TOML a Notice in writing (“</w:t>
      </w:r>
      <w:r>
        <w:rPr>
          <w:rFonts w:ascii="Times New Roman" w:cs="Times New Roman" w:eastAsia="Times New Roman" w:hAnsi="Times New Roman"/>
          <w:sz w:val="12"/>
          <w:szCs w:val="12"/>
          <w:b w:val="1"/>
          <w:bCs w:val="1"/>
          <w:color w:val="auto"/>
        </w:rPr>
        <w:t>TOML Default Notice</w:t>
      </w:r>
      <w:r>
        <w:rPr>
          <w:rFonts w:ascii="Times New Roman" w:cs="Times New Roman" w:eastAsia="Times New Roman" w:hAnsi="Times New Roman"/>
          <w:sz w:val="12"/>
          <w:szCs w:val="12"/>
          <w:color w:val="auto"/>
        </w:rPr>
        <w:t>”) stating that a TOML Default has occurred and requiring TOML to Remedy the TOML Default within a reasonable time from the date of such Notice.</w:t>
      </w:r>
    </w:p>
    <w:p>
      <w:pPr>
        <w:spacing w:after="0" w:line="103" w:lineRule="exact"/>
        <w:rPr>
          <w:sz w:val="20"/>
          <w:szCs w:val="20"/>
          <w:color w:val="auto"/>
        </w:rPr>
      </w:pPr>
    </w:p>
    <w:p>
      <w:pPr>
        <w:ind w:left="446"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20.3</w:t>
      </w:r>
      <w:r>
        <w:rPr>
          <w:sz w:val="20"/>
          <w:szCs w:val="20"/>
          <w:color w:val="auto"/>
        </w:rPr>
        <w:tab/>
      </w:r>
      <w:r>
        <w:rPr>
          <w:rFonts w:ascii="Times New Roman" w:cs="Times New Roman" w:eastAsia="Times New Roman" w:hAnsi="Times New Roman"/>
          <w:sz w:val="12"/>
          <w:szCs w:val="12"/>
          <w:color w:val="auto"/>
        </w:rPr>
        <w:t>Upon receipt of a TOML Default Notice TOML shall promptly commence, and continue to pursue with diligence, the Remedy of the TOML Default within [***] days, and must, whenever requested by the State, advise progress of the Remedy.</w:t>
      </w:r>
    </w:p>
    <w:p>
      <w:pPr>
        <w:spacing w:after="0" w:line="102"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20.4</w:t>
      </w:r>
      <w:r>
        <w:rPr>
          <w:sz w:val="20"/>
          <w:szCs w:val="20"/>
          <w:color w:val="auto"/>
        </w:rPr>
        <w:tab/>
      </w:r>
      <w:r>
        <w:rPr>
          <w:rFonts w:ascii="Times New Roman" w:cs="Times New Roman" w:eastAsia="Times New Roman" w:hAnsi="Times New Roman"/>
          <w:sz w:val="12"/>
          <w:szCs w:val="12"/>
          <w:color w:val="auto"/>
        </w:rPr>
        <w:t>A State default (“</w:t>
      </w:r>
      <w:r>
        <w:rPr>
          <w:rFonts w:ascii="Times New Roman" w:cs="Times New Roman" w:eastAsia="Times New Roman" w:hAnsi="Times New Roman"/>
          <w:sz w:val="12"/>
          <w:szCs w:val="12"/>
          <w:b w:val="1"/>
          <w:bCs w:val="1"/>
          <w:color w:val="auto"/>
        </w:rPr>
        <w:t>State Default</w:t>
      </w:r>
      <w:r>
        <w:rPr>
          <w:rFonts w:ascii="Times New Roman" w:cs="Times New Roman" w:eastAsia="Times New Roman" w:hAnsi="Times New Roman"/>
          <w:sz w:val="12"/>
          <w:szCs w:val="12"/>
          <w:color w:val="auto"/>
        </w:rPr>
        <w:t>”) occurs if:</w:t>
      </w:r>
    </w:p>
    <w:p>
      <w:pPr>
        <w:spacing w:after="0" w:line="161" w:lineRule="exact"/>
        <w:rPr>
          <w:sz w:val="20"/>
          <w:szCs w:val="20"/>
          <w:color w:val="auto"/>
        </w:rPr>
      </w:pPr>
    </w:p>
    <w:p>
      <w:pPr>
        <w:ind w:left="886" w:hanging="440"/>
        <w:spacing w:after="0"/>
        <w:tabs>
          <w:tab w:leader="none" w:pos="886"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breaches this Agreement, its obligations under UNCLOS, Regulations or the Act; or</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fails to act in good faith or discriminates against TOML (including through a Discriminatory Change in Tongan Law); or</w:t>
      </w:r>
    </w:p>
    <w:p>
      <w:pPr>
        <w:spacing w:after="0" w:line="10" w:lineRule="exact"/>
        <w:rPr>
          <w:rFonts w:ascii="Times New Roman" w:cs="Times New Roman" w:eastAsia="Times New Roman" w:hAnsi="Times New Roman"/>
          <w:sz w:val="12"/>
          <w:szCs w:val="12"/>
          <w:color w:val="auto"/>
        </w:rPr>
      </w:pPr>
    </w:p>
    <w:p>
      <w:pPr>
        <w:ind w:left="886" w:right="20" w:hanging="440"/>
        <w:spacing w:after="0" w:line="277" w:lineRule="auto"/>
        <w:tabs>
          <w:tab w:leader="none" w:pos="886"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ceases to Sponsor TOML and the Activities, fails to confirm Sponsorship of TOML and the Activities, takes any action towards ceasing its Sponsorship or purports to cease its Sponsorship of TOML and the Activities (unless such cessation, failure or action is taken by the State in good faith and pursuant to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717486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35" w:name="page36"/>
    <w:bookmarkEnd w:id="35"/>
    <w:p>
      <w:pPr>
        <w:ind w:left="886" w:hanging="440"/>
        <w:spacing w:after="0"/>
        <w:tabs>
          <w:tab w:leader="none" w:pos="886"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directly or indirectly Expropriates the ownership, rights or assets of the TOML Group, or takes any action to directly or indirectly Expropriate the ownership, rights or assets of the TOML Group; or</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fails to comply with a final binding decision pertaining to its Sponsorship Obligations of a dispute settlement body applicable to it.</w:t>
      </w:r>
    </w:p>
    <w:p>
      <w:pPr>
        <w:spacing w:after="0" w:line="146" w:lineRule="exact"/>
        <w:rPr>
          <w:sz w:val="20"/>
          <w:szCs w:val="20"/>
          <w:color w:val="auto"/>
        </w:rPr>
      </w:pPr>
    </w:p>
    <w:p>
      <w:pPr>
        <w:ind w:left="446" w:right="20" w:hanging="445"/>
        <w:spacing w:after="0" w:line="300" w:lineRule="auto"/>
        <w:tabs>
          <w:tab w:leader="none" w:pos="425" w:val="left"/>
        </w:tabs>
        <w:rPr>
          <w:sz w:val="20"/>
          <w:szCs w:val="20"/>
          <w:color w:val="auto"/>
        </w:rPr>
      </w:pPr>
      <w:r>
        <w:rPr>
          <w:rFonts w:ascii="Times New Roman" w:cs="Times New Roman" w:eastAsia="Times New Roman" w:hAnsi="Times New Roman"/>
          <w:sz w:val="12"/>
          <w:szCs w:val="12"/>
          <w:color w:val="auto"/>
        </w:rPr>
        <w:t>20.5</w:t>
      </w:r>
      <w:r>
        <w:rPr>
          <w:sz w:val="20"/>
          <w:szCs w:val="20"/>
          <w:color w:val="auto"/>
        </w:rPr>
        <w:tab/>
      </w:r>
      <w:r>
        <w:rPr>
          <w:rFonts w:ascii="Times New Roman" w:cs="Times New Roman" w:eastAsia="Times New Roman" w:hAnsi="Times New Roman"/>
          <w:sz w:val="12"/>
          <w:szCs w:val="12"/>
          <w:color w:val="auto"/>
        </w:rPr>
        <w:t>If a State Default occurs TOML may give the State a Notice in writing (“</w:t>
      </w:r>
      <w:r>
        <w:rPr>
          <w:rFonts w:ascii="Times New Roman" w:cs="Times New Roman" w:eastAsia="Times New Roman" w:hAnsi="Times New Roman"/>
          <w:sz w:val="12"/>
          <w:szCs w:val="12"/>
          <w:b w:val="1"/>
          <w:bCs w:val="1"/>
          <w:color w:val="auto"/>
        </w:rPr>
        <w:t>State Default Notice</w:t>
      </w:r>
      <w:r>
        <w:rPr>
          <w:rFonts w:ascii="Times New Roman" w:cs="Times New Roman" w:eastAsia="Times New Roman" w:hAnsi="Times New Roman"/>
          <w:sz w:val="12"/>
          <w:szCs w:val="12"/>
          <w:color w:val="auto"/>
        </w:rPr>
        <w:t>”) stating that a State Default has occurred and the State shall promptly commence, and continue to pursue with diligence, the Remedy of the State Default within [***] days, and must, whenever requested by TOML, advise progress of the Remedy.</w:t>
      </w:r>
    </w:p>
    <w:p>
      <w:pPr>
        <w:spacing w:after="0" w:line="101" w:lineRule="exact"/>
        <w:rPr>
          <w:sz w:val="20"/>
          <w:szCs w:val="20"/>
          <w:color w:val="auto"/>
        </w:rPr>
      </w:pPr>
    </w:p>
    <w:p>
      <w:pPr>
        <w:ind w:left="446" w:hanging="446"/>
        <w:spacing w:after="0"/>
        <w:tabs>
          <w:tab w:leader="none" w:pos="446"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Temporary Suspension of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21.1</w:t>
      </w:r>
      <w:r>
        <w:rPr>
          <w:sz w:val="20"/>
          <w:szCs w:val="20"/>
          <w:color w:val="auto"/>
        </w:rPr>
        <w:tab/>
      </w:r>
      <w:r>
        <w:rPr>
          <w:rFonts w:ascii="Times New Roman" w:cs="Times New Roman" w:eastAsia="Times New Roman" w:hAnsi="Times New Roman"/>
          <w:sz w:val="12"/>
          <w:szCs w:val="12"/>
          <w:color w:val="auto"/>
        </w:rPr>
        <w:t>In the event that:</w:t>
      </w:r>
    </w:p>
    <w:p>
      <w:pPr>
        <w:spacing w:after="0" w:line="159" w:lineRule="exact"/>
        <w:rPr>
          <w:sz w:val="20"/>
          <w:szCs w:val="20"/>
          <w:color w:val="auto"/>
        </w:rPr>
      </w:pPr>
    </w:p>
    <w:p>
      <w:pPr>
        <w:ind w:left="886" w:hanging="440"/>
        <w:spacing w:after="0"/>
        <w:tabs>
          <w:tab w:leader="none" w:pos="886"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Emergency exists; or</w:t>
      </w:r>
    </w:p>
    <w:p>
      <w:pPr>
        <w:spacing w:after="0" w:line="22" w:lineRule="exact"/>
        <w:rPr>
          <w:rFonts w:ascii="Times New Roman" w:cs="Times New Roman" w:eastAsia="Times New Roman" w:hAnsi="Times New Roman"/>
          <w:sz w:val="12"/>
          <w:szCs w:val="12"/>
          <w:color w:val="auto"/>
        </w:rPr>
      </w:pPr>
    </w:p>
    <w:p>
      <w:pPr>
        <w:ind w:left="886" w:hanging="440"/>
        <w:spacing w:after="0" w:line="258" w:lineRule="auto"/>
        <w:tabs>
          <w:tab w:leader="none" w:pos="886"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or a Subcontractor, in spite of one or more written warnings by the ISA or the State, has conducted its activities in such a way as to result in serious persistent and wilful violations of the fundamental terms of the Act, this Agreement, an ISA Contract or TOML’s ISA Obligations and:</w:t>
      </w:r>
    </w:p>
    <w:p>
      <w:pPr>
        <w:ind w:left="1346" w:hanging="454"/>
        <w:spacing w:after="0"/>
        <w:tabs>
          <w:tab w:leader="none" w:pos="1346"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has served a written Notice of its intention to order suspension under this clause (“</w:t>
      </w:r>
      <w:r>
        <w:rPr>
          <w:rFonts w:ascii="Times New Roman" w:cs="Times New Roman" w:eastAsia="Times New Roman" w:hAnsi="Times New Roman"/>
          <w:sz w:val="12"/>
          <w:szCs w:val="12"/>
          <w:b w:val="1"/>
          <w:bCs w:val="1"/>
          <w:color w:val="auto"/>
        </w:rPr>
        <w:t>State Suspension Notice</w:t>
      </w:r>
      <w:r>
        <w:rPr>
          <w:rFonts w:ascii="Times New Roman" w:cs="Times New Roman" w:eastAsia="Times New Roman" w:hAnsi="Times New Roman"/>
          <w:sz w:val="12"/>
          <w:szCs w:val="12"/>
          <w:color w:val="auto"/>
        </w:rPr>
        <w:t>”) on TOML; and</w:t>
      </w:r>
    </w:p>
    <w:p>
      <w:pPr>
        <w:spacing w:after="0" w:line="10"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Suspension Notice specifies in detail the reasons why the State Suspension Notice is given and that the State requires TOML to Remedy the breach within [***] days of receipt of the Notice,</w:t>
      </w:r>
    </w:p>
    <w:p>
      <w:pPr>
        <w:spacing w:after="0" w:line="148"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2"/>
          <w:szCs w:val="12"/>
          <w:color w:val="auto"/>
        </w:rPr>
        <w:t>the State may by written Notice to TOML:</w:t>
      </w:r>
    </w:p>
    <w:p>
      <w:pPr>
        <w:spacing w:after="0" w:line="159" w:lineRule="exact"/>
        <w:rPr>
          <w:sz w:val="20"/>
          <w:szCs w:val="20"/>
          <w:color w:val="auto"/>
        </w:rPr>
      </w:pPr>
    </w:p>
    <w:p>
      <w:pPr>
        <w:ind w:left="886" w:hanging="440"/>
        <w:spacing w:after="0"/>
        <w:tabs>
          <w:tab w:leader="none" w:pos="886"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clause 21.1(a) above, demand the suspension of the portion of the Activities necessary to end or mitigate the Emergency for such period as is reasonably necessary;</w:t>
      </w:r>
    </w:p>
    <w:p>
      <w:pPr>
        <w:spacing w:after="0" w:line="22" w:lineRule="exact"/>
        <w:rPr>
          <w:rFonts w:ascii="Times New Roman" w:cs="Times New Roman" w:eastAsia="Times New Roman" w:hAnsi="Times New Roman"/>
          <w:sz w:val="12"/>
          <w:szCs w:val="12"/>
          <w:color w:val="auto"/>
        </w:rPr>
      </w:pPr>
    </w:p>
    <w:p>
      <w:pPr>
        <w:ind w:left="886" w:right="20" w:hanging="440"/>
        <w:spacing w:after="0" w:line="258" w:lineRule="auto"/>
        <w:tabs>
          <w:tab w:leader="none" w:pos="886"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clause 21.1(b) above, demand the suspension of the Activities (for such period as is reasonably necessary) on the day falling [***] days after the date TOML receives the State Suspension Notice, unless:</w:t>
      </w:r>
    </w:p>
    <w:p>
      <w:pPr>
        <w:spacing w:after="0" w:line="149"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the breach can be Remedied and TOML has Remedied the breach in that period;</w:t>
      </w:r>
    </w:p>
    <w:p>
      <w:pPr>
        <w:spacing w:after="0" w:line="10" w:lineRule="exact"/>
        <w:rPr>
          <w:rFonts w:ascii="Times New Roman" w:cs="Times New Roman" w:eastAsia="Times New Roman" w:hAnsi="Times New Roman"/>
          <w:sz w:val="12"/>
          <w:szCs w:val="12"/>
          <w:color w:val="auto"/>
        </w:rPr>
      </w:pPr>
    </w:p>
    <w:p>
      <w:pPr>
        <w:ind w:left="1346" w:right="20" w:hanging="454"/>
        <w:spacing w:after="0" w:line="258" w:lineRule="auto"/>
        <w:tabs>
          <w:tab w:leader="none" w:pos="1346"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the breach cannot be Remedied (or cannot be Remedied within the time specified in clause 21.1(d)), TOML has adequately compensated the State for the demonstrable damages incurred by the State as a result of the breach; or</w:t>
      </w:r>
    </w:p>
    <w:p>
      <w:pPr>
        <w:ind w:left="1346" w:hanging="454"/>
        <w:spacing w:after="0"/>
        <w:tabs>
          <w:tab w:leader="none" w:pos="1346"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withdraws in writing the State Suspension Notice.</w:t>
      </w:r>
    </w:p>
    <w:p>
      <w:pPr>
        <w:spacing w:after="0" w:line="148"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21.2</w:t>
      </w:r>
      <w:r>
        <w:rPr>
          <w:sz w:val="20"/>
          <w:szCs w:val="20"/>
          <w:color w:val="auto"/>
        </w:rPr>
        <w:tab/>
      </w:r>
      <w:r>
        <w:rPr>
          <w:rFonts w:ascii="Times New Roman" w:cs="Times New Roman" w:eastAsia="Times New Roman" w:hAnsi="Times New Roman"/>
          <w:sz w:val="12"/>
          <w:szCs w:val="12"/>
          <w:color w:val="auto"/>
        </w:rPr>
        <w:t>If suspension is ordered in accordance with clause 21.1:</w:t>
      </w:r>
    </w:p>
    <w:p>
      <w:pPr>
        <w:spacing w:after="0" w:line="159" w:lineRule="exact"/>
        <w:rPr>
          <w:sz w:val="20"/>
          <w:szCs w:val="20"/>
          <w:color w:val="auto"/>
        </w:rPr>
      </w:pPr>
    </w:p>
    <w:p>
      <w:pPr>
        <w:ind w:left="886" w:hanging="440"/>
        <w:spacing w:after="0" w:line="297" w:lineRule="auto"/>
        <w:tabs>
          <w:tab w:leader="none" w:pos="886"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will take reasonable and appropriate measures to ensure that the relevant Subcontractors comply with the suspension orders and carry out those orders in a way that does not cause or exacerbate a Safety Incident or Serious Harm to the Marine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7486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36" w:name="page37"/>
    <w:bookmarkEnd w:id="36"/>
    <w:p>
      <w:pPr>
        <w:ind w:left="886" w:right="20" w:hanging="440"/>
        <w:spacing w:after="0" w:line="297" w:lineRule="auto"/>
        <w:tabs>
          <w:tab w:leader="none" w:pos="886"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suspended Activities may be resumed when TOML is provided with written direction from the State to resume the Activities (always provided that the resumption is allowed under International Law), which the State must give immediately if:</w:t>
      </w:r>
    </w:p>
    <w:p>
      <w:pPr>
        <w:spacing w:after="0" w:line="104"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Emergency, the Emergency has ceased;</w:t>
      </w:r>
    </w:p>
    <w:p>
      <w:pPr>
        <w:spacing w:after="0" w:line="22"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the breach can be Remedied; TOML has Remedied the breach;</w:t>
      </w:r>
    </w:p>
    <w:p>
      <w:pPr>
        <w:spacing w:after="0" w:line="10" w:lineRule="exact"/>
        <w:rPr>
          <w:rFonts w:ascii="Times New Roman" w:cs="Times New Roman" w:eastAsia="Times New Roman" w:hAnsi="Times New Roman"/>
          <w:sz w:val="12"/>
          <w:szCs w:val="12"/>
          <w:color w:val="auto"/>
        </w:rPr>
      </w:pPr>
    </w:p>
    <w:p>
      <w:pPr>
        <w:ind w:left="1346" w:right="20" w:hanging="454"/>
        <w:spacing w:after="0" w:line="277" w:lineRule="auto"/>
        <w:tabs>
          <w:tab w:leader="none" w:pos="1346"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the breach cannot be Remedied (or cannot be Remedied within the time specified in clause 21.1(d)), TOML has adequately compensated the State for the demonstrable damages incurred by the State as a result of the breach; and</w:t>
      </w:r>
    </w:p>
    <w:p>
      <w:pPr>
        <w:spacing w:after="0" w:line="115" w:lineRule="exact"/>
        <w:rPr>
          <w:rFonts w:ascii="Times New Roman" w:cs="Times New Roman" w:eastAsia="Times New Roman" w:hAnsi="Times New Roman"/>
          <w:sz w:val="12"/>
          <w:szCs w:val="12"/>
          <w:color w:val="auto"/>
        </w:rPr>
      </w:pPr>
    </w:p>
    <w:p>
      <w:pPr>
        <w:ind w:left="886" w:hanging="440"/>
        <w:spacing w:after="0" w:line="268" w:lineRule="auto"/>
        <w:tabs>
          <w:tab w:leader="none" w:pos="886"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will not be relieved of its other responsibilities and obligations under the Act or this Agreement, except to the extent that such responsibilities and obligations cannot be performed as a result of the suspension.</w:t>
      </w:r>
    </w:p>
    <w:p>
      <w:pPr>
        <w:spacing w:after="0" w:line="292"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21.3</w:t>
      </w:r>
      <w:r>
        <w:rPr>
          <w:sz w:val="20"/>
          <w:szCs w:val="20"/>
          <w:color w:val="auto"/>
        </w:rPr>
        <w:tab/>
      </w:r>
      <w:r>
        <w:rPr>
          <w:rFonts w:ascii="Times New Roman" w:cs="Times New Roman" w:eastAsia="Times New Roman" w:hAnsi="Times New Roman"/>
          <w:sz w:val="12"/>
          <w:szCs w:val="12"/>
          <w:color w:val="auto"/>
        </w:rPr>
        <w:t>TOML shall provide any necessary assistance to the State in the exercise of its rights under this clause 21.</w:t>
      </w:r>
    </w:p>
    <w:p>
      <w:pPr>
        <w:spacing w:after="0" w:line="159" w:lineRule="exact"/>
        <w:rPr>
          <w:sz w:val="20"/>
          <w:szCs w:val="20"/>
          <w:color w:val="auto"/>
        </w:rPr>
      </w:pPr>
    </w:p>
    <w:p>
      <w:pPr>
        <w:jc w:val="both"/>
        <w:ind w:left="446" w:right="20" w:hanging="445"/>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21.4</w:t>
      </w:r>
      <w:r>
        <w:rPr>
          <w:sz w:val="20"/>
          <w:szCs w:val="20"/>
          <w:color w:val="auto"/>
        </w:rPr>
        <w:tab/>
      </w:r>
      <w:r>
        <w:rPr>
          <w:rFonts w:ascii="Times New Roman" w:cs="Times New Roman" w:eastAsia="Times New Roman" w:hAnsi="Times New Roman"/>
          <w:sz w:val="12"/>
          <w:szCs w:val="12"/>
          <w:color w:val="auto"/>
        </w:rPr>
        <w:t>In the event that TOML disputes the reasons why the Suspension Notice has been issued by the State or there is a dispute as to the demonstrable damages incurred by the State as a result of the breach, or whether or not the grounds for suspension have been Remedied by TOML, the matter will be referred as a dispute under clause 25 and the suspension under this clause 21 will either not take effect or cease to continue until such time as the dispute resolution has been completed in accordance with that clause 25.</w:t>
      </w:r>
    </w:p>
    <w:p>
      <w:pPr>
        <w:spacing w:after="0" w:line="113"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21.5</w:t>
      </w:r>
      <w:r>
        <w:rPr>
          <w:sz w:val="20"/>
          <w:szCs w:val="20"/>
          <w:color w:val="auto"/>
        </w:rPr>
        <w:tab/>
      </w:r>
      <w:r>
        <w:rPr>
          <w:rFonts w:ascii="Times New Roman" w:cs="Times New Roman" w:eastAsia="Times New Roman" w:hAnsi="Times New Roman"/>
          <w:sz w:val="12"/>
          <w:szCs w:val="12"/>
          <w:color w:val="auto"/>
        </w:rPr>
        <w:t>In the spirit of good faith and co-operation the parties will endeavour to have any dispute referred to under clause 21.4 to be finalised in no later than [***] days</w:t>
      </w:r>
      <w:r>
        <w:rPr>
          <w:rFonts w:ascii="Times New Roman" w:cs="Times New Roman" w:eastAsia="Times New Roman" w:hAnsi="Times New Roman"/>
          <w:sz w:val="12"/>
          <w:szCs w:val="12"/>
          <w:b w:val="1"/>
          <w:bCs w:val="1"/>
          <w:color w:val="auto"/>
        </w:rPr>
        <w:t>.</w:t>
      </w:r>
    </w:p>
    <w:p>
      <w:pPr>
        <w:spacing w:after="0" w:line="159" w:lineRule="exact"/>
        <w:rPr>
          <w:sz w:val="20"/>
          <w:szCs w:val="20"/>
          <w:color w:val="auto"/>
        </w:rPr>
      </w:pPr>
    </w:p>
    <w:p>
      <w:pPr>
        <w:ind w:left="446" w:hanging="446"/>
        <w:spacing w:after="0"/>
        <w:tabs>
          <w:tab w:leader="none" w:pos="446" w:val="left"/>
        </w:tabs>
        <w:numPr>
          <w:ilvl w:val="0"/>
          <w:numId w:val="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Material TOML Breach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22.1</w:t>
      </w:r>
      <w:r>
        <w:rPr>
          <w:sz w:val="20"/>
          <w:szCs w:val="20"/>
          <w:color w:val="auto"/>
        </w:rPr>
        <w:tab/>
      </w:r>
      <w:r>
        <w:rPr>
          <w:rFonts w:ascii="Times New Roman" w:cs="Times New Roman" w:eastAsia="Times New Roman" w:hAnsi="Times New Roman"/>
          <w:sz w:val="12"/>
          <w:szCs w:val="12"/>
          <w:color w:val="auto"/>
        </w:rPr>
        <w:t>In the event of a Material TOML Breach, and:</w:t>
      </w:r>
    </w:p>
    <w:p>
      <w:pPr>
        <w:spacing w:after="0" w:line="157" w:lineRule="exact"/>
        <w:rPr>
          <w:sz w:val="20"/>
          <w:szCs w:val="20"/>
          <w:color w:val="auto"/>
        </w:rPr>
      </w:pPr>
    </w:p>
    <w:p>
      <w:pPr>
        <w:ind w:left="886" w:hanging="440"/>
        <w:spacing w:after="0"/>
        <w:tabs>
          <w:tab w:leader="none" w:pos="886"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has served a written Notice of its intention to terminate Sponsorship under section 88 of the Act (“</w:t>
      </w:r>
      <w:r>
        <w:rPr>
          <w:rFonts w:ascii="Times New Roman" w:cs="Times New Roman" w:eastAsia="Times New Roman" w:hAnsi="Times New Roman"/>
          <w:sz w:val="12"/>
          <w:szCs w:val="12"/>
          <w:b w:val="1"/>
          <w:bCs w:val="1"/>
          <w:color w:val="auto"/>
        </w:rPr>
        <w:t>State Termination Notice</w:t>
      </w:r>
      <w:r>
        <w:rPr>
          <w:rFonts w:ascii="Times New Roman" w:cs="Times New Roman" w:eastAsia="Times New Roman" w:hAnsi="Times New Roman"/>
          <w:sz w:val="12"/>
          <w:szCs w:val="12"/>
          <w:color w:val="auto"/>
        </w:rPr>
        <w:t>”) on TOML; and</w:t>
      </w:r>
    </w:p>
    <w:p>
      <w:pPr>
        <w:spacing w:after="0" w:line="24" w:lineRule="exact"/>
        <w:rPr>
          <w:rFonts w:ascii="Times New Roman" w:cs="Times New Roman" w:eastAsia="Times New Roman" w:hAnsi="Times New Roman"/>
          <w:sz w:val="12"/>
          <w:szCs w:val="12"/>
          <w:color w:val="auto"/>
        </w:rPr>
      </w:pPr>
    </w:p>
    <w:p>
      <w:pPr>
        <w:ind w:left="886" w:hanging="440"/>
        <w:spacing w:after="0" w:line="277" w:lineRule="auto"/>
        <w:tabs>
          <w:tab w:leader="none" w:pos="886"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Termination Notice specifies in detail the Material TOML Breach in respect of which the State Termination Notice is given and that the State requires TOML to Remedy the breach within [***] days of receipt of the Notice,</w:t>
      </w:r>
    </w:p>
    <w:p>
      <w:pPr>
        <w:spacing w:after="0" w:line="116" w:lineRule="exact"/>
        <w:rPr>
          <w:sz w:val="20"/>
          <w:szCs w:val="20"/>
          <w:color w:val="auto"/>
        </w:rPr>
      </w:pPr>
    </w:p>
    <w:p>
      <w:pPr>
        <w:ind w:left="446"/>
        <w:spacing w:after="0"/>
        <w:rPr>
          <w:sz w:val="20"/>
          <w:szCs w:val="20"/>
          <w:color w:val="auto"/>
        </w:rPr>
      </w:pPr>
      <w:r>
        <w:rPr>
          <w:rFonts w:ascii="Times New Roman" w:cs="Times New Roman" w:eastAsia="Times New Roman" w:hAnsi="Times New Roman"/>
          <w:sz w:val="12"/>
          <w:szCs w:val="12"/>
          <w:color w:val="auto"/>
        </w:rPr>
        <w:t>this Agreement will terminate, without penalty to the State, on the day falling [***] days after the date TOML receives the State Termination Notice, unless:</w:t>
      </w:r>
    </w:p>
    <w:p>
      <w:pPr>
        <w:spacing w:after="0" w:line="159" w:lineRule="exact"/>
        <w:rPr>
          <w:sz w:val="20"/>
          <w:szCs w:val="20"/>
          <w:color w:val="auto"/>
        </w:rPr>
      </w:pPr>
    </w:p>
    <w:p>
      <w:pPr>
        <w:ind w:left="886" w:hanging="440"/>
        <w:spacing w:after="0" w:line="297" w:lineRule="auto"/>
        <w:tabs>
          <w:tab w:leader="none" w:pos="886"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the Material TOML Breach can be Remedied, TOML rectifies or overcomes the effect of the Material TOML Breach in that period, or can demonstrate that it has commenced and is diligently proceeding to Remedy the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7486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37" w:name="page38"/>
    <w:bookmarkEnd w:id="37"/>
    <w:p>
      <w:pPr>
        <w:ind w:left="880" w:hanging="440"/>
        <w:spacing w:after="0" w:line="268" w:lineRule="auto"/>
        <w:tabs>
          <w:tab w:leader="none" w:pos="8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the Material TOML Breach cannot be Remedied (or cannot be Remedied within the time specified in clause 22.1(b)), TOML has adequately compensated the State for the demonstrable material damages incurred or to be incurred by the State as a result of the Material TOML Breach; or</w:t>
      </w:r>
    </w:p>
    <w:p>
      <w:pPr>
        <w:ind w:left="880" w:hanging="440"/>
        <w:spacing w:after="0"/>
        <w:tabs>
          <w:tab w:leader="none" w:pos="88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withdraws in writing the State Termination Notice.</w:t>
      </w:r>
    </w:p>
    <w:p>
      <w:pPr>
        <w:spacing w:after="0" w:line="14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22.2</w:t>
      </w:r>
      <w:r>
        <w:rPr>
          <w:sz w:val="20"/>
          <w:szCs w:val="20"/>
          <w:color w:val="auto"/>
        </w:rPr>
        <w:tab/>
      </w:r>
      <w:r>
        <w:rPr>
          <w:rFonts w:ascii="Times New Roman" w:cs="Times New Roman" w:eastAsia="Times New Roman" w:hAnsi="Times New Roman"/>
          <w:sz w:val="12"/>
          <w:szCs w:val="12"/>
          <w:color w:val="auto"/>
        </w:rPr>
        <w:t>For avoidance of doubt this Agreement will not terminate if:</w:t>
      </w:r>
    </w:p>
    <w:p>
      <w:pPr>
        <w:spacing w:after="0" w:line="159" w:lineRule="exact"/>
        <w:rPr>
          <w:sz w:val="20"/>
          <w:szCs w:val="20"/>
          <w:color w:val="auto"/>
        </w:rPr>
      </w:pPr>
    </w:p>
    <w:p>
      <w:pPr>
        <w:ind w:left="880" w:hanging="440"/>
        <w:spacing w:after="0"/>
        <w:tabs>
          <w:tab w:leader="none" w:pos="8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demonstrable material damages to the State as a result of the Material TOML Breach; or</w:t>
      </w:r>
    </w:p>
    <w:p>
      <w:pPr>
        <w:spacing w:after="0" w:line="22" w:lineRule="exact"/>
        <w:rPr>
          <w:rFonts w:ascii="Times New Roman" w:cs="Times New Roman" w:eastAsia="Times New Roman" w:hAnsi="Times New Roman"/>
          <w:sz w:val="12"/>
          <w:szCs w:val="12"/>
          <w:color w:val="auto"/>
        </w:rPr>
      </w:pPr>
    </w:p>
    <w:p>
      <w:pPr>
        <w:ind w:left="880" w:hanging="440"/>
        <w:spacing w:after="0"/>
        <w:tabs>
          <w:tab w:leader="none" w:pos="8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TOML compensates the State for the demonstrable material damages incurred by the State as a result of the Material TOML Breach.</w:t>
      </w:r>
    </w:p>
    <w:p>
      <w:pPr>
        <w:spacing w:after="0" w:line="14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22.3</w:t>
      </w:r>
      <w:r>
        <w:rPr>
          <w:sz w:val="20"/>
          <w:szCs w:val="20"/>
          <w:color w:val="auto"/>
        </w:rPr>
        <w:tab/>
      </w:r>
      <w:r>
        <w:rPr>
          <w:rFonts w:ascii="Times New Roman" w:cs="Times New Roman" w:eastAsia="Times New Roman" w:hAnsi="Times New Roman"/>
          <w:sz w:val="12"/>
          <w:szCs w:val="12"/>
          <w:color w:val="auto"/>
        </w:rPr>
        <w:t>Termination of this Agreement shall not in any way prejudice or affect the State’s rights to Claim and recover damages under any indemnity.</w:t>
      </w:r>
    </w:p>
    <w:p>
      <w:pPr>
        <w:spacing w:after="0" w:line="159" w:lineRule="exact"/>
        <w:rPr>
          <w:sz w:val="20"/>
          <w:szCs w:val="20"/>
          <w:color w:val="auto"/>
        </w:rPr>
      </w:pPr>
    </w:p>
    <w:p>
      <w:pPr>
        <w:jc w:val="both"/>
        <w:ind w:left="440" w:right="20" w:hanging="445"/>
        <w:spacing w:after="0" w:line="278" w:lineRule="auto"/>
        <w:tabs>
          <w:tab w:leader="none" w:pos="420" w:val="left"/>
        </w:tabs>
        <w:rPr>
          <w:sz w:val="20"/>
          <w:szCs w:val="20"/>
          <w:color w:val="auto"/>
        </w:rPr>
      </w:pPr>
      <w:r>
        <w:rPr>
          <w:rFonts w:ascii="Times New Roman" w:cs="Times New Roman" w:eastAsia="Times New Roman" w:hAnsi="Times New Roman"/>
          <w:sz w:val="12"/>
          <w:szCs w:val="12"/>
          <w:color w:val="auto"/>
        </w:rPr>
        <w:t>22.4</w:t>
      </w:r>
      <w:r>
        <w:rPr>
          <w:sz w:val="20"/>
          <w:szCs w:val="20"/>
          <w:color w:val="auto"/>
        </w:rPr>
        <w:tab/>
      </w:r>
      <w:r>
        <w:rPr>
          <w:rFonts w:ascii="Times New Roman" w:cs="Times New Roman" w:eastAsia="Times New Roman" w:hAnsi="Times New Roman"/>
          <w:sz w:val="12"/>
          <w:szCs w:val="12"/>
          <w:color w:val="auto"/>
        </w:rPr>
        <w:t>In the event that TOML disputes the reasons why the State Termination Notice has been issued by the State or there is a dispute as to the demonstrable damages incurred by the State as a result of the breach, or as to whether or not the grounds for termination have been Remedied by TOML, the matter will be referred as a dispute under clause 25. Any termination under this clause 22 will not take effect until the later of the time period specified under this clause 22 or such time as the dispute resolution has been completed in accordance with clause 25.</w:t>
      </w:r>
    </w:p>
    <w:p>
      <w:pPr>
        <w:spacing w:after="0" w:line="115" w:lineRule="exact"/>
        <w:rPr>
          <w:sz w:val="20"/>
          <w:szCs w:val="20"/>
          <w:color w:val="auto"/>
        </w:rPr>
      </w:pPr>
    </w:p>
    <w:p>
      <w:pPr>
        <w:jc w:val="both"/>
        <w:ind w:left="440" w:right="20" w:hanging="445"/>
        <w:spacing w:after="0" w:line="278" w:lineRule="auto"/>
        <w:tabs>
          <w:tab w:leader="none" w:pos="420" w:val="left"/>
        </w:tabs>
        <w:rPr>
          <w:sz w:val="20"/>
          <w:szCs w:val="20"/>
          <w:color w:val="auto"/>
        </w:rPr>
      </w:pPr>
      <w:r>
        <w:rPr>
          <w:rFonts w:ascii="Times New Roman" w:cs="Times New Roman" w:eastAsia="Times New Roman" w:hAnsi="Times New Roman"/>
          <w:sz w:val="12"/>
          <w:szCs w:val="12"/>
          <w:color w:val="auto"/>
        </w:rPr>
        <w:t>22.5</w:t>
      </w:r>
      <w:r>
        <w:rPr>
          <w:sz w:val="20"/>
          <w:szCs w:val="20"/>
          <w:color w:val="auto"/>
        </w:rPr>
        <w:tab/>
      </w:r>
      <w:r>
        <w:rPr>
          <w:rFonts w:ascii="Times New Roman" w:cs="Times New Roman" w:eastAsia="Times New Roman" w:hAnsi="Times New Roman"/>
          <w:sz w:val="12"/>
          <w:szCs w:val="12"/>
          <w:color w:val="auto"/>
        </w:rPr>
        <w:t>The State acknowledges and agrees that termination of this Agreement by the State shall not cause the grant of or otherwise create any entitlement, rights or title to the State in the TOML Rights which will at all times remain the property of the TOML Group notwithstanding the termination of this Agreement, and the TOML Group will remain entitled to effect an Assignment and/or Access to TOML Rights and Intellectual Property or to otherwise take steps to preserve the operation of and TOML’s entitlement to the TOML Rights without further notification to the State.</w:t>
      </w:r>
    </w:p>
    <w:p>
      <w:pPr>
        <w:spacing w:after="0" w:line="115" w:lineRule="exact"/>
        <w:rPr>
          <w:sz w:val="20"/>
          <w:szCs w:val="20"/>
          <w:color w:val="auto"/>
        </w:rPr>
      </w:pPr>
    </w:p>
    <w:p>
      <w:pPr>
        <w:jc w:val="both"/>
        <w:ind w:left="440" w:right="2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22.6</w:t>
      </w:r>
      <w:r>
        <w:rPr>
          <w:sz w:val="20"/>
          <w:szCs w:val="20"/>
          <w:color w:val="auto"/>
        </w:rPr>
        <w:tab/>
      </w:r>
      <w:r>
        <w:rPr>
          <w:rFonts w:ascii="Times New Roman" w:cs="Times New Roman" w:eastAsia="Times New Roman" w:hAnsi="Times New Roman"/>
          <w:sz w:val="12"/>
          <w:szCs w:val="12"/>
          <w:color w:val="auto"/>
        </w:rPr>
        <w:t>Notwithstanding anything contained in this Agreement, if the State terminates this Agreement it must not revoke the Sponsorship Certificate until at least [***] months from the date of the State Termination Notice, and must, if requested by TOML, continue to do all things necessary to:</w:t>
      </w:r>
    </w:p>
    <w:p>
      <w:pPr>
        <w:spacing w:after="0" w:line="104" w:lineRule="exact"/>
        <w:rPr>
          <w:sz w:val="20"/>
          <w:szCs w:val="20"/>
          <w:color w:val="auto"/>
        </w:rPr>
      </w:pPr>
    </w:p>
    <w:p>
      <w:pPr>
        <w:ind w:left="880" w:hanging="440"/>
        <w:spacing w:after="0"/>
        <w:tabs>
          <w:tab w:leader="none" w:pos="88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sponsorship during this period; and</w:t>
      </w:r>
    </w:p>
    <w:p>
      <w:pPr>
        <w:spacing w:after="0" w:line="22" w:lineRule="exact"/>
        <w:rPr>
          <w:rFonts w:ascii="Times New Roman" w:cs="Times New Roman" w:eastAsia="Times New Roman" w:hAnsi="Times New Roman"/>
          <w:sz w:val="12"/>
          <w:szCs w:val="12"/>
          <w:color w:val="auto"/>
        </w:rPr>
      </w:pPr>
    </w:p>
    <w:p>
      <w:pPr>
        <w:ind w:left="880" w:hanging="440"/>
        <w:spacing w:after="0"/>
        <w:tabs>
          <w:tab w:leader="none" w:pos="88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 TOML Assign the TOML Rights.</w:t>
      </w:r>
    </w:p>
    <w:p>
      <w:pPr>
        <w:spacing w:after="0" w:line="14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22.7</w:t>
      </w:r>
      <w:r>
        <w:rPr>
          <w:sz w:val="20"/>
          <w:szCs w:val="20"/>
          <w:color w:val="auto"/>
        </w:rPr>
        <w:tab/>
      </w:r>
      <w:r>
        <w:rPr>
          <w:rFonts w:ascii="Times New Roman" w:cs="Times New Roman" w:eastAsia="Times New Roman" w:hAnsi="Times New Roman"/>
          <w:sz w:val="12"/>
          <w:szCs w:val="12"/>
          <w:color w:val="auto"/>
        </w:rPr>
        <w:t>This clause 22 survives termination or expiry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7486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6" w:right="299" w:bottom="1440" w:gutter="0" w:footer="0" w:header="0"/>
        </w:sectPr>
      </w:pPr>
    </w:p>
    <w:bookmarkStart w:id="38" w:name="page39"/>
    <w:bookmarkEnd w:id="38"/>
    <w:p>
      <w:pPr>
        <w:ind w:left="446" w:hanging="446"/>
        <w:spacing w:after="0"/>
        <w:tabs>
          <w:tab w:leader="none" w:pos="446" w:val="left"/>
        </w:tabs>
        <w:numPr>
          <w:ilvl w:val="0"/>
          <w:numId w:val="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Material State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23.1</w:t>
      </w:r>
      <w:r>
        <w:rPr>
          <w:sz w:val="20"/>
          <w:szCs w:val="20"/>
          <w:color w:val="auto"/>
        </w:rPr>
        <w:tab/>
      </w:r>
      <w:r>
        <w:rPr>
          <w:rFonts w:ascii="Times New Roman" w:cs="Times New Roman" w:eastAsia="Times New Roman" w:hAnsi="Times New Roman"/>
          <w:sz w:val="12"/>
          <w:szCs w:val="12"/>
          <w:color w:val="auto"/>
        </w:rPr>
        <w:t>In the event of a Material State Breach, and:</w:t>
      </w:r>
    </w:p>
    <w:p>
      <w:pPr>
        <w:spacing w:after="0" w:line="159" w:lineRule="exact"/>
        <w:rPr>
          <w:sz w:val="20"/>
          <w:szCs w:val="20"/>
          <w:color w:val="auto"/>
        </w:rPr>
      </w:pPr>
    </w:p>
    <w:p>
      <w:pPr>
        <w:ind w:left="886" w:hanging="440"/>
        <w:spacing w:after="0"/>
        <w:tabs>
          <w:tab w:leader="none" w:pos="886"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has served a written Notice of its intention to terminate this Agreement under this clause 23.1 (“TOML Termination Notice”) on the State; and</w:t>
      </w:r>
    </w:p>
    <w:p>
      <w:pPr>
        <w:spacing w:after="0" w:line="22" w:lineRule="exact"/>
        <w:rPr>
          <w:rFonts w:ascii="Times New Roman" w:cs="Times New Roman" w:eastAsia="Times New Roman" w:hAnsi="Times New Roman"/>
          <w:sz w:val="12"/>
          <w:szCs w:val="12"/>
          <w:color w:val="auto"/>
        </w:rPr>
      </w:pPr>
    </w:p>
    <w:p>
      <w:pPr>
        <w:ind w:left="886" w:hanging="440"/>
        <w:spacing w:after="0" w:line="277" w:lineRule="auto"/>
        <w:tabs>
          <w:tab w:leader="none" w:pos="886"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TOML Termination Notice specifies the Material State Breach in respect of which the TOML Termination Notice is given, and that TOML requires the State to Remedy the breach within [***] days of receipt of the Notice,</w:t>
      </w:r>
    </w:p>
    <w:p>
      <w:pPr>
        <w:spacing w:after="0" w:line="114"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23.2</w:t>
      </w:r>
      <w:r>
        <w:rPr>
          <w:sz w:val="20"/>
          <w:szCs w:val="20"/>
          <w:color w:val="auto"/>
        </w:rPr>
        <w:tab/>
      </w:r>
      <w:r>
        <w:rPr>
          <w:rFonts w:ascii="Times New Roman" w:cs="Times New Roman" w:eastAsia="Times New Roman" w:hAnsi="Times New Roman"/>
          <w:sz w:val="12"/>
          <w:szCs w:val="12"/>
          <w:color w:val="auto"/>
        </w:rPr>
        <w:t xml:space="preserve">A Material State Breach event will occur on the day falling [***] days after the date the State received the TOML Termination Notice </w:t>
      </w:r>
      <w:r>
        <w:rPr>
          <w:rFonts w:ascii="Times New Roman" w:cs="Times New Roman" w:eastAsia="Times New Roman" w:hAnsi="Times New Roman"/>
          <w:sz w:val="12"/>
          <w:szCs w:val="12"/>
          <w:b w:val="1"/>
          <w:bCs w:val="1"/>
          <w:color w:val="auto"/>
        </w:rPr>
        <w:t>(“Material State Breach Event”)</w:t>
      </w:r>
      <w:r>
        <w:rPr>
          <w:rFonts w:ascii="Times New Roman" w:cs="Times New Roman" w:eastAsia="Times New Roman" w:hAnsi="Times New Roman"/>
          <w:sz w:val="12"/>
          <w:szCs w:val="12"/>
          <w:color w:val="auto"/>
        </w:rPr>
        <w:t>, unless:</w:t>
      </w:r>
    </w:p>
    <w:p>
      <w:pPr>
        <w:spacing w:after="0" w:line="161" w:lineRule="exact"/>
        <w:rPr>
          <w:sz w:val="20"/>
          <w:szCs w:val="20"/>
          <w:color w:val="auto"/>
        </w:rPr>
      </w:pPr>
    </w:p>
    <w:p>
      <w:pPr>
        <w:ind w:left="886" w:hanging="440"/>
        <w:spacing w:after="0"/>
        <w:tabs>
          <w:tab w:leader="none" w:pos="886"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the Material State Breach can be remedied; the State Remedies the Material State Breach in that period;</w:t>
      </w:r>
    </w:p>
    <w:p>
      <w:pPr>
        <w:spacing w:after="0" w:line="22" w:lineRule="exact"/>
        <w:rPr>
          <w:rFonts w:ascii="Times New Roman" w:cs="Times New Roman" w:eastAsia="Times New Roman" w:hAnsi="Times New Roman"/>
          <w:sz w:val="12"/>
          <w:szCs w:val="12"/>
          <w:color w:val="auto"/>
        </w:rPr>
      </w:pPr>
    </w:p>
    <w:p>
      <w:pPr>
        <w:ind w:left="886" w:hanging="440"/>
        <w:spacing w:after="0" w:line="258" w:lineRule="auto"/>
        <w:tabs>
          <w:tab w:leader="none" w:pos="886"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that the Material State Breach cannot be remedied (or cannot be Remedied within the time specified in clause 23.1(b)), the State adequately compensates TOML for the demonstrable damages incurred and/or to be incurred by it, its Affiliates or its Subcontractors as a result of the Material State Breach; or</w:t>
      </w:r>
    </w:p>
    <w:p>
      <w:pPr>
        <w:ind w:left="886" w:hanging="440"/>
        <w:spacing w:after="0"/>
        <w:tabs>
          <w:tab w:leader="none" w:pos="886"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withdraws in writing the TOML Termination Notice.</w:t>
      </w:r>
    </w:p>
    <w:p>
      <w:pPr>
        <w:spacing w:after="0" w:line="148"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23.3</w:t>
      </w:r>
      <w:r>
        <w:rPr>
          <w:sz w:val="20"/>
          <w:szCs w:val="20"/>
          <w:color w:val="auto"/>
        </w:rPr>
        <w:tab/>
      </w:r>
      <w:r>
        <w:rPr>
          <w:rFonts w:ascii="Times New Roman" w:cs="Times New Roman" w:eastAsia="Times New Roman" w:hAnsi="Times New Roman"/>
          <w:sz w:val="12"/>
          <w:szCs w:val="12"/>
          <w:color w:val="auto"/>
        </w:rPr>
        <w:t>Without prejudice to any other rights TOML may have, under this Agreement or at Law, if a Material State Breach Event occurs TOML may, at its discretion, terminate the Agreement and surrender Sponsorship.</w:t>
      </w:r>
    </w:p>
    <w:p>
      <w:pPr>
        <w:spacing w:after="0" w:line="159" w:lineRule="exact"/>
        <w:rPr>
          <w:sz w:val="20"/>
          <w:szCs w:val="20"/>
          <w:color w:val="auto"/>
        </w:rPr>
      </w:pPr>
    </w:p>
    <w:p>
      <w:pPr>
        <w:jc w:val="both"/>
        <w:ind w:left="446"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23.4</w:t>
      </w:r>
      <w:r>
        <w:rPr>
          <w:sz w:val="20"/>
          <w:szCs w:val="20"/>
          <w:color w:val="auto"/>
        </w:rPr>
        <w:tab/>
      </w:r>
      <w:r>
        <w:rPr>
          <w:rFonts w:ascii="Times New Roman" w:cs="Times New Roman" w:eastAsia="Times New Roman" w:hAnsi="Times New Roman"/>
          <w:sz w:val="12"/>
          <w:szCs w:val="12"/>
          <w:color w:val="auto"/>
        </w:rPr>
        <w:t>Notwithstanding anything contained in this Agreement, in the case that the Material State Breach relates to an event contemplated in clause 20.4(c) or (d) a Material State Breach Event will be immediately triggered upon the occurrence of the event without the requirement for a written Notice to be given by TOML.</w:t>
      </w:r>
    </w:p>
    <w:p>
      <w:pPr>
        <w:spacing w:after="0" w:line="104" w:lineRule="exact"/>
        <w:rPr>
          <w:sz w:val="20"/>
          <w:szCs w:val="20"/>
          <w:color w:val="auto"/>
        </w:rPr>
      </w:pPr>
    </w:p>
    <w:p>
      <w:pPr>
        <w:jc w:val="both"/>
        <w:ind w:left="446" w:hanging="445"/>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23.5</w:t>
      </w:r>
      <w:r>
        <w:rPr>
          <w:sz w:val="20"/>
          <w:szCs w:val="20"/>
          <w:color w:val="auto"/>
        </w:rPr>
        <w:tab/>
      </w:r>
      <w:r>
        <w:rPr>
          <w:rFonts w:ascii="Times New Roman" w:cs="Times New Roman" w:eastAsia="Times New Roman" w:hAnsi="Times New Roman"/>
          <w:sz w:val="12"/>
          <w:szCs w:val="12"/>
          <w:color w:val="auto"/>
        </w:rPr>
        <w:t>Without prejudice to any other rights available at law to TOML, the State acknowledges the TOML Rights will at all times remain the property of the TOML Group notwithstanding the termination of this Agreement and the TOML Group will remain entitled to effect an an Assignment and/or Access to TOML Rights and Intellectual Property or to otherwise take steps to preserve the operation of and its entitlement to the TOML Rights without further notification to the State.</w:t>
      </w:r>
    </w:p>
    <w:p>
      <w:pPr>
        <w:spacing w:after="0" w:line="115"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23.6</w:t>
      </w:r>
      <w:r>
        <w:rPr>
          <w:sz w:val="20"/>
          <w:szCs w:val="20"/>
          <w:color w:val="auto"/>
        </w:rPr>
        <w:tab/>
      </w:r>
      <w:r>
        <w:rPr>
          <w:rFonts w:ascii="Times New Roman" w:cs="Times New Roman" w:eastAsia="Times New Roman" w:hAnsi="Times New Roman"/>
          <w:sz w:val="12"/>
          <w:szCs w:val="12"/>
          <w:color w:val="auto"/>
        </w:rPr>
        <w:t>This clause 23 survives termination or expiry of this Agreement.</w:t>
      </w:r>
    </w:p>
    <w:p>
      <w:pPr>
        <w:spacing w:after="0" w:line="157" w:lineRule="exact"/>
        <w:rPr>
          <w:sz w:val="20"/>
          <w:szCs w:val="20"/>
          <w:color w:val="auto"/>
        </w:rPr>
      </w:pPr>
    </w:p>
    <w:p>
      <w:pPr>
        <w:ind w:left="446" w:hanging="446"/>
        <w:spacing w:after="0"/>
        <w:tabs>
          <w:tab w:leader="none" w:pos="446" w:val="left"/>
        </w:tabs>
        <w:numPr>
          <w:ilvl w:val="0"/>
          <w:numId w:val="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 of a Continuity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jc w:val="both"/>
        <w:ind w:left="446" w:hanging="445"/>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24.1</w:t>
      </w:r>
      <w:r>
        <w:rPr>
          <w:sz w:val="20"/>
          <w:szCs w:val="20"/>
          <w:color w:val="auto"/>
        </w:rPr>
        <w:tab/>
      </w:r>
      <w:r>
        <w:rPr>
          <w:rFonts w:ascii="Times New Roman" w:cs="Times New Roman" w:eastAsia="Times New Roman" w:hAnsi="Times New Roman"/>
          <w:sz w:val="12"/>
          <w:szCs w:val="12"/>
          <w:color w:val="auto"/>
        </w:rPr>
        <w:t>The Parties agree that notwithstanding both Parties’ long-standing commitment to conducting Exploration and Exploitation in the Area pursuant to the regime established under UNCLOS and the 1994 Agreement and the Rules of the ISA, the Parties recognize that TOML’s planned submission of a Plan of Work for Exploitation and transition to commercial exploitation activities in TOML’s ISA Contract Area is impacted by the ongoing development of the Exploitation Regulations, which remain under consideration by the ISA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717486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39" w:name="page40"/>
    <w:bookmarkEnd w:id="39"/>
    <w:p>
      <w:pPr>
        <w:ind w:left="440" w:right="2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24.2</w:t>
      </w:r>
      <w:r>
        <w:rPr>
          <w:sz w:val="20"/>
          <w:szCs w:val="20"/>
          <w:color w:val="auto"/>
        </w:rPr>
        <w:tab/>
      </w:r>
      <w:r>
        <w:rPr>
          <w:rFonts w:ascii="Times New Roman" w:cs="Times New Roman" w:eastAsia="Times New Roman" w:hAnsi="Times New Roman"/>
          <w:sz w:val="12"/>
          <w:szCs w:val="12"/>
          <w:color w:val="auto"/>
        </w:rPr>
        <w:t>In due consideration for the State’s continued sponsorship of TOML and support for TOML’s enjoyment of its rights in regard to its ISA Contract Area, TOML agrees to provide an additional Continuity Benefit to the State for its continued sponsorship of TOML.</w:t>
      </w:r>
    </w:p>
    <w:p>
      <w:pPr>
        <w:spacing w:after="0" w:line="1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24.3</w:t>
      </w:r>
      <w:r>
        <w:rPr>
          <w:sz w:val="20"/>
          <w:szCs w:val="20"/>
          <w:color w:val="auto"/>
        </w:rPr>
        <w:tab/>
      </w:r>
      <w:r>
        <w:rPr>
          <w:rFonts w:ascii="Times New Roman" w:cs="Times New Roman" w:eastAsia="Times New Roman" w:hAnsi="Times New Roman"/>
          <w:sz w:val="12"/>
          <w:szCs w:val="12"/>
          <w:color w:val="auto"/>
        </w:rPr>
        <w:t>The Parties agree that notwithstanding the anticipated delay in transition to commercial activities by TOML as a result of the failure of the ISA to adopt Exploitation Regulations:</w:t>
      </w:r>
    </w:p>
    <w:p>
      <w:pPr>
        <w:spacing w:after="0" w:line="159" w:lineRule="exact"/>
        <w:rPr>
          <w:sz w:val="20"/>
          <w:szCs w:val="20"/>
          <w:color w:val="auto"/>
        </w:rPr>
      </w:pPr>
    </w:p>
    <w:p>
      <w:pPr>
        <w:ind w:left="880" w:hanging="440"/>
        <w:spacing w:after="0"/>
        <w:tabs>
          <w:tab w:leader="none" w:pos="8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will use its best efforts to maintain its Exploration Contract in good standing and full compliance with Rules of the ISA, including seeking an extension of contract if necessary; and</w:t>
      </w:r>
    </w:p>
    <w:p>
      <w:pPr>
        <w:spacing w:after="0" w:line="159" w:lineRule="exact"/>
        <w:rPr>
          <w:rFonts w:ascii="Times New Roman" w:cs="Times New Roman" w:eastAsia="Times New Roman" w:hAnsi="Times New Roman"/>
          <w:sz w:val="12"/>
          <w:szCs w:val="12"/>
          <w:color w:val="auto"/>
        </w:rPr>
      </w:pPr>
    </w:p>
    <w:p>
      <w:pPr>
        <w:ind w:left="880" w:hanging="440"/>
        <w:spacing w:after="0" w:line="297" w:lineRule="auto"/>
        <w:tabs>
          <w:tab w:leader="none" w:pos="8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will do everything reasonably practicable to maintain its sponsorship of TOML under UNCLOS and in accordance with the ISA’s requirements, including sponsorship of any contract extension, and will not terminate its sponsorship except in accordance with this Agreement and the Act or if TOML terminates its Exploration Contract.</w:t>
      </w:r>
    </w:p>
    <w:p>
      <w:pPr>
        <w:spacing w:after="0" w:line="1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24.4</w:t>
      </w:r>
      <w:r>
        <w:rPr>
          <w:sz w:val="20"/>
          <w:szCs w:val="20"/>
          <w:color w:val="auto"/>
        </w:rPr>
        <w:tab/>
      </w:r>
      <w:r>
        <w:rPr>
          <w:rFonts w:ascii="Times New Roman" w:cs="Times New Roman" w:eastAsia="Times New Roman" w:hAnsi="Times New Roman"/>
          <w:sz w:val="12"/>
          <w:szCs w:val="12"/>
          <w:color w:val="auto"/>
        </w:rPr>
        <w:t>This clause applies if, and only if, all of the following conditions have been fulfilled:</w:t>
      </w:r>
    </w:p>
    <w:p>
      <w:pPr>
        <w:spacing w:after="0" w:line="157" w:lineRule="exact"/>
        <w:rPr>
          <w:sz w:val="20"/>
          <w:szCs w:val="20"/>
          <w:color w:val="auto"/>
        </w:rPr>
      </w:pPr>
    </w:p>
    <w:p>
      <w:pPr>
        <w:ind w:left="880" w:right="20" w:hanging="440"/>
        <w:spacing w:after="0" w:line="300" w:lineRule="auto"/>
        <w:tabs>
          <w:tab w:leader="none" w:pos="8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subsidiary of The Metals Company Inc. (“</w:t>
      </w:r>
      <w:r>
        <w:rPr>
          <w:rFonts w:ascii="Times New Roman" w:cs="Times New Roman" w:eastAsia="Times New Roman" w:hAnsi="Times New Roman"/>
          <w:sz w:val="12"/>
          <w:szCs w:val="12"/>
          <w:b w:val="1"/>
          <w:bCs w:val="1"/>
          <w:color w:val="auto"/>
        </w:rPr>
        <w:t>TMC</w:t>
      </w:r>
      <w:r>
        <w:rPr>
          <w:rFonts w:ascii="Times New Roman" w:cs="Times New Roman" w:eastAsia="Times New Roman" w:hAnsi="Times New Roman"/>
          <w:sz w:val="12"/>
          <w:szCs w:val="12"/>
          <w:color w:val="auto"/>
        </w:rPr>
        <w:t>”) other than TOML (“</w:t>
      </w:r>
      <w:r>
        <w:rPr>
          <w:rFonts w:ascii="Times New Roman" w:cs="Times New Roman" w:eastAsia="Times New Roman" w:hAnsi="Times New Roman"/>
          <w:sz w:val="12"/>
          <w:szCs w:val="12"/>
          <w:b w:val="1"/>
          <w:bCs w:val="1"/>
          <w:color w:val="auto"/>
        </w:rPr>
        <w:t>TMC Subsidiary</w:t>
      </w:r>
      <w:r>
        <w:rPr>
          <w:rFonts w:ascii="Times New Roman" w:cs="Times New Roman" w:eastAsia="Times New Roman" w:hAnsi="Times New Roman"/>
          <w:sz w:val="12"/>
          <w:szCs w:val="12"/>
          <w:color w:val="auto"/>
        </w:rPr>
        <w:t>”) obtains a permit, licence or other authorization from the US for the conduct of deep seabed mineral activities in TOML’s ISA Contract Area; and</w:t>
      </w:r>
    </w:p>
    <w:p>
      <w:pPr>
        <w:spacing w:after="0" w:line="103" w:lineRule="exact"/>
        <w:rPr>
          <w:rFonts w:ascii="Times New Roman" w:cs="Times New Roman" w:eastAsia="Times New Roman" w:hAnsi="Times New Roman"/>
          <w:sz w:val="12"/>
          <w:szCs w:val="12"/>
          <w:color w:val="auto"/>
        </w:rPr>
      </w:pPr>
    </w:p>
    <w:p>
      <w:pPr>
        <w:ind w:left="880" w:right="1620" w:hanging="440"/>
        <w:spacing w:after="0" w:line="517" w:lineRule="auto"/>
        <w:tabs>
          <w:tab w:leader="none" w:pos="8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TMC Subsidiary commences commercial recovery activities of deep seabed minerals pursuant to that permit, licence or other authorization in the TOML ISA Contract Area, (together, the “</w:t>
      </w:r>
      <w:r>
        <w:rPr>
          <w:rFonts w:ascii="Times New Roman" w:cs="Times New Roman" w:eastAsia="Times New Roman" w:hAnsi="Times New Roman"/>
          <w:sz w:val="12"/>
          <w:szCs w:val="12"/>
          <w:b w:val="1"/>
          <w:bCs w:val="1"/>
          <w:color w:val="auto"/>
        </w:rPr>
        <w:t>Continuity Conditions</w:t>
      </w:r>
      <w:r>
        <w:rPr>
          <w:rFonts w:ascii="Times New Roman" w:cs="Times New Roman" w:eastAsia="Times New Roman" w:hAnsi="Times New Roman"/>
          <w:sz w:val="12"/>
          <w:szCs w:val="12"/>
          <w:color w:val="auto"/>
        </w:rPr>
        <w:t>”).</w:t>
      </w:r>
    </w:p>
    <w:p>
      <w:pPr>
        <w:jc w:val="both"/>
        <w:ind w:left="440" w:hanging="445"/>
        <w:spacing w:after="0" w:line="271" w:lineRule="auto"/>
        <w:tabs>
          <w:tab w:leader="none" w:pos="420" w:val="left"/>
        </w:tabs>
        <w:rPr>
          <w:sz w:val="20"/>
          <w:szCs w:val="20"/>
          <w:color w:val="auto"/>
        </w:rPr>
      </w:pPr>
      <w:r>
        <w:rPr>
          <w:rFonts w:ascii="Times New Roman" w:cs="Times New Roman" w:eastAsia="Times New Roman" w:hAnsi="Times New Roman"/>
          <w:sz w:val="12"/>
          <w:szCs w:val="12"/>
          <w:color w:val="auto"/>
        </w:rPr>
        <w:t>24.5</w:t>
      </w:r>
      <w:r>
        <w:rPr>
          <w:sz w:val="20"/>
          <w:szCs w:val="20"/>
          <w:color w:val="auto"/>
        </w:rPr>
        <w:tab/>
      </w:r>
      <w:r>
        <w:rPr>
          <w:rFonts w:ascii="Times New Roman" w:cs="Times New Roman" w:eastAsia="Times New Roman" w:hAnsi="Times New Roman"/>
          <w:sz w:val="12"/>
          <w:szCs w:val="12"/>
          <w:color w:val="auto"/>
        </w:rPr>
        <w:t>Upon signing of this Agreement, and in any event within [***] business days thereafter, TMC will issue the State a warrant to purchase [***] common shares of TMC, in substantially the form of Exhibit A attached to this Agreement. The initial exercise price of the warrant will equal the closing price of TMC’s common shares on the Nasdaq stock market on the trading day immediately preceding the date of signing. The warrants will have a eight-year term from the date of issuance and will become exercisable only upon the occurrence of the Continuity Conditions. The obligations of TMC with respect to the issuance of these warrants are further set out in the Deed of Guarantee and Indemnity executed by TMC and the State in connection with this Agreement.</w:t>
      </w:r>
    </w:p>
    <w:p>
      <w:pPr>
        <w:spacing w:after="0" w:line="120" w:lineRule="exact"/>
        <w:rPr>
          <w:sz w:val="20"/>
          <w:szCs w:val="20"/>
          <w:color w:val="auto"/>
        </w:rPr>
      </w:pPr>
    </w:p>
    <w:p>
      <w:pPr>
        <w:jc w:val="both"/>
        <w:ind w:left="440" w:right="2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24.6</w:t>
      </w:r>
      <w:r>
        <w:rPr>
          <w:sz w:val="20"/>
          <w:szCs w:val="20"/>
          <w:color w:val="auto"/>
        </w:rPr>
        <w:tab/>
      </w:r>
      <w:r>
        <w:rPr>
          <w:rFonts w:ascii="Times New Roman" w:cs="Times New Roman" w:eastAsia="Times New Roman" w:hAnsi="Times New Roman"/>
          <w:sz w:val="12"/>
          <w:szCs w:val="12"/>
          <w:color w:val="auto"/>
        </w:rPr>
        <w:t>Commencing 1 April of the year following the fulfilment of the Continuity Conditions, and annually after that date until this Agreement is terminated or the State terminates its Sponsorship of TOML for any reason other than TOML’s consent to that termination, TOML will pay to the State an annual payment on the following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17486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6" w:right="299" w:bottom="1440" w:gutter="0" w:footer="0" w:header="0"/>
        </w:sectPr>
      </w:pPr>
    </w:p>
    <w:bookmarkStart w:id="40" w:name="page41"/>
    <w:bookmarkEnd w:id="40"/>
    <w:p>
      <w:pPr>
        <w:ind w:left="440" w:hanging="440"/>
        <w:spacing w:after="0"/>
        <w:tabs>
          <w:tab w:leader="none" w:pos="44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first [***]-year period, payments in accordance with the following schedule:</w:t>
      </w:r>
    </w:p>
    <w:p>
      <w:pPr>
        <w:spacing w:after="0" w:line="152" w:lineRule="exact"/>
        <w:rPr>
          <w:sz w:val="20"/>
          <w:szCs w:val="20"/>
          <w:color w:val="auto"/>
        </w:rPr>
      </w:pPr>
    </w:p>
    <w:tbl>
      <w:tblPr>
        <w:tblLayout w:type="fixed"/>
        <w:tblInd w:w="450" w:type="dxa"/>
        <w:tblCellMar>
          <w:top w:w="0" w:type="dxa"/>
          <w:left w:w="0" w:type="dxa"/>
          <w:bottom w:w="0" w:type="dxa"/>
          <w:right w:w="0" w:type="dxa"/>
        </w:tblCellMar>
      </w:tblPr>
      <w:tr>
        <w:trPr>
          <w:trHeight w:val="158"/>
        </w:trPr>
        <w:tc>
          <w:tcPr>
            <w:tcW w:w="2280" w:type="dxa"/>
            <w:vAlign w:val="bottom"/>
            <w:tcBorders>
              <w:top w:val="single" w:sz="8" w:color="auto"/>
              <w:left w:val="single" w:sz="8" w:color="auto"/>
              <w:bottom w:val="single" w:sz="8" w:color="auto"/>
              <w:right w:val="single" w:sz="8" w:color="auto"/>
            </w:tcBorders>
          </w:tcPr>
          <w:p>
            <w:pPr>
              <w:jc w:val="right"/>
              <w:ind w:right="1858"/>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tcBorders>
              <w:top w:val="single" w:sz="8" w:color="auto"/>
              <w:bottom w:val="single" w:sz="8" w:color="auto"/>
              <w:right w:val="single" w:sz="8" w:color="auto"/>
            </w:tcBorders>
          </w:tcPr>
          <w:p>
            <w:pPr>
              <w:jc w:val="right"/>
              <w:ind w:right="2998"/>
              <w:spacing w:after="0"/>
              <w:rPr>
                <w:sz w:val="20"/>
                <w:szCs w:val="20"/>
                <w:color w:val="auto"/>
              </w:rPr>
            </w:pPr>
            <w:r>
              <w:rPr>
                <w:rFonts w:ascii="Times New Roman" w:cs="Times New Roman" w:eastAsia="Times New Roman" w:hAnsi="Times New Roman"/>
                <w:sz w:val="12"/>
                <w:szCs w:val="12"/>
                <w:color w:val="auto"/>
              </w:rPr>
              <w:t>[***]</w:t>
            </w:r>
          </w:p>
        </w:tc>
      </w:tr>
      <w:tr>
        <w:trPr>
          <w:trHeight w:val="138"/>
        </w:trPr>
        <w:tc>
          <w:tcPr>
            <w:tcW w:w="2280" w:type="dxa"/>
            <w:vAlign w:val="bottom"/>
            <w:tcBorders>
              <w:left w:val="single" w:sz="8" w:color="auto"/>
              <w:bottom w:val="single" w:sz="8" w:color="auto"/>
              <w:right w:val="single" w:sz="8" w:color="auto"/>
            </w:tcBorders>
          </w:tcPr>
          <w:p>
            <w:pPr>
              <w:jc w:val="right"/>
              <w:ind w:right="1858"/>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tcBorders>
              <w:bottom w:val="single" w:sz="8" w:color="auto"/>
              <w:right w:val="single" w:sz="8" w:color="auto"/>
            </w:tcBorders>
          </w:tcPr>
          <w:p>
            <w:pPr>
              <w:jc w:val="right"/>
              <w:ind w:right="2998"/>
              <w:spacing w:after="0"/>
              <w:rPr>
                <w:sz w:val="20"/>
                <w:szCs w:val="20"/>
                <w:color w:val="auto"/>
              </w:rPr>
            </w:pPr>
            <w:r>
              <w:rPr>
                <w:rFonts w:ascii="Times New Roman" w:cs="Times New Roman" w:eastAsia="Times New Roman" w:hAnsi="Times New Roman"/>
                <w:sz w:val="12"/>
                <w:szCs w:val="12"/>
                <w:color w:val="auto"/>
              </w:rPr>
              <w:t>[***]</w:t>
            </w:r>
          </w:p>
        </w:tc>
      </w:tr>
      <w:tr>
        <w:trPr>
          <w:trHeight w:val="138"/>
        </w:trPr>
        <w:tc>
          <w:tcPr>
            <w:tcW w:w="2280" w:type="dxa"/>
            <w:vAlign w:val="bottom"/>
            <w:tcBorders>
              <w:left w:val="single" w:sz="8" w:color="auto"/>
              <w:bottom w:val="single" w:sz="8" w:color="auto"/>
              <w:right w:val="single" w:sz="8" w:color="auto"/>
            </w:tcBorders>
          </w:tcPr>
          <w:p>
            <w:pPr>
              <w:jc w:val="right"/>
              <w:ind w:right="1858"/>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tcBorders>
              <w:bottom w:val="single" w:sz="8" w:color="auto"/>
              <w:right w:val="single" w:sz="8" w:color="auto"/>
            </w:tcBorders>
          </w:tcPr>
          <w:p>
            <w:pPr>
              <w:jc w:val="right"/>
              <w:ind w:right="2998"/>
              <w:spacing w:after="0"/>
              <w:rPr>
                <w:sz w:val="20"/>
                <w:szCs w:val="20"/>
                <w:color w:val="auto"/>
              </w:rPr>
            </w:pPr>
            <w:r>
              <w:rPr>
                <w:rFonts w:ascii="Times New Roman" w:cs="Times New Roman" w:eastAsia="Times New Roman" w:hAnsi="Times New Roman"/>
                <w:sz w:val="12"/>
                <w:szCs w:val="12"/>
                <w:color w:val="auto"/>
              </w:rPr>
              <w:t>[***]</w:t>
            </w:r>
          </w:p>
        </w:tc>
      </w:tr>
      <w:tr>
        <w:trPr>
          <w:trHeight w:val="138"/>
        </w:trPr>
        <w:tc>
          <w:tcPr>
            <w:tcW w:w="2280" w:type="dxa"/>
            <w:vAlign w:val="bottom"/>
            <w:tcBorders>
              <w:left w:val="single" w:sz="8" w:color="auto"/>
              <w:bottom w:val="single" w:sz="8" w:color="auto"/>
              <w:right w:val="single" w:sz="8" w:color="auto"/>
            </w:tcBorders>
          </w:tcPr>
          <w:p>
            <w:pPr>
              <w:jc w:val="right"/>
              <w:ind w:right="1858"/>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tcBorders>
              <w:bottom w:val="single" w:sz="8" w:color="auto"/>
              <w:right w:val="single" w:sz="8" w:color="auto"/>
            </w:tcBorders>
          </w:tcPr>
          <w:p>
            <w:pPr>
              <w:jc w:val="right"/>
              <w:ind w:right="2998"/>
              <w:spacing w:after="0"/>
              <w:rPr>
                <w:sz w:val="20"/>
                <w:szCs w:val="20"/>
                <w:color w:val="auto"/>
              </w:rPr>
            </w:pPr>
            <w:r>
              <w:rPr>
                <w:rFonts w:ascii="Times New Roman" w:cs="Times New Roman" w:eastAsia="Times New Roman" w:hAnsi="Times New Roman"/>
                <w:sz w:val="12"/>
                <w:szCs w:val="12"/>
                <w:color w:val="auto"/>
              </w:rPr>
              <w:t>[***]</w:t>
            </w:r>
          </w:p>
        </w:tc>
      </w:tr>
      <w:tr>
        <w:trPr>
          <w:trHeight w:val="138"/>
        </w:trPr>
        <w:tc>
          <w:tcPr>
            <w:tcW w:w="2280" w:type="dxa"/>
            <w:vAlign w:val="bottom"/>
            <w:tcBorders>
              <w:left w:val="single" w:sz="8" w:color="auto"/>
              <w:bottom w:val="single" w:sz="8" w:color="auto"/>
              <w:right w:val="single" w:sz="8" w:color="auto"/>
            </w:tcBorders>
          </w:tcPr>
          <w:p>
            <w:pPr>
              <w:jc w:val="right"/>
              <w:ind w:right="1858"/>
              <w:spacing w:after="0"/>
              <w:rPr>
                <w:sz w:val="20"/>
                <w:szCs w:val="20"/>
                <w:color w:val="auto"/>
              </w:rPr>
            </w:pPr>
            <w:r>
              <w:rPr>
                <w:rFonts w:ascii="Times New Roman" w:cs="Times New Roman" w:eastAsia="Times New Roman" w:hAnsi="Times New Roman"/>
                <w:sz w:val="12"/>
                <w:szCs w:val="12"/>
                <w:color w:val="auto"/>
              </w:rPr>
              <w:t>[***]</w:t>
            </w:r>
          </w:p>
        </w:tc>
        <w:tc>
          <w:tcPr>
            <w:tcW w:w="3380" w:type="dxa"/>
            <w:vAlign w:val="bottom"/>
            <w:tcBorders>
              <w:bottom w:val="single" w:sz="8" w:color="auto"/>
              <w:right w:val="single" w:sz="8" w:color="auto"/>
            </w:tcBorders>
          </w:tcPr>
          <w:p>
            <w:pPr>
              <w:jc w:val="right"/>
              <w:ind w:right="2998"/>
              <w:spacing w:after="0"/>
              <w:rPr>
                <w:sz w:val="20"/>
                <w:szCs w:val="20"/>
                <w:color w:val="auto"/>
              </w:rPr>
            </w:pPr>
            <w:r>
              <w:rPr>
                <w:rFonts w:ascii="Times New Roman" w:cs="Times New Roman" w:eastAsia="Times New Roman" w:hAnsi="Times New Roman"/>
                <w:sz w:val="12"/>
                <w:szCs w:val="12"/>
                <w:color w:val="auto"/>
              </w:rPr>
              <w:t>[***]</w:t>
            </w:r>
          </w:p>
        </w:tc>
      </w:tr>
    </w:tbl>
    <w:p>
      <w:pPr>
        <w:spacing w:after="0" w:line="136" w:lineRule="exact"/>
        <w:rPr>
          <w:sz w:val="20"/>
          <w:szCs w:val="20"/>
          <w:color w:val="auto"/>
        </w:rPr>
      </w:pPr>
    </w:p>
    <w:p>
      <w:pPr>
        <w:ind w:left="440" w:right="20" w:hanging="440"/>
        <w:spacing w:after="0" w:line="297" w:lineRule="auto"/>
        <w:tabs>
          <w:tab w:leader="none" w:pos="44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subsequent [***]-year payment period, payments in accordance with a yearly payment instalment schedule that TOML and the State will negotiate in good faith prior to the end of the first [***]-year payment period and each subsequent payment period.</w:t>
      </w:r>
    </w:p>
    <w:p>
      <w:pPr>
        <w:spacing w:after="0" w:line="104" w:lineRule="exact"/>
        <w:rPr>
          <w:rFonts w:ascii="Times New Roman" w:cs="Times New Roman" w:eastAsia="Times New Roman" w:hAnsi="Times New Roman"/>
          <w:sz w:val="12"/>
          <w:szCs w:val="12"/>
          <w:color w:val="auto"/>
        </w:rPr>
      </w:pPr>
    </w:p>
    <w:p>
      <w:pPr>
        <w:ind w:left="900" w:hanging="454"/>
        <w:spacing w:after="0" w:line="297" w:lineRule="auto"/>
        <w:tabs>
          <w:tab w:leader="none" w:pos="900"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negotiations must commence at least [***] days before to the end of each payment period. Each yearly payment instalment schedule will include the number of years in the payment period and the amounts to be paid in each year.</w:t>
      </w:r>
    </w:p>
    <w:p>
      <w:pPr>
        <w:spacing w:after="0" w:line="104" w:lineRule="exact"/>
        <w:rPr>
          <w:rFonts w:ascii="Times New Roman" w:cs="Times New Roman" w:eastAsia="Times New Roman" w:hAnsi="Times New Roman"/>
          <w:sz w:val="12"/>
          <w:szCs w:val="12"/>
          <w:color w:val="auto"/>
        </w:rPr>
      </w:pPr>
    </w:p>
    <w:p>
      <w:pPr>
        <w:jc w:val="both"/>
        <w:ind w:left="900" w:hanging="454"/>
        <w:spacing w:after="0" w:line="278" w:lineRule="auto"/>
        <w:tabs>
          <w:tab w:leader="none" w:pos="900"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of each yearly payment instalment schedule will be guided by the overall intention of providing the State with reasonable payments that are no greater than the amounts that the State would have reasonably received from TOML pursuant to the Act and this Agreement at an equivalent stage of Exploitation activities, taking into account the differing operating context, if TOML had been able to proceed with such activities pursuant to an ISA Exploitation Contract.</w:t>
      </w:r>
    </w:p>
    <w:p>
      <w:pPr>
        <w:spacing w:after="0" w:line="115" w:lineRule="exact"/>
        <w:rPr>
          <w:rFonts w:ascii="Times New Roman" w:cs="Times New Roman" w:eastAsia="Times New Roman" w:hAnsi="Times New Roman"/>
          <w:sz w:val="12"/>
          <w:szCs w:val="12"/>
          <w:color w:val="auto"/>
        </w:rPr>
      </w:pPr>
    </w:p>
    <w:p>
      <w:pPr>
        <w:ind w:left="900" w:hanging="454"/>
        <w:spacing w:after="0"/>
        <w:tabs>
          <w:tab w:leader="none" w:pos="900"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payments made after the first [***]-year period may also be made subject to TMC achieving certain financial milestones.</w:t>
      </w:r>
    </w:p>
    <w:p>
      <w:pPr>
        <w:spacing w:after="0" w:line="159" w:lineRule="exact"/>
        <w:rPr>
          <w:rFonts w:ascii="Times New Roman" w:cs="Times New Roman" w:eastAsia="Times New Roman" w:hAnsi="Times New Roman"/>
          <w:sz w:val="12"/>
          <w:szCs w:val="12"/>
          <w:color w:val="auto"/>
        </w:rPr>
      </w:pPr>
    </w:p>
    <w:p>
      <w:pPr>
        <w:jc w:val="both"/>
        <w:ind w:left="440" w:hanging="440"/>
        <w:spacing w:after="0" w:line="278" w:lineRule="auto"/>
        <w:tabs>
          <w:tab w:leader="none" w:pos="44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Parties are unable to agree on a yearly payment instalment schedule for the subsequent [***]-year payment period prior to [***] month before the end of the [***] year of the existing payment schedule, either Party may use the dispute resolution mechanism of this Agreement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xml:space="preserve"> to settle the yearly instalment schedule for the subsequent [***] year period. Any findings or result of such a process will be binding upon the Parties.</w:t>
      </w:r>
    </w:p>
    <w:p>
      <w:pPr>
        <w:spacing w:after="0" w:line="115" w:lineRule="exact"/>
        <w:rPr>
          <w:rFonts w:ascii="Times New Roman" w:cs="Times New Roman" w:eastAsia="Times New Roman" w:hAnsi="Times New Roman"/>
          <w:sz w:val="12"/>
          <w:szCs w:val="12"/>
          <w:color w:val="auto"/>
        </w:rPr>
      </w:pPr>
    </w:p>
    <w:p>
      <w:pPr>
        <w:jc w:val="both"/>
        <w:ind w:left="440" w:right="20" w:hanging="440"/>
        <w:spacing w:after="0" w:line="278" w:lineRule="auto"/>
        <w:tabs>
          <w:tab w:leader="none" w:pos="44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shall endeavour to ensure that the total amount of monetary payments made to the State equals a minimum of [***] and may be up to a maximum of [***] subject to TMC’s market capitalization meeting thresholds agreed between the Parties. For the avoidance of doubt, monetary payments pursuant to this clause are exclusive of the value of the warrants, Administration Fee and the annual investments TOML will make pursuant to clause 24.9(b).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175895</wp:posOffset>
            </wp:positionV>
            <wp:extent cx="717486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6" w:right="299" w:bottom="1440" w:gutter="0" w:footer="0" w:header="0"/>
        </w:sectPr>
      </w:pPr>
    </w:p>
    <w:bookmarkStart w:id="41" w:name="page42"/>
    <w:bookmarkEnd w:id="41"/>
    <w:p>
      <w:pPr>
        <w:jc w:val="both"/>
        <w:ind w:left="440" w:hanging="445"/>
        <w:spacing w:after="0" w:line="266" w:lineRule="auto"/>
        <w:tabs>
          <w:tab w:leader="none" w:pos="420" w:val="left"/>
        </w:tabs>
        <w:rPr>
          <w:sz w:val="20"/>
          <w:szCs w:val="20"/>
          <w:color w:val="auto"/>
        </w:rPr>
      </w:pPr>
      <w:r>
        <w:rPr>
          <w:rFonts w:ascii="Times New Roman" w:cs="Times New Roman" w:eastAsia="Times New Roman" w:hAnsi="Times New Roman"/>
          <w:sz w:val="12"/>
          <w:szCs w:val="12"/>
          <w:color w:val="auto"/>
        </w:rPr>
        <w:t>24.7</w:t>
      </w:r>
      <w:r>
        <w:rPr>
          <w:sz w:val="20"/>
          <w:szCs w:val="20"/>
          <w:color w:val="auto"/>
        </w:rPr>
        <w:tab/>
      </w:r>
      <w:r>
        <w:rPr>
          <w:rFonts w:ascii="Times New Roman" w:cs="Times New Roman" w:eastAsia="Times New Roman" w:hAnsi="Times New Roman"/>
          <w:sz w:val="12"/>
          <w:szCs w:val="12"/>
          <w:color w:val="auto"/>
        </w:rPr>
        <w:t>Notwithstanding anything else contained within this Agreement or the Act, the benefits specified in clauses 24.4 and 24.6 (the “</w:t>
      </w:r>
      <w:r>
        <w:rPr>
          <w:rFonts w:ascii="Times New Roman" w:cs="Times New Roman" w:eastAsia="Times New Roman" w:hAnsi="Times New Roman"/>
          <w:sz w:val="12"/>
          <w:szCs w:val="12"/>
          <w:b w:val="1"/>
          <w:bCs w:val="1"/>
          <w:color w:val="auto"/>
        </w:rPr>
        <w:t>Continuity Benefits</w:t>
      </w:r>
      <w:r>
        <w:rPr>
          <w:rFonts w:ascii="Times New Roman" w:cs="Times New Roman" w:eastAsia="Times New Roman" w:hAnsi="Times New Roman"/>
          <w:sz w:val="12"/>
          <w:szCs w:val="12"/>
          <w:color w:val="auto"/>
        </w:rPr>
        <w:t>”) will replace all other fees, charges and amounts. In the event that any tax becomes payable as a result of any Access to TOML Rights and Intellectual Property or Assignment of such Rights and Intellectual Property, such tax will be creditable against any Continuity Benefits payable, thereby reducing the amount of Continuity Benefits by the amount of tax payable or paid so that over the term of this Agreement full relief is provided for tax paid against all Continuity Benefits payments, such that the combined total of tax and Continuity Benefits payments does not exceed the thresholds specified in clause 24.6 (a) or (d). The State agrees that to the extent an amount is owing by TOML under the Act, the Continuity Benefits will provide full satisfaction of that debt, liability or amount owing. The Parties shall structure the payment of the Continuity Benefits to ensure that no other payments or amounts are required to be paid by TOML to the State under the Act. If TOML is ever required to make an additional or separate payment other than the Continuity Benefits to the State, such amount may be deducted from any Continuity Benefit payable under this Agreement.</w:t>
      </w:r>
    </w:p>
    <w:p>
      <w:pPr>
        <w:spacing w:after="0" w:line="274" w:lineRule="exact"/>
        <w:rPr>
          <w:sz w:val="20"/>
          <w:szCs w:val="20"/>
          <w:color w:val="auto"/>
        </w:rPr>
      </w:pPr>
    </w:p>
    <w:p>
      <w:pPr>
        <w:jc w:val="both"/>
        <w:ind w:left="440" w:right="2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24.8</w:t>
      </w:r>
      <w:r>
        <w:rPr>
          <w:sz w:val="20"/>
          <w:szCs w:val="20"/>
          <w:color w:val="auto"/>
        </w:rPr>
        <w:tab/>
      </w:r>
      <w:r>
        <w:rPr>
          <w:rFonts w:ascii="Times New Roman" w:cs="Times New Roman" w:eastAsia="Times New Roman" w:hAnsi="Times New Roman"/>
          <w:sz w:val="12"/>
          <w:szCs w:val="12"/>
          <w:color w:val="auto"/>
        </w:rPr>
        <w:t>The Parties agree that the Continuity Benefits will be provided by TOML to Tonga’s Seabed Minerals Fund or a sovereign wealth fund established by the cabinet for the purposes of providing long term benefits to the people of Tonga (the “Fund”). The Parties agree that the Continuity Benefits will only be provided if a reasonable and appropriate governance framework that is consistent with best practice.</w:t>
      </w:r>
    </w:p>
    <w:p>
      <w:pPr>
        <w:spacing w:after="0" w:line="1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24.9</w:t>
      </w:r>
      <w:r>
        <w:rPr>
          <w:sz w:val="20"/>
          <w:szCs w:val="20"/>
          <w:color w:val="auto"/>
        </w:rPr>
        <w:tab/>
      </w:r>
      <w:r>
        <w:rPr>
          <w:rFonts w:ascii="Times New Roman" w:cs="Times New Roman" w:eastAsia="Times New Roman" w:hAnsi="Times New Roman"/>
          <w:sz w:val="12"/>
          <w:szCs w:val="12"/>
          <w:color w:val="auto"/>
        </w:rPr>
        <w:t>In addition to the Continuity Benefits, throughout the time period that the Continuity Benefits are provided to the State, TOML will:</w:t>
      </w:r>
    </w:p>
    <w:p>
      <w:pPr>
        <w:spacing w:after="0" w:line="159" w:lineRule="exact"/>
        <w:rPr>
          <w:sz w:val="20"/>
          <w:szCs w:val="20"/>
          <w:color w:val="auto"/>
        </w:rPr>
      </w:pPr>
    </w:p>
    <w:p>
      <w:pPr>
        <w:ind w:left="880" w:hanging="440"/>
        <w:spacing w:after="0"/>
        <w:tabs>
          <w:tab w:leader="none" w:pos="88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its office in the State, staffed at a level to be determined by TOML at its sole and absolute discretion;</w:t>
      </w:r>
    </w:p>
    <w:p>
      <w:pPr>
        <w:spacing w:after="0" w:line="159" w:lineRule="exact"/>
        <w:rPr>
          <w:rFonts w:ascii="Times New Roman" w:cs="Times New Roman" w:eastAsia="Times New Roman" w:hAnsi="Times New Roman"/>
          <w:sz w:val="12"/>
          <w:szCs w:val="12"/>
          <w:color w:val="auto"/>
        </w:rPr>
      </w:pPr>
    </w:p>
    <w:p>
      <w:pPr>
        <w:ind w:left="880" w:hanging="440"/>
        <w:spacing w:after="0"/>
        <w:tabs>
          <w:tab w:leader="none" w:pos="88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annual in-country social, community and Training and Capacity Building (under clause 8 of this Agreement) investments in the State; and</w:t>
      </w:r>
    </w:p>
    <w:p>
      <w:pPr>
        <w:spacing w:after="0" w:line="159"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24.10   TOML will provide the Continuity Benefits to the State until:</w:t>
      </w:r>
    </w:p>
    <w:p>
      <w:pPr>
        <w:spacing w:after="0" w:line="159" w:lineRule="exact"/>
        <w:rPr>
          <w:sz w:val="20"/>
          <w:szCs w:val="20"/>
          <w:color w:val="auto"/>
        </w:rPr>
      </w:pPr>
    </w:p>
    <w:p>
      <w:pPr>
        <w:ind w:left="880" w:hanging="440"/>
        <w:spacing w:after="0"/>
        <w:tabs>
          <w:tab w:leader="none" w:pos="8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total minimum amount of the monetary payments under the Continuity Benefits ([***]) is paid to the State;</w:t>
      </w:r>
    </w:p>
    <w:p>
      <w:pPr>
        <w:spacing w:after="0" w:line="159" w:lineRule="exact"/>
        <w:rPr>
          <w:rFonts w:ascii="Times New Roman" w:cs="Times New Roman" w:eastAsia="Times New Roman" w:hAnsi="Times New Roman"/>
          <w:sz w:val="12"/>
          <w:szCs w:val="12"/>
          <w:color w:val="auto"/>
        </w:rPr>
      </w:pPr>
    </w:p>
    <w:p>
      <w:pPr>
        <w:ind w:left="880" w:hanging="440"/>
        <w:spacing w:after="0"/>
        <w:tabs>
          <w:tab w:leader="none" w:pos="8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TMC Subsidiary ceases conducting commercial recovery activities in TOML’s ISA Contract Area; or</w:t>
      </w:r>
    </w:p>
    <w:p>
      <w:pPr>
        <w:spacing w:after="0" w:line="159" w:lineRule="exact"/>
        <w:rPr>
          <w:rFonts w:ascii="Times New Roman" w:cs="Times New Roman" w:eastAsia="Times New Roman" w:hAnsi="Times New Roman"/>
          <w:sz w:val="12"/>
          <w:szCs w:val="12"/>
          <w:color w:val="auto"/>
        </w:rPr>
      </w:pPr>
    </w:p>
    <w:p>
      <w:pPr>
        <w:ind w:left="880" w:hanging="440"/>
        <w:spacing w:after="0"/>
        <w:tabs>
          <w:tab w:leader="none" w:pos="8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7486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sectPr>
      </w:pPr>
    </w:p>
    <w:bookmarkStart w:id="42" w:name="page43"/>
    <w:bookmarkEnd w:id="42"/>
    <w:p>
      <w:pPr>
        <w:spacing w:after="0"/>
        <w:tabs>
          <w:tab w:leader="none" w:pos="420" w:val="left"/>
        </w:tabs>
        <w:rPr>
          <w:sz w:val="20"/>
          <w:szCs w:val="20"/>
          <w:color w:val="auto"/>
        </w:rPr>
      </w:pPr>
      <w:r>
        <w:rPr>
          <w:rFonts w:ascii="Times New Roman" w:cs="Times New Roman" w:eastAsia="Times New Roman" w:hAnsi="Times New Roman"/>
          <w:sz w:val="12"/>
          <w:szCs w:val="12"/>
          <w:color w:val="auto"/>
        </w:rPr>
        <w:t>24.11</w:t>
        <w:tab/>
        <w:t>For the avoidance of doubt, if and when TOML ceases providing the State the Continuity Benefits, for whatever reason, TOML will not be obliged to continue to maintain its office and activities within the State.</w:t>
      </w:r>
    </w:p>
    <w:p>
      <w:pPr>
        <w:spacing w:after="0" w:line="1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24.12</w:t>
        <w:tab/>
        <w:t>For the avoidance of doubt, TOML will continue to provide the Continuity Benefit to the State if:</w:t>
      </w:r>
    </w:p>
    <w:p>
      <w:pPr>
        <w:spacing w:after="0" w:line="159" w:lineRule="exact"/>
        <w:rPr>
          <w:sz w:val="20"/>
          <w:szCs w:val="20"/>
          <w:color w:val="auto"/>
        </w:rPr>
      </w:pPr>
    </w:p>
    <w:p>
      <w:pPr>
        <w:ind w:left="880" w:hanging="440"/>
        <w:spacing w:after="0" w:line="297" w:lineRule="auto"/>
        <w:tabs>
          <w:tab w:leader="none" w:pos="88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determines at its absolute and sole discretion, that it remains unviable to submit its Exploitation Application to the ISA and therefore relinquishes its ISA Exploration Contract to the ISA (or the ISA terminates TOML’s ISA Exploration Contract);</w:t>
      </w:r>
    </w:p>
    <w:p>
      <w:pPr>
        <w:spacing w:after="0" w:line="104" w:lineRule="exact"/>
        <w:rPr>
          <w:rFonts w:ascii="Times New Roman" w:cs="Times New Roman" w:eastAsia="Times New Roman" w:hAnsi="Times New Roman"/>
          <w:sz w:val="12"/>
          <w:szCs w:val="12"/>
          <w:color w:val="auto"/>
        </w:rPr>
      </w:pPr>
    </w:p>
    <w:p>
      <w:pPr>
        <w:ind w:left="880" w:hanging="440"/>
        <w:spacing w:after="0"/>
        <w:tabs>
          <w:tab w:leader="none" w:pos="88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TMC Subsidiary has secured commercial recovery rights in the US over the ISA Contract Area; and</w:t>
      </w:r>
    </w:p>
    <w:p>
      <w:pPr>
        <w:spacing w:after="0" w:line="159" w:lineRule="exact"/>
        <w:rPr>
          <w:rFonts w:ascii="Times New Roman" w:cs="Times New Roman" w:eastAsia="Times New Roman" w:hAnsi="Times New Roman"/>
          <w:sz w:val="12"/>
          <w:szCs w:val="12"/>
          <w:color w:val="auto"/>
        </w:rPr>
      </w:pPr>
    </w:p>
    <w:p>
      <w:pPr>
        <w:ind w:left="880" w:hanging="440"/>
        <w:spacing w:after="0"/>
        <w:tabs>
          <w:tab w:leader="none" w:pos="88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Continuity Conditions have been met.</w:t>
      </w:r>
    </w:p>
    <w:p>
      <w:pPr>
        <w:spacing w:after="0" w:line="1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24.13</w:t>
        <w:tab/>
        <w:t>Notwithstanding any other provisions in this Agreement:</w:t>
      </w:r>
    </w:p>
    <w:p>
      <w:pPr>
        <w:spacing w:after="0" w:line="159" w:lineRule="exact"/>
        <w:rPr>
          <w:sz w:val="20"/>
          <w:szCs w:val="20"/>
          <w:color w:val="auto"/>
        </w:rPr>
      </w:pPr>
    </w:p>
    <w:p>
      <w:pPr>
        <w:jc w:val="both"/>
        <w:ind w:left="880" w:hanging="440"/>
        <w:spacing w:after="0" w:line="271" w:lineRule="auto"/>
        <w:tabs>
          <w:tab w:leader="none" w:pos="88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State (including any agency or entity owned or controlled by the State) enters into an arrangement (whether a treaty, contract, memorandum of understanding, or other form of agreement, regardless of its legal status, number of parties, or whether it is governed by international or domestic law) with another State (including any fund, non-profit organization, or other entity established by that State) that entitles the State to receive benefits from the other State in connection with, or associated with, seabed mining activities undertaken by entities of that other State, then from the date such arrangement enters into force, TOML shall be entitled to deduct from the Continuity Benefits an amount equal to any benefit received by the State pursuant to such arrangement; and</w:t>
      </w:r>
    </w:p>
    <w:p>
      <w:pPr>
        <w:spacing w:after="0" w:line="120" w:lineRule="exact"/>
        <w:rPr>
          <w:rFonts w:ascii="Times New Roman" w:cs="Times New Roman" w:eastAsia="Times New Roman" w:hAnsi="Times New Roman"/>
          <w:sz w:val="12"/>
          <w:szCs w:val="12"/>
          <w:color w:val="auto"/>
        </w:rPr>
      </w:pPr>
    </w:p>
    <w:p>
      <w:pPr>
        <w:jc w:val="both"/>
        <w:ind w:left="880" w:hanging="440"/>
        <w:spacing w:after="0" w:line="290" w:lineRule="auto"/>
        <w:tabs>
          <w:tab w:leader="none" w:pos="88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for whatever reason, the TMC Subsidiary temporarily or permanently suspends or ceases its commercial recovery activities of deep seabed minerals pursuant to a permit, licence or other authorization obtained from the US, TOML will not be obliged to provide the Continuity Benefits to the State from the date of such temporary or permanent suspension or cessation of the TMC Subsidiary’s commercial recovery activities.</w:t>
      </w:r>
    </w:p>
    <w:p>
      <w:pPr>
        <w:spacing w:after="0" w:line="261" w:lineRule="exact"/>
        <w:rPr>
          <w:rFonts w:ascii="Times New Roman" w:cs="Times New Roman" w:eastAsia="Times New Roman" w:hAnsi="Times New Roman"/>
          <w:sz w:val="12"/>
          <w:szCs w:val="12"/>
          <w:color w:val="auto"/>
        </w:rPr>
      </w:pPr>
    </w:p>
    <w:p>
      <w:pPr>
        <w:ind w:left="880" w:hanging="440"/>
        <w:spacing w:after="0" w:line="297" w:lineRule="auto"/>
        <w:tabs>
          <w:tab w:leader="none" w:pos="88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TMC Subsidiary resumes its commercial recovery activities following any temporary suspension under clause 24.13(b), TOML will be obliged to provide the Continuity Benefits from the date the TOML notifies the State in writing of such resumption of its commercial recovery activities. For the avoidance of doubt:</w:t>
      </w:r>
    </w:p>
    <w:p>
      <w:pPr>
        <w:spacing w:after="0" w:line="104" w:lineRule="exact"/>
        <w:rPr>
          <w:rFonts w:ascii="Times New Roman" w:cs="Times New Roman" w:eastAsia="Times New Roman" w:hAnsi="Times New Roman"/>
          <w:sz w:val="12"/>
          <w:szCs w:val="12"/>
          <w:color w:val="auto"/>
        </w:rPr>
      </w:pPr>
    </w:p>
    <w:p>
      <w:pPr>
        <w:ind w:left="1340" w:hanging="454"/>
        <w:spacing w:after="0"/>
        <w:tabs>
          <w:tab w:leader="none" w:pos="1340"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shall provide any written notification to the State within 48 hours of such resumption of its commercial recovery activities;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7486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6" w:right="299" w:bottom="1440" w:gutter="0" w:footer="0" w:header="0"/>
        </w:sectPr>
      </w:pPr>
    </w:p>
    <w:bookmarkStart w:id="43" w:name="page44"/>
    <w:bookmarkEnd w:id="43"/>
    <w:p>
      <w:pPr>
        <w:ind w:left="1346" w:hanging="454"/>
        <w:spacing w:after="0"/>
        <w:tabs>
          <w:tab w:leader="none" w:pos="1346"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TOML’s payment of the Continuity Benefits shall resume from the date on which payment was paused pursuant to clause 24.13(b); and</w:t>
      </w:r>
    </w:p>
    <w:p>
      <w:pPr>
        <w:spacing w:after="0" w:line="159" w:lineRule="exact"/>
        <w:rPr>
          <w:rFonts w:ascii="Times New Roman" w:cs="Times New Roman" w:eastAsia="Times New Roman" w:hAnsi="Times New Roman"/>
          <w:sz w:val="12"/>
          <w:szCs w:val="12"/>
          <w:color w:val="auto"/>
        </w:rPr>
      </w:pPr>
    </w:p>
    <w:p>
      <w:pPr>
        <w:ind w:left="1346" w:right="20" w:hanging="454"/>
        <w:spacing w:after="0" w:line="297" w:lineRule="auto"/>
        <w:tabs>
          <w:tab w:leader="none" w:pos="1346"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will not be obliged to provide the State with any retrospective payments of the Continuity Benefits corresponding to the duration of any temporary suspension in the TMC Subsidiary’s commercial recovery activities.</w:t>
      </w:r>
    </w:p>
    <w:p>
      <w:pPr>
        <w:spacing w:after="0" w:line="104" w:lineRule="exact"/>
        <w:rPr>
          <w:sz w:val="20"/>
          <w:szCs w:val="20"/>
          <w:color w:val="auto"/>
        </w:rPr>
      </w:pPr>
    </w:p>
    <w:p>
      <w:pPr>
        <w:ind w:left="886" w:right="20" w:hanging="440"/>
        <w:spacing w:after="0" w:line="297" w:lineRule="auto"/>
        <w:tabs>
          <w:tab w:leader="none" w:pos="886"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purposes of this clause 24.13, a “temporary suspension” in the TMC Subsidiary’s commercial recovery activities will occur where the TMC Subsidiary does not or cannot conduct any commercial recovery activities for a continuous period longer than [***] days.</w:t>
      </w:r>
    </w:p>
    <w:p>
      <w:pPr>
        <w:spacing w:after="0" w:line="104"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24.14</w:t>
        <w:tab/>
        <w:t>In the event that TOML does not or cannot provide the State the Continuity Benefits, for whatever reason, for longer than [***] months after [***]of the year in which the Continuity Benefits are due in accordance with clause 24.6, the Parties shall, acting in good faith, enter into negotiations to amend, vary, terminate or agree new terms to this Agreement.</w:t>
      </w:r>
    </w:p>
    <w:p>
      <w:pPr>
        <w:spacing w:after="0" w:line="104" w:lineRule="exact"/>
        <w:rPr>
          <w:sz w:val="20"/>
          <w:szCs w:val="20"/>
          <w:color w:val="auto"/>
        </w:rPr>
      </w:pPr>
    </w:p>
    <w:p>
      <w:pPr>
        <w:ind w:left="446"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24.15</w:t>
        <w:tab/>
        <w:t>Save to the extent that the State seeks to defend its rights or reputation, the State will not, and will not cause any natural or legal person under the State’s effective control to take any action or make any statements, whether oral or in writing, in any international or domestic forum, which disputes, opposes, obstructs, interferes with or brings into disrepute:</w:t>
      </w:r>
    </w:p>
    <w:p>
      <w:pPr>
        <w:spacing w:after="0" w:line="104" w:lineRule="exact"/>
        <w:rPr>
          <w:sz w:val="20"/>
          <w:szCs w:val="20"/>
          <w:color w:val="auto"/>
        </w:rPr>
      </w:pPr>
    </w:p>
    <w:p>
      <w:pPr>
        <w:ind w:left="886" w:hanging="440"/>
        <w:spacing w:after="0"/>
        <w:tabs>
          <w:tab w:leader="none" w:pos="886"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application made by TMC Subsidiary to the US for the issuance of an exploration license or commercial recovery permit from the US; or</w:t>
      </w:r>
    </w:p>
    <w:p>
      <w:pPr>
        <w:spacing w:after="0" w:line="159"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exploration or commercial recovery activity undertaken by TMC Subsidiary pursuant to such a license or permit.</w:t>
      </w:r>
    </w:p>
    <w:p>
      <w:pPr>
        <w:spacing w:after="0" w:line="159"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24.16</w:t>
        <w:tab/>
        <w:t>Save to the extent that TOML seeks to defend its rights or reputation, TOML Group will not, and will not cause any natural or legal person under TOML Group’s effective control to take any action or make any statements, whether oral or in writing, in any international or domestic forum, which disputes, opposes, obstructs, interferes with or brings into disrepute the State’s receipt of the Continuity Benefits.</w:t>
      </w:r>
    </w:p>
    <w:p>
      <w:pPr>
        <w:spacing w:after="0" w:line="104"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24.17</w:t>
        <w:tab/>
        <w:t>Nothing in this clause 24 shall be read to require the State to recognize or endorse any appropriation of resources from the Area nor any claim, acquisition or exercise of rights with respect to minerals recovered from the Area, except in accordance with UNCLOS.</w:t>
      </w:r>
    </w:p>
    <w:p>
      <w:pPr>
        <w:spacing w:after="0" w:line="102" w:lineRule="exact"/>
        <w:rPr>
          <w:sz w:val="20"/>
          <w:szCs w:val="20"/>
          <w:color w:val="auto"/>
        </w:rPr>
      </w:pPr>
    </w:p>
    <w:p>
      <w:pPr>
        <w:ind w:left="446" w:hanging="446"/>
        <w:spacing w:after="0"/>
        <w:tabs>
          <w:tab w:leader="none" w:pos="446" w:val="left"/>
        </w:tabs>
        <w:numPr>
          <w:ilvl w:val="0"/>
          <w:numId w:val="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Dispute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jc w:val="both"/>
        <w:ind w:left="446" w:hanging="445"/>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25.1</w:t>
      </w:r>
      <w:r>
        <w:rPr>
          <w:sz w:val="20"/>
          <w:szCs w:val="20"/>
          <w:color w:val="auto"/>
        </w:rPr>
        <w:tab/>
      </w:r>
      <w:r>
        <w:rPr>
          <w:rFonts w:ascii="Times New Roman" w:cs="Times New Roman" w:eastAsia="Times New Roman" w:hAnsi="Times New Roman"/>
          <w:sz w:val="12"/>
          <w:szCs w:val="12"/>
          <w:color w:val="auto"/>
        </w:rPr>
        <w:t>If a dispute between the State and TOML arises out of or in connection with Sponsorship under the Act or this Agreement, either the State or TOML may give to the other disputing Party a Notice of dispute in writing adequately identifying the matters and the subject of the dispute together with detailed particulars of the dispute. Notwithstanding anything in this clause 25 the Parties may, by mutual agreement in writing, conduct dispute resolution in any other way or vary the following dispute resolution procedures as they see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717486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44" w:name="page45"/>
    <w:bookmarkEnd w:id="44"/>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25.2</w:t>
      </w:r>
      <w:r>
        <w:rPr>
          <w:sz w:val="20"/>
          <w:szCs w:val="20"/>
          <w:color w:val="auto"/>
        </w:rPr>
        <w:tab/>
      </w:r>
      <w:r>
        <w:rPr>
          <w:rFonts w:ascii="Times New Roman" w:cs="Times New Roman" w:eastAsia="Times New Roman" w:hAnsi="Times New Roman"/>
          <w:sz w:val="12"/>
          <w:szCs w:val="12"/>
          <w:color w:val="auto"/>
        </w:rPr>
        <w:t>Within [***] days after service of a Notice of dispute, the Parties must make best efforts to meet at least once, to attempt to resolve the dispute.</w:t>
      </w:r>
    </w:p>
    <w:p>
      <w:pPr>
        <w:spacing w:after="0" w:line="159"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25.3</w:t>
      </w:r>
      <w:r>
        <w:rPr>
          <w:sz w:val="20"/>
          <w:szCs w:val="20"/>
          <w:color w:val="auto"/>
        </w:rPr>
        <w:tab/>
      </w:r>
      <w:r>
        <w:rPr>
          <w:rFonts w:ascii="Times New Roman" w:cs="Times New Roman" w:eastAsia="Times New Roman" w:hAnsi="Times New Roman"/>
          <w:sz w:val="12"/>
          <w:szCs w:val="12"/>
          <w:color w:val="auto"/>
        </w:rPr>
        <w:t>If, within [***] days after service of a Notice of dispute, the dispute is not resolved, the chief executive officer of TOML and the Responsible Minister make best efforts to must meet within [***] days of expiry of that</w:t>
      </w:r>
    </w:p>
    <w:p>
      <w:pPr>
        <w:spacing w:after="0" w:line="22" w:lineRule="exact"/>
        <w:rPr>
          <w:sz w:val="20"/>
          <w:szCs w:val="20"/>
          <w:color w:val="auto"/>
        </w:rPr>
      </w:pPr>
    </w:p>
    <w:p>
      <w:pPr>
        <w:ind w:left="446"/>
        <w:spacing w:after="0" w:line="277" w:lineRule="auto"/>
        <w:tabs>
          <w:tab w:leader="none" w:pos="75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day period and use their best efforts, acting in good faith, to resolve the dispute (in whole or in part). If the dispute is resolved at the meeting referred to in this clause then any such resolution will be reduced to writing and will be contractually binding on the Parties.</w:t>
      </w:r>
    </w:p>
    <w:p>
      <w:pPr>
        <w:spacing w:after="0" w:line="116" w:lineRule="exact"/>
        <w:rPr>
          <w:sz w:val="20"/>
          <w:szCs w:val="20"/>
          <w:color w:val="auto"/>
        </w:rPr>
      </w:pPr>
    </w:p>
    <w:p>
      <w:pPr>
        <w:jc w:val="both"/>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25.4</w:t>
      </w:r>
      <w:r>
        <w:rPr>
          <w:sz w:val="20"/>
          <w:szCs w:val="20"/>
          <w:color w:val="auto"/>
        </w:rPr>
        <w:tab/>
      </w:r>
      <w:r>
        <w:rPr>
          <w:rFonts w:ascii="Times New Roman" w:cs="Times New Roman" w:eastAsia="Times New Roman" w:hAnsi="Times New Roman"/>
          <w:sz w:val="12"/>
          <w:szCs w:val="12"/>
          <w:color w:val="auto"/>
        </w:rPr>
        <w:t>The State and TOML hereby consent to submit to arbitration in accordance with clause 25.5 any dispute, controversy or claim arising out of or relating to this contract, or the breach, termination or validity thereof, that has not been resolved in accordance with clause 25.3.</w:t>
      </w:r>
    </w:p>
    <w:p>
      <w:pPr>
        <w:spacing w:after="0" w:line="104" w:lineRule="exact"/>
        <w:rPr>
          <w:sz w:val="20"/>
          <w:szCs w:val="20"/>
          <w:color w:val="auto"/>
        </w:rPr>
      </w:pPr>
    </w:p>
    <w:p>
      <w:pPr>
        <w:jc w:val="both"/>
        <w:ind w:left="446" w:right="20" w:hanging="445"/>
        <w:spacing w:after="0" w:line="275" w:lineRule="auto"/>
        <w:tabs>
          <w:tab w:leader="none" w:pos="425" w:val="left"/>
        </w:tabs>
        <w:rPr>
          <w:sz w:val="20"/>
          <w:szCs w:val="20"/>
          <w:color w:val="auto"/>
        </w:rPr>
      </w:pPr>
      <w:r>
        <w:rPr>
          <w:rFonts w:ascii="Times New Roman" w:cs="Times New Roman" w:eastAsia="Times New Roman" w:hAnsi="Times New Roman"/>
          <w:sz w:val="12"/>
          <w:szCs w:val="12"/>
          <w:color w:val="auto"/>
        </w:rPr>
        <w:t>25.5</w:t>
      </w:r>
      <w:r>
        <w:rPr>
          <w:sz w:val="20"/>
          <w:szCs w:val="20"/>
          <w:color w:val="auto"/>
        </w:rPr>
        <w:tab/>
      </w:r>
      <w:r>
        <w:rPr>
          <w:rFonts w:ascii="Times New Roman" w:cs="Times New Roman" w:eastAsia="Times New Roman" w:hAnsi="Times New Roman"/>
          <w:sz w:val="12"/>
          <w:szCs w:val="12"/>
          <w:color w:val="auto"/>
        </w:rPr>
        <w:t>Any dispute, controversy or claim arising out of or relating to this contract, or the breach, termination or validity thereof, that has not been resolved in accordance with clause 25.3 shall be settled by arbitration in accordance with the UNCITRAL Arbitration Rules as at present in force (unless the Parties otherwise agree on another procedure for arbitration). The appointing authority shall be the International Chamber of Commerce acting in accordance with the rules of the ICC for this purpose. The number of arbitrators shall be three. The seat of the arbitration shall be Singapore, Singapore. The language to be used in the arbitral proceeding shall be English.</w:t>
      </w:r>
    </w:p>
    <w:p>
      <w:pPr>
        <w:spacing w:after="0" w:line="269"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25.6</w:t>
      </w:r>
      <w:r>
        <w:rPr>
          <w:sz w:val="20"/>
          <w:szCs w:val="20"/>
          <w:color w:val="auto"/>
        </w:rPr>
        <w:tab/>
      </w:r>
      <w:r>
        <w:rPr>
          <w:rFonts w:ascii="Times New Roman" w:cs="Times New Roman" w:eastAsia="Times New Roman" w:hAnsi="Times New Roman"/>
          <w:sz w:val="12"/>
          <w:szCs w:val="12"/>
          <w:color w:val="auto"/>
        </w:rPr>
        <w:t>Notwithstanding anything in this clause 25:</w:t>
      </w:r>
    </w:p>
    <w:p>
      <w:pPr>
        <w:spacing w:after="0" w:line="159" w:lineRule="exact"/>
        <w:rPr>
          <w:sz w:val="20"/>
          <w:szCs w:val="20"/>
          <w:color w:val="auto"/>
        </w:rPr>
      </w:pPr>
    </w:p>
    <w:p>
      <w:pPr>
        <w:ind w:left="886" w:hanging="440"/>
        <w:spacing w:after="0"/>
        <w:tabs>
          <w:tab w:leader="none" w:pos="886"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will prejudice the right of a Party to seek urgent injunctive, interrogatory or declaratory relief from a court of competent jurisdiction; and</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1"/>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must continue to perform its obligations under the Agreement.</w:t>
      </w:r>
    </w:p>
    <w:p>
      <w:pPr>
        <w:spacing w:after="0" w:line="145" w:lineRule="exact"/>
        <w:rPr>
          <w:rFonts w:ascii="Times New Roman" w:cs="Times New Roman" w:eastAsia="Times New Roman" w:hAnsi="Times New Roman"/>
          <w:sz w:val="12"/>
          <w:szCs w:val="12"/>
          <w:color w:val="auto"/>
        </w:rPr>
      </w:pPr>
    </w:p>
    <w:p>
      <w:pPr>
        <w:ind w:left="446" w:hanging="446"/>
        <w:spacing w:after="0"/>
        <w:tabs>
          <w:tab w:leader="none" w:pos="446" w:val="left"/>
        </w:tabs>
        <w:numPr>
          <w:ilvl w:val="0"/>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Authorisation to Enter Agreement</w:t>
      </w:r>
    </w:p>
    <w:p>
      <w:pPr>
        <w:spacing w:after="0" w:line="226" w:lineRule="exact"/>
        <w:rPr>
          <w:rFonts w:ascii="Times New Roman" w:cs="Times New Roman" w:eastAsia="Times New Roman" w:hAnsi="Times New Roman"/>
          <w:sz w:val="12"/>
          <w:szCs w:val="12"/>
          <w:b w:val="1"/>
          <w:bCs w:val="1"/>
          <w:color w:val="auto"/>
        </w:rPr>
      </w:pPr>
    </w:p>
    <w:p>
      <w:pPr>
        <w:ind w:left="44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State warrants that it has done everything under the Act necessary to authorize it to enter in to this Agreement, and the Agreement is enforceable in accordance with its terms.</w:t>
      </w:r>
    </w:p>
    <w:p>
      <w:pPr>
        <w:spacing w:after="0" w:line="157" w:lineRule="exact"/>
        <w:rPr>
          <w:rFonts w:ascii="Times New Roman" w:cs="Times New Roman" w:eastAsia="Times New Roman" w:hAnsi="Times New Roman"/>
          <w:sz w:val="12"/>
          <w:szCs w:val="12"/>
          <w:b w:val="1"/>
          <w:bCs w:val="1"/>
          <w:color w:val="auto"/>
        </w:rPr>
      </w:pPr>
    </w:p>
    <w:p>
      <w:pPr>
        <w:ind w:left="446" w:hanging="446"/>
        <w:spacing w:after="0"/>
        <w:tabs>
          <w:tab w:leader="none" w:pos="446" w:val="left"/>
        </w:tabs>
        <w:numPr>
          <w:ilvl w:val="0"/>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Governing Law &amp;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17486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jc w:val="both"/>
        <w:ind w:left="446" w:hanging="445"/>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27.1</w:t>
      </w:r>
      <w:r>
        <w:rPr>
          <w:sz w:val="20"/>
          <w:szCs w:val="20"/>
          <w:color w:val="auto"/>
        </w:rPr>
        <w:tab/>
      </w:r>
      <w:r>
        <w:rPr>
          <w:rFonts w:ascii="Times New Roman" w:cs="Times New Roman" w:eastAsia="Times New Roman" w:hAnsi="Times New Roman"/>
          <w:sz w:val="12"/>
          <w:szCs w:val="12"/>
          <w:color w:val="auto"/>
        </w:rPr>
        <w:t>The Governing law and jurisdiction shall be that of Singapore and general principles of international law regarding the protection of foreign investors to the extent that such rules do not contradict the provisions of this Agreement or would reduce the rights of TOML under this Agreement, provided however that with respect to any arbitration, the governing procedural laws of the situs of the arbitration shall govern the arbitration. For the avoidance of doubt, all matters arising hereunder shall be resolved pursuant to the dispute resolution procedures set forth in clause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717486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45" w:name="page46"/>
    <w:bookmarkEnd w:id="45"/>
    <w:p>
      <w:pPr>
        <w:jc w:val="both"/>
        <w:ind w:left="446" w:hanging="445"/>
        <w:spacing w:after="0" w:line="278" w:lineRule="auto"/>
        <w:tabs>
          <w:tab w:leader="none" w:pos="425" w:val="left"/>
        </w:tabs>
        <w:rPr>
          <w:sz w:val="20"/>
          <w:szCs w:val="20"/>
          <w:color w:val="auto"/>
        </w:rPr>
      </w:pPr>
      <w:r>
        <w:rPr>
          <w:rFonts w:ascii="Times New Roman" w:cs="Times New Roman" w:eastAsia="Times New Roman" w:hAnsi="Times New Roman"/>
          <w:sz w:val="12"/>
          <w:szCs w:val="12"/>
          <w:color w:val="auto"/>
        </w:rPr>
        <w:t>27.2</w:t>
      </w:r>
      <w:r>
        <w:rPr>
          <w:sz w:val="20"/>
          <w:szCs w:val="20"/>
          <w:color w:val="auto"/>
        </w:rPr>
        <w:tab/>
      </w:r>
      <w:r>
        <w:rPr>
          <w:rFonts w:ascii="Times New Roman" w:cs="Times New Roman" w:eastAsia="Times New Roman" w:hAnsi="Times New Roman"/>
          <w:sz w:val="12"/>
          <w:szCs w:val="12"/>
          <w:color w:val="auto"/>
        </w:rPr>
        <w:t>The State shall recognize any arbitral award granted as a result of the dispute resolution procedures set forth in clause 25 as binding and enforce any obligations imposed by that award within its territories as if it were a final judgment of the State’s courts. Execution of the award shall be governed by Tongan Law concerning the execution of judgments of Tongan courts in force in the State. For the avoidance of doubt, any Tongan Law related to the enforcement of foreign or domestic arbitral awards will not apply to any award rendered under clause 25.</w:t>
      </w:r>
    </w:p>
    <w:p>
      <w:pPr>
        <w:spacing w:after="0" w:line="113" w:lineRule="exact"/>
        <w:rPr>
          <w:sz w:val="20"/>
          <w:szCs w:val="20"/>
          <w:color w:val="auto"/>
        </w:rPr>
      </w:pPr>
    </w:p>
    <w:p>
      <w:pPr>
        <w:ind w:left="446" w:hanging="446"/>
        <w:spacing w:after="0"/>
        <w:tabs>
          <w:tab w:leader="none" w:pos="446" w:val="left"/>
        </w:tabs>
        <w:numPr>
          <w:ilvl w:val="0"/>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International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446"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28.1</w:t>
      </w:r>
      <w:r>
        <w:rPr>
          <w:sz w:val="20"/>
          <w:szCs w:val="20"/>
          <w:color w:val="auto"/>
        </w:rPr>
        <w:tab/>
      </w:r>
      <w:r>
        <w:rPr>
          <w:rFonts w:ascii="Times New Roman" w:cs="Times New Roman" w:eastAsia="Times New Roman" w:hAnsi="Times New Roman"/>
          <w:sz w:val="12"/>
          <w:szCs w:val="12"/>
          <w:color w:val="auto"/>
        </w:rPr>
        <w:t>To the extent that TOML’s obligations under this Agreement conflict with TOML’s ISA Obligations, the latter shall take precedence, and the Parties agree that TOML shall be relieved of its obligations under this Agreement to the extent and for the period that those obligations conflict with TOML’s ISA Obligations or other obligations at International Law.</w:t>
      </w:r>
    </w:p>
    <w:p>
      <w:pPr>
        <w:spacing w:after="0" w:line="104"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28.2</w:t>
      </w:r>
      <w:r>
        <w:rPr>
          <w:sz w:val="20"/>
          <w:szCs w:val="20"/>
          <w:color w:val="auto"/>
        </w:rPr>
        <w:tab/>
      </w:r>
      <w:r>
        <w:rPr>
          <w:rFonts w:ascii="Times New Roman" w:cs="Times New Roman" w:eastAsia="Times New Roman" w:hAnsi="Times New Roman"/>
          <w:sz w:val="12"/>
          <w:szCs w:val="12"/>
          <w:color w:val="auto"/>
        </w:rPr>
        <w:t>Any relief provided to TOML under this clause 28 does not invalidate the remaining provisions of this Agreement nor affect the validity of that provision at a future date if it ceases to cause TOML to be in breach of TOML’s ISA Obligations.</w:t>
      </w:r>
    </w:p>
    <w:p>
      <w:pPr>
        <w:spacing w:after="0" w:line="103" w:lineRule="exact"/>
        <w:rPr>
          <w:sz w:val="20"/>
          <w:szCs w:val="20"/>
          <w:color w:val="auto"/>
        </w:rPr>
      </w:pPr>
    </w:p>
    <w:p>
      <w:pPr>
        <w:ind w:left="446" w:hanging="446"/>
        <w:spacing w:after="0"/>
        <w:tabs>
          <w:tab w:leader="none" w:pos="446" w:val="left"/>
        </w:tabs>
        <w:numPr>
          <w:ilvl w:val="0"/>
          <w:numId w:val="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w:t>
      </w:r>
    </w:p>
    <w:p>
      <w:pPr>
        <w:spacing w:after="0" w:line="224" w:lineRule="exact"/>
        <w:rPr>
          <w:rFonts w:ascii="Times New Roman" w:cs="Times New Roman" w:eastAsia="Times New Roman" w:hAnsi="Times New Roman"/>
          <w:sz w:val="12"/>
          <w:szCs w:val="12"/>
          <w:b w:val="1"/>
          <w:bCs w:val="1"/>
          <w:color w:val="auto"/>
        </w:rPr>
      </w:pPr>
    </w:p>
    <w:p>
      <w:pPr>
        <w:ind w:left="44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Any notice, demand, consent or other communication (“</w:t>
      </w: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given or made under this Agreement:</w:t>
      </w:r>
    </w:p>
    <w:p>
      <w:pPr>
        <w:spacing w:after="0" w:line="161" w:lineRule="exact"/>
        <w:rPr>
          <w:rFonts w:ascii="Times New Roman" w:cs="Times New Roman" w:eastAsia="Times New Roman" w:hAnsi="Times New Roman"/>
          <w:sz w:val="12"/>
          <w:szCs w:val="12"/>
          <w:b w:val="1"/>
          <w:bCs w:val="1"/>
          <w:color w:val="auto"/>
        </w:rPr>
      </w:pPr>
    </w:p>
    <w:p>
      <w:pPr>
        <w:ind w:left="886" w:hanging="440"/>
        <w:spacing w:after="0"/>
        <w:tabs>
          <w:tab w:leader="none" w:pos="886"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must be in writing and signed by the Party or a person duly authorised by the Party;</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must be addressed and delivered to the intended recipient at the address below or the address last Notified by the intended recipient to the sender after the date of this Agreement:</w:t>
      </w:r>
    </w:p>
    <w:p>
      <w:pPr>
        <w:spacing w:after="0" w:line="147"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2"/>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State:</w:t>
      </w:r>
    </w:p>
    <w:p>
      <w:pPr>
        <w:spacing w:after="0" w:line="159" w:lineRule="exact"/>
        <w:rPr>
          <w:rFonts w:ascii="Times New Roman" w:cs="Times New Roman" w:eastAsia="Times New Roman" w:hAnsi="Times New Roman"/>
          <w:sz w:val="12"/>
          <w:szCs w:val="12"/>
          <w:color w:val="auto"/>
        </w:rPr>
      </w:pPr>
    </w:p>
    <w:p>
      <w:pPr>
        <w:ind w:left="134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2" w:lineRule="exact"/>
        <w:rPr>
          <w:rFonts w:ascii="Times New Roman" w:cs="Times New Roman" w:eastAsia="Times New Roman" w:hAnsi="Times New Roman"/>
          <w:sz w:val="12"/>
          <w:szCs w:val="12"/>
          <w:color w:val="auto"/>
        </w:rPr>
      </w:pPr>
    </w:p>
    <w:p>
      <w:pPr>
        <w:ind w:left="134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134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134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134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134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47" w:lineRule="exact"/>
        <w:rPr>
          <w:rFonts w:ascii="Times New Roman" w:cs="Times New Roman" w:eastAsia="Times New Roman" w:hAnsi="Times New Roman"/>
          <w:sz w:val="12"/>
          <w:szCs w:val="12"/>
          <w:color w:val="auto"/>
        </w:rPr>
      </w:pPr>
    </w:p>
    <w:p>
      <w:pPr>
        <w:ind w:left="1346" w:hanging="454"/>
        <w:spacing w:after="0"/>
        <w:tabs>
          <w:tab w:leader="none" w:pos="1346" w:val="left"/>
        </w:tabs>
        <w:numPr>
          <w:ilvl w:val="2"/>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Tonga Offshore Mining Limited,</w:t>
      </w:r>
    </w:p>
    <w:p>
      <w:pPr>
        <w:spacing w:after="0" w:line="159" w:lineRule="exact"/>
        <w:rPr>
          <w:rFonts w:ascii="Times New Roman" w:cs="Times New Roman" w:eastAsia="Times New Roman" w:hAnsi="Times New Roman"/>
          <w:sz w:val="12"/>
          <w:szCs w:val="12"/>
          <w:color w:val="auto"/>
        </w:rPr>
      </w:pPr>
    </w:p>
    <w:p>
      <w:pPr>
        <w:ind w:left="134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2" w:lineRule="exact"/>
        <w:rPr>
          <w:rFonts w:ascii="Times New Roman" w:cs="Times New Roman" w:eastAsia="Times New Roman" w:hAnsi="Times New Roman"/>
          <w:sz w:val="12"/>
          <w:szCs w:val="12"/>
          <w:color w:val="auto"/>
        </w:rPr>
      </w:pPr>
    </w:p>
    <w:p>
      <w:pPr>
        <w:ind w:left="134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134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0" w:lineRule="exact"/>
        <w:rPr>
          <w:rFonts w:ascii="Times New Roman" w:cs="Times New Roman" w:eastAsia="Times New Roman" w:hAnsi="Times New Roman"/>
          <w:sz w:val="12"/>
          <w:szCs w:val="12"/>
          <w:color w:val="auto"/>
        </w:rPr>
      </w:pPr>
    </w:p>
    <w:p>
      <w:pPr>
        <w:ind w:left="134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-1980565</wp:posOffset>
            </wp:positionV>
            <wp:extent cx="717486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196215</wp:posOffset>
            </wp:positionV>
            <wp:extent cx="717486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46" w:name="page47"/>
    <w:bookmarkEnd w:id="46"/>
    <w:p>
      <w:pPr>
        <w:jc w:val="both"/>
        <w:ind w:left="866" w:hanging="420"/>
        <w:spacing w:after="0" w:line="278" w:lineRule="auto"/>
        <w:tabs>
          <w:tab w:leader="none" w:pos="866" w:val="left"/>
        </w:tabs>
        <w:numPr>
          <w:ilvl w:val="1"/>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be taken to be duly given or made when left at the above address (or the address last Notified by the intended recipient to the sender) and signed for by the recipient. If delivery or receipt occurs on a day that is not a business day in the place to which the Notice is sent or is later than 4pm (local time) at that place, it will be taken to have been duly given or made at the commencement of business on the next business day in that place.</w:t>
      </w:r>
    </w:p>
    <w:p>
      <w:pPr>
        <w:spacing w:after="0" w:line="113" w:lineRule="exact"/>
        <w:rPr>
          <w:rFonts w:ascii="Times New Roman" w:cs="Times New Roman" w:eastAsia="Times New Roman" w:hAnsi="Times New Roman"/>
          <w:sz w:val="12"/>
          <w:szCs w:val="12"/>
          <w:color w:val="auto"/>
        </w:rPr>
      </w:pPr>
    </w:p>
    <w:p>
      <w:pPr>
        <w:ind w:left="446" w:hanging="446"/>
        <w:spacing w:after="0"/>
        <w:tabs>
          <w:tab w:leader="none" w:pos="446" w:val="left"/>
        </w:tabs>
        <w:numPr>
          <w:ilvl w:val="0"/>
          <w:numId w:val="9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Entire Agreement</w:t>
      </w:r>
    </w:p>
    <w:p>
      <w:pPr>
        <w:spacing w:after="0" w:line="226" w:lineRule="exact"/>
        <w:rPr>
          <w:rFonts w:ascii="Times New Roman" w:cs="Times New Roman" w:eastAsia="Times New Roman" w:hAnsi="Times New Roman"/>
          <w:sz w:val="12"/>
          <w:szCs w:val="12"/>
          <w:b w:val="1"/>
          <w:bCs w:val="1"/>
          <w:color w:val="auto"/>
        </w:rPr>
      </w:pPr>
    </w:p>
    <w:p>
      <w:pPr>
        <w:ind w:left="446" w:right="20"/>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constitutes the entire Agreement between the Parties hereto in respect of the matters referred to herein and there are no representations, warranties, covenants or agreements, express or implied, collateral hereto other than as expressly set forth or referred to herein. Any prior arrangements, agreements, representations or undertakings are superseded by the terms contained in this Agreement.</w:t>
      </w:r>
    </w:p>
    <w:p>
      <w:pPr>
        <w:spacing w:after="0" w:line="102" w:lineRule="exact"/>
        <w:rPr>
          <w:rFonts w:ascii="Times New Roman" w:cs="Times New Roman" w:eastAsia="Times New Roman" w:hAnsi="Times New Roman"/>
          <w:sz w:val="12"/>
          <w:szCs w:val="12"/>
          <w:b w:val="1"/>
          <w:bCs w:val="1"/>
          <w:color w:val="auto"/>
        </w:rPr>
      </w:pPr>
    </w:p>
    <w:p>
      <w:pPr>
        <w:ind w:left="446" w:hanging="446"/>
        <w:spacing w:after="0"/>
        <w:tabs>
          <w:tab w:leader="none" w:pos="446" w:val="left"/>
        </w:tabs>
        <w:numPr>
          <w:ilvl w:val="0"/>
          <w:numId w:val="9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Force Majeure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-461010</wp:posOffset>
            </wp:positionV>
            <wp:extent cx="717486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wp:posOffset>
            </wp:positionV>
            <wp:extent cx="717486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6" w:lineRule="exact"/>
        <w:rPr>
          <w:sz w:val="20"/>
          <w:szCs w:val="20"/>
          <w:color w:val="auto"/>
        </w:rPr>
      </w:pPr>
    </w:p>
    <w:p>
      <w:pPr>
        <w:ind w:left="446" w:right="20" w:hanging="445"/>
        <w:spacing w:after="0" w:line="297" w:lineRule="auto"/>
        <w:tabs>
          <w:tab w:leader="none" w:pos="425" w:val="left"/>
        </w:tabs>
        <w:rPr>
          <w:sz w:val="20"/>
          <w:szCs w:val="20"/>
          <w:color w:val="auto"/>
        </w:rPr>
      </w:pPr>
      <w:r>
        <w:rPr>
          <w:rFonts w:ascii="Times New Roman" w:cs="Times New Roman" w:eastAsia="Times New Roman" w:hAnsi="Times New Roman"/>
          <w:sz w:val="12"/>
          <w:szCs w:val="12"/>
          <w:color w:val="auto"/>
        </w:rPr>
        <w:t>31.1</w:t>
      </w:r>
      <w:r>
        <w:rPr>
          <w:sz w:val="20"/>
          <w:szCs w:val="20"/>
          <w:color w:val="auto"/>
        </w:rPr>
        <w:tab/>
      </w:r>
      <w:r>
        <w:rPr>
          <w:rFonts w:ascii="Times New Roman" w:cs="Times New Roman" w:eastAsia="Times New Roman" w:hAnsi="Times New Roman"/>
          <w:sz w:val="12"/>
          <w:szCs w:val="12"/>
          <w:color w:val="auto"/>
        </w:rPr>
        <w:t>Subject to clause 31.4, either Party shall be excused from performance and shall not be in default in respect of any obligation hereunder to the extent that the failure to perform such obligation is due to an Event of Force Majeure.</w:t>
      </w:r>
    </w:p>
    <w:p>
      <w:pPr>
        <w:spacing w:after="0" w:line="104" w:lineRule="exact"/>
        <w:rPr>
          <w:sz w:val="20"/>
          <w:szCs w:val="20"/>
          <w:color w:val="auto"/>
        </w:rPr>
      </w:pPr>
    </w:p>
    <w:p>
      <w:pPr>
        <w:ind w:left="446" w:right="20" w:hanging="445"/>
        <w:spacing w:after="0" w:line="268" w:lineRule="auto"/>
        <w:tabs>
          <w:tab w:leader="none" w:pos="425" w:val="left"/>
        </w:tabs>
        <w:rPr>
          <w:sz w:val="20"/>
          <w:szCs w:val="20"/>
          <w:color w:val="auto"/>
        </w:rPr>
      </w:pPr>
      <w:r>
        <w:rPr>
          <w:rFonts w:ascii="Times New Roman" w:cs="Times New Roman" w:eastAsia="Times New Roman" w:hAnsi="Times New Roman"/>
          <w:sz w:val="12"/>
          <w:szCs w:val="12"/>
          <w:color w:val="auto"/>
        </w:rPr>
        <w:t>31.2</w:t>
      </w:r>
      <w:r>
        <w:rPr>
          <w:sz w:val="20"/>
          <w:szCs w:val="20"/>
          <w:color w:val="auto"/>
        </w:rPr>
        <w:tab/>
      </w:r>
      <w:r>
        <w:rPr>
          <w:rFonts w:ascii="Times New Roman" w:cs="Times New Roman" w:eastAsia="Times New Roman" w:hAnsi="Times New Roman"/>
          <w:sz w:val="12"/>
          <w:szCs w:val="12"/>
          <w:color w:val="auto"/>
        </w:rPr>
        <w:t>For the purpose of this Agreement, an “Event of Force Majeure” means any of the circumstance detailed in clause 31.3 that are not within the reasonable control of the Party or parties affected, but only if and to the extent that:</w:t>
      </w:r>
    </w:p>
    <w:p>
      <w:pPr>
        <w:spacing w:after="0" w:line="286" w:lineRule="exact"/>
        <w:rPr>
          <w:sz w:val="20"/>
          <w:szCs w:val="20"/>
          <w:color w:val="auto"/>
        </w:rPr>
      </w:pPr>
    </w:p>
    <w:p>
      <w:pPr>
        <w:ind w:left="886" w:hanging="440"/>
        <w:spacing w:after="0"/>
        <w:tabs>
          <w:tab w:leader="none" w:pos="886"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circumstance, despite the exercise of reasonable diligence, cannot be, or be caused to be, prevented, avoided or removed by such Party;</w:t>
      </w:r>
    </w:p>
    <w:p>
      <w:pPr>
        <w:spacing w:after="0" w:line="22" w:lineRule="exact"/>
        <w:rPr>
          <w:rFonts w:ascii="Times New Roman" w:cs="Times New Roman" w:eastAsia="Times New Roman" w:hAnsi="Times New Roman"/>
          <w:sz w:val="12"/>
          <w:szCs w:val="12"/>
          <w:color w:val="auto"/>
        </w:rPr>
      </w:pPr>
    </w:p>
    <w:p>
      <w:pPr>
        <w:ind w:left="886" w:right="20" w:hanging="440"/>
        <w:spacing w:after="0" w:line="258" w:lineRule="auto"/>
        <w:tabs>
          <w:tab w:leader="none" w:pos="886"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circumstance materially and adversely affects the ability of the Party to perform its obligations under this Agreement, and such Party has taken all reasonable precautions, due care and reasonable alternative measures in order to avoid the effect of such event on the Party’s ability to perform its obligations under this Agreement and to mitigate the consequences thereof; and</w:t>
      </w:r>
    </w:p>
    <w:p>
      <w:pPr>
        <w:ind w:left="886" w:hanging="440"/>
        <w:spacing w:after="0"/>
        <w:tabs>
          <w:tab w:leader="none" w:pos="886"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affected Party notifies the other Party of the Event of Force Majeure as soon as reasonably possible.</w:t>
      </w:r>
    </w:p>
    <w:p>
      <w:pPr>
        <w:spacing w:after="0" w:line="148"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31.3</w:t>
      </w:r>
      <w:r>
        <w:rPr>
          <w:sz w:val="20"/>
          <w:szCs w:val="20"/>
          <w:color w:val="auto"/>
        </w:rPr>
        <w:tab/>
      </w:r>
      <w:r>
        <w:rPr>
          <w:rFonts w:ascii="Times New Roman" w:cs="Times New Roman" w:eastAsia="Times New Roman" w:hAnsi="Times New Roman"/>
          <w:sz w:val="12"/>
          <w:szCs w:val="12"/>
          <w:color w:val="auto"/>
        </w:rPr>
        <w:t>The circumstances giving rise to an Event of Force Majeure include:</w:t>
      </w:r>
    </w:p>
    <w:p>
      <w:pPr>
        <w:spacing w:after="0" w:line="159" w:lineRule="exact"/>
        <w:rPr>
          <w:sz w:val="20"/>
          <w:szCs w:val="20"/>
          <w:color w:val="auto"/>
        </w:rPr>
      </w:pPr>
    </w:p>
    <w:p>
      <w:pPr>
        <w:ind w:left="886" w:hanging="440"/>
        <w:spacing w:after="0"/>
        <w:tabs>
          <w:tab w:leader="none" w:pos="886"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act of God such as, but not limited to, fires, explosions, earthquakes, drought, tidal waves and floods;</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 hostilities (whether war be declared or not), invasion, act of foreign enemies, mobilisation, requisition, or embargo;</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rebellion, revolution, insurrection, or military or usurped power, or civil 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17486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47" w:name="page48"/>
    <w:bookmarkEnd w:id="47"/>
    <w:p>
      <w:pPr>
        <w:ind w:left="886" w:hanging="440"/>
        <w:spacing w:after="0" w:line="268" w:lineRule="auto"/>
        <w:tabs>
          <w:tab w:leader="none" w:pos="886"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contamination by radio-activity from any nuclear fuel, or from any nuclear waste from the combustion of nuclear fuel, radio-active toxic explosive, or other hazardous properties of any explosive nuclear assembly or nuclear component of such assembly;</w:t>
      </w:r>
    </w:p>
    <w:p>
      <w:pPr>
        <w:ind w:left="886" w:hanging="440"/>
        <w:spacing w:after="0"/>
        <w:tabs>
          <w:tab w:leader="none" w:pos="886"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riot, commotion, strikes, go slows, lock outs or disorder, unless solely restricted to employees of the Parties;</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(beyond the control of the parties) to an international law that governs the parties and relates to seabed exploration or exploitation; or</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or threats of terrorism.</w:t>
      </w:r>
    </w:p>
    <w:p>
      <w:pPr>
        <w:spacing w:after="0" w:line="148" w:lineRule="exact"/>
        <w:rPr>
          <w:sz w:val="20"/>
          <w:szCs w:val="20"/>
          <w:color w:val="auto"/>
        </w:rPr>
      </w:pPr>
    </w:p>
    <w:p>
      <w:pPr>
        <w:ind w:left="6"/>
        <w:spacing w:after="0"/>
        <w:tabs>
          <w:tab w:leader="none" w:pos="425" w:val="left"/>
        </w:tabs>
        <w:rPr>
          <w:sz w:val="20"/>
          <w:szCs w:val="20"/>
          <w:color w:val="auto"/>
        </w:rPr>
      </w:pPr>
      <w:r>
        <w:rPr>
          <w:rFonts w:ascii="Times New Roman" w:cs="Times New Roman" w:eastAsia="Times New Roman" w:hAnsi="Times New Roman"/>
          <w:sz w:val="12"/>
          <w:szCs w:val="12"/>
          <w:color w:val="auto"/>
        </w:rPr>
        <w:t>31.4</w:t>
      </w:r>
      <w:r>
        <w:rPr>
          <w:sz w:val="20"/>
          <w:szCs w:val="20"/>
          <w:color w:val="auto"/>
        </w:rPr>
        <w:tab/>
      </w:r>
      <w:r>
        <w:rPr>
          <w:rFonts w:ascii="Times New Roman" w:cs="Times New Roman" w:eastAsia="Times New Roman" w:hAnsi="Times New Roman"/>
          <w:sz w:val="12"/>
          <w:szCs w:val="12"/>
          <w:color w:val="auto"/>
        </w:rPr>
        <w:t>Notwithstanding anything contained in this clause 31, the parties will not be relieved of their rights and obligations contained in clause 12 of this Agreement.</w:t>
      </w:r>
    </w:p>
    <w:p>
      <w:pPr>
        <w:spacing w:after="0" w:line="157" w:lineRule="exact"/>
        <w:rPr>
          <w:sz w:val="20"/>
          <w:szCs w:val="20"/>
          <w:color w:val="auto"/>
        </w:rPr>
      </w:pPr>
    </w:p>
    <w:p>
      <w:pPr>
        <w:ind w:left="446" w:hanging="446"/>
        <w:spacing w:after="0"/>
        <w:tabs>
          <w:tab w:leader="none" w:pos="446" w:val="left"/>
        </w:tabs>
        <w:numPr>
          <w:ilvl w:val="0"/>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Amendment</w:t>
      </w:r>
    </w:p>
    <w:p>
      <w:pPr>
        <w:spacing w:after="0" w:line="226" w:lineRule="exact"/>
        <w:rPr>
          <w:rFonts w:ascii="Times New Roman" w:cs="Times New Roman" w:eastAsia="Times New Roman" w:hAnsi="Times New Roman"/>
          <w:sz w:val="12"/>
          <w:szCs w:val="12"/>
          <w:b w:val="1"/>
          <w:bCs w:val="1"/>
          <w:color w:val="auto"/>
        </w:rPr>
      </w:pPr>
    </w:p>
    <w:p>
      <w:pPr>
        <w:ind w:left="44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may only be amended by mutual agreement in writing by the Parties.</w:t>
      </w:r>
    </w:p>
    <w:p>
      <w:pPr>
        <w:spacing w:after="0" w:line="157" w:lineRule="exact"/>
        <w:rPr>
          <w:rFonts w:ascii="Times New Roman" w:cs="Times New Roman" w:eastAsia="Times New Roman" w:hAnsi="Times New Roman"/>
          <w:sz w:val="12"/>
          <w:szCs w:val="12"/>
          <w:b w:val="1"/>
          <w:bCs w:val="1"/>
          <w:color w:val="auto"/>
        </w:rPr>
      </w:pPr>
    </w:p>
    <w:p>
      <w:pPr>
        <w:ind w:left="446" w:hanging="446"/>
        <w:spacing w:after="0"/>
        <w:tabs>
          <w:tab w:leader="none" w:pos="446" w:val="left"/>
        </w:tabs>
        <w:numPr>
          <w:ilvl w:val="0"/>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Severability of Provisions</w:t>
      </w:r>
    </w:p>
    <w:p>
      <w:pPr>
        <w:spacing w:after="0" w:line="226" w:lineRule="exact"/>
        <w:rPr>
          <w:rFonts w:ascii="Times New Roman" w:cs="Times New Roman" w:eastAsia="Times New Roman" w:hAnsi="Times New Roman"/>
          <w:sz w:val="12"/>
          <w:szCs w:val="12"/>
          <w:b w:val="1"/>
          <w:bCs w:val="1"/>
          <w:color w:val="auto"/>
        </w:rPr>
      </w:pPr>
    </w:p>
    <w:p>
      <w:pPr>
        <w:ind w:left="446" w:right="20"/>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Any provision of this Agreement that is prohibited or unenforceable in any jurisdiction is ineffective as to that jurisdiction to the extent of the prohibition or unenforceability. That does not invalidate the remaining provisions of this Agreement nor affect the validity or enforceability of that provision in any other jurisdiction.</w:t>
      </w:r>
    </w:p>
    <w:p>
      <w:pPr>
        <w:spacing w:after="0" w:line="102" w:lineRule="exact"/>
        <w:rPr>
          <w:rFonts w:ascii="Times New Roman" w:cs="Times New Roman" w:eastAsia="Times New Roman" w:hAnsi="Times New Roman"/>
          <w:sz w:val="12"/>
          <w:szCs w:val="12"/>
          <w:b w:val="1"/>
          <w:bCs w:val="1"/>
          <w:color w:val="auto"/>
        </w:rPr>
      </w:pPr>
    </w:p>
    <w:p>
      <w:pPr>
        <w:ind w:left="446" w:hanging="446"/>
        <w:spacing w:after="0"/>
        <w:tabs>
          <w:tab w:leader="none" w:pos="446" w:val="left"/>
        </w:tabs>
        <w:numPr>
          <w:ilvl w:val="0"/>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Assurances</w:t>
      </w:r>
    </w:p>
    <w:p>
      <w:pPr>
        <w:spacing w:after="0" w:line="226" w:lineRule="exact"/>
        <w:rPr>
          <w:rFonts w:ascii="Times New Roman" w:cs="Times New Roman" w:eastAsia="Times New Roman" w:hAnsi="Times New Roman"/>
          <w:sz w:val="12"/>
          <w:szCs w:val="12"/>
          <w:b w:val="1"/>
          <w:bCs w:val="1"/>
          <w:color w:val="auto"/>
        </w:rPr>
      </w:pPr>
    </w:p>
    <w:p>
      <w:pPr>
        <w:ind w:left="446" w:right="20"/>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Parties must do anything necessary or desirable (including executing agreements and documents and performing such acts that lie within their power) to give full effect to the Act and this Agreement and the transactions contemplated by it.</w:t>
      </w:r>
    </w:p>
    <w:p>
      <w:pPr>
        <w:spacing w:after="0" w:line="102" w:lineRule="exact"/>
        <w:rPr>
          <w:rFonts w:ascii="Times New Roman" w:cs="Times New Roman" w:eastAsia="Times New Roman" w:hAnsi="Times New Roman"/>
          <w:sz w:val="12"/>
          <w:szCs w:val="12"/>
          <w:b w:val="1"/>
          <w:bCs w:val="1"/>
          <w:color w:val="auto"/>
        </w:rPr>
      </w:pPr>
    </w:p>
    <w:p>
      <w:pPr>
        <w:ind w:left="446" w:hanging="446"/>
        <w:spacing w:after="0"/>
        <w:tabs>
          <w:tab w:leader="none" w:pos="446" w:val="left"/>
        </w:tabs>
        <w:numPr>
          <w:ilvl w:val="0"/>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Limitation</w:t>
      </w:r>
    </w:p>
    <w:p>
      <w:pPr>
        <w:spacing w:after="0" w:line="226" w:lineRule="exact"/>
        <w:rPr>
          <w:rFonts w:ascii="Times New Roman" w:cs="Times New Roman" w:eastAsia="Times New Roman" w:hAnsi="Times New Roman"/>
          <w:sz w:val="12"/>
          <w:szCs w:val="12"/>
          <w:b w:val="1"/>
          <w:bCs w:val="1"/>
          <w:color w:val="auto"/>
        </w:rPr>
      </w:pPr>
    </w:p>
    <w:p>
      <w:pPr>
        <w:ind w:left="446" w:right="20"/>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Without limiting the generality of any other provision of this Agreement, any waiver or delay in the exercise by a Party of any rights under this Agreement will not relieve the other Party of any of their obligations under this Agreement.</w:t>
      </w:r>
    </w:p>
    <w:p>
      <w:pPr>
        <w:spacing w:after="0" w:line="102" w:lineRule="exact"/>
        <w:rPr>
          <w:rFonts w:ascii="Times New Roman" w:cs="Times New Roman" w:eastAsia="Times New Roman" w:hAnsi="Times New Roman"/>
          <w:sz w:val="12"/>
          <w:szCs w:val="12"/>
          <w:b w:val="1"/>
          <w:bCs w:val="1"/>
          <w:color w:val="auto"/>
        </w:rPr>
      </w:pPr>
    </w:p>
    <w:p>
      <w:pPr>
        <w:ind w:left="446" w:hanging="446"/>
        <w:spacing w:after="0"/>
        <w:tabs>
          <w:tab w:leader="none" w:pos="446" w:val="left"/>
        </w:tabs>
        <w:numPr>
          <w:ilvl w:val="0"/>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Representations and Warranties</w:t>
      </w:r>
    </w:p>
    <w:p>
      <w:pPr>
        <w:spacing w:after="0" w:line="226" w:lineRule="exact"/>
        <w:rPr>
          <w:rFonts w:ascii="Times New Roman" w:cs="Times New Roman" w:eastAsia="Times New Roman" w:hAnsi="Times New Roman"/>
          <w:sz w:val="12"/>
          <w:szCs w:val="12"/>
          <w:b w:val="1"/>
          <w:bCs w:val="1"/>
          <w:color w:val="auto"/>
        </w:rPr>
      </w:pPr>
    </w:p>
    <w:p>
      <w:pPr>
        <w:ind w:left="886" w:right="20" w:hanging="440"/>
        <w:spacing w:after="0" w:line="297" w:lineRule="auto"/>
        <w:tabs>
          <w:tab w:leader="none" w:pos="886" w:val="left"/>
        </w:tabs>
        <w:numPr>
          <w:ilvl w:val="1"/>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and warranties provided in this Agreement are continuing representations and warranties and will be repeated on each day while any obligation under this Agreement remains outstanding, with reference to the facts and circumstances then subsisting.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-2267585</wp:posOffset>
            </wp:positionV>
            <wp:extent cx="717486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-1848485</wp:posOffset>
            </wp:positionV>
            <wp:extent cx="717486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-1334770</wp:posOffset>
            </wp:positionV>
            <wp:extent cx="717486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-821690</wp:posOffset>
            </wp:positionV>
            <wp:extent cx="717486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-308610</wp:posOffset>
            </wp:positionV>
            <wp:extent cx="717486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717486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48" w:name="page49"/>
    <w:bookmarkEnd w:id="48"/>
    <w:p>
      <w:pPr>
        <w:jc w:val="both"/>
        <w:ind w:left="886" w:right="20" w:hanging="440"/>
        <w:spacing w:after="0" w:line="265" w:lineRule="auto"/>
        <w:tabs>
          <w:tab w:leader="none" w:pos="886"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warrants to each other Party that at the date of this Agreement it has full power and lawful authority to execute and deliver this Agreement and to perform its obligations under this Agreement. Except as expressly provided in this Agreement, no representation, inducement or warranty was, prior to the execution of this Agreement, given or made by one of the Parties hereto with the intent of inducing the other Party to enter into this Agreement, and any representations, inducements or warranties that may have been so given are hereby denied and negated.</w:t>
      </w:r>
    </w:p>
    <w:p>
      <w:pPr>
        <w:ind w:left="886" w:right="20" w:hanging="440"/>
        <w:spacing w:after="0" w:line="258" w:lineRule="auto"/>
        <w:tabs>
          <w:tab w:leader="none" w:pos="886"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further represents and warrants that the execution, delivery and performance of this Agreement has received all necessary governmental approvals and authorizations and constitutes the legal, valid and binding obligation of the State and is enforceable in accordance with its terms, and the State cannot claim sovereign immunity.</w:t>
      </w:r>
    </w:p>
    <w:p>
      <w:pPr>
        <w:ind w:left="886" w:hanging="440"/>
        <w:spacing w:after="0"/>
        <w:tabs>
          <w:tab w:leader="none" w:pos="886"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represents and warrants that they are in compliance with applicable anti-bribery and anti-corruption legislation.</w:t>
      </w:r>
    </w:p>
    <w:p>
      <w:pPr>
        <w:spacing w:after="0" w:line="145" w:lineRule="exact"/>
        <w:rPr>
          <w:rFonts w:ascii="Times New Roman" w:cs="Times New Roman" w:eastAsia="Times New Roman" w:hAnsi="Times New Roman"/>
          <w:sz w:val="12"/>
          <w:szCs w:val="12"/>
          <w:color w:val="auto"/>
        </w:rPr>
      </w:pPr>
    </w:p>
    <w:p>
      <w:pPr>
        <w:ind w:left="446" w:hanging="446"/>
        <w:spacing w:after="0"/>
        <w:tabs>
          <w:tab w:leader="none" w:pos="446" w:val="left"/>
        </w:tabs>
        <w:numPr>
          <w:ilvl w:val="0"/>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Non Reliance</w:t>
      </w:r>
    </w:p>
    <w:p>
      <w:pPr>
        <w:spacing w:after="0" w:line="226" w:lineRule="exact"/>
        <w:rPr>
          <w:rFonts w:ascii="Times New Roman" w:cs="Times New Roman" w:eastAsia="Times New Roman" w:hAnsi="Times New Roman"/>
          <w:sz w:val="12"/>
          <w:szCs w:val="12"/>
          <w:b w:val="1"/>
          <w:bCs w:val="1"/>
          <w:color w:val="auto"/>
        </w:rPr>
      </w:pPr>
    </w:p>
    <w:p>
      <w:pPr>
        <w:ind w:left="44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Parties warrant that they:</w:t>
      </w:r>
    </w:p>
    <w:p>
      <w:pPr>
        <w:spacing w:after="0" w:line="159" w:lineRule="exact"/>
        <w:rPr>
          <w:rFonts w:ascii="Times New Roman" w:cs="Times New Roman" w:eastAsia="Times New Roman" w:hAnsi="Times New Roman"/>
          <w:sz w:val="12"/>
          <w:szCs w:val="12"/>
          <w:b w:val="1"/>
          <w:bCs w:val="1"/>
          <w:color w:val="auto"/>
        </w:rPr>
      </w:pPr>
    </w:p>
    <w:p>
      <w:pPr>
        <w:jc w:val="both"/>
        <w:ind w:left="886" w:hanging="440"/>
        <w:spacing w:after="0" w:line="278" w:lineRule="auto"/>
        <w:tabs>
          <w:tab w:leader="none" w:pos="886" w:val="left"/>
        </w:tabs>
        <w:numPr>
          <w:ilvl w:val="1"/>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did not in any way rely upon any information, representation, arrangement, understanding, statement or documentation, made by or provided to the Party from any other Party or anyone on behalf of the other Party for the purposes of entering into this Agreement except to the extent that any such information, data, representation, arrangement, understanding, statements or document is expressly set out or referred to in this Agreement; and</w:t>
      </w:r>
    </w:p>
    <w:p>
      <w:pPr>
        <w:spacing w:after="0" w:line="115" w:lineRule="exact"/>
        <w:rPr>
          <w:rFonts w:ascii="Times New Roman" w:cs="Times New Roman" w:eastAsia="Times New Roman" w:hAnsi="Times New Roman"/>
          <w:sz w:val="12"/>
          <w:szCs w:val="12"/>
          <w:color w:val="auto"/>
        </w:rPr>
      </w:pPr>
    </w:p>
    <w:p>
      <w:pPr>
        <w:ind w:left="886" w:right="20" w:hanging="440"/>
        <w:spacing w:after="0" w:line="297" w:lineRule="auto"/>
        <w:tabs>
          <w:tab w:leader="none" w:pos="886" w:val="left"/>
        </w:tabs>
        <w:numPr>
          <w:ilvl w:val="1"/>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this Agreement based on their own investigations, interpretations, deductions, information and determinations, and acknowledge that they are aware that the other Parties have entered into this Agreement relying upon the warranties contained in this clause 37.</w:t>
      </w:r>
    </w:p>
    <w:p>
      <w:pPr>
        <w:spacing w:after="0" w:line="102" w:lineRule="exact"/>
        <w:rPr>
          <w:rFonts w:ascii="Times New Roman" w:cs="Times New Roman" w:eastAsia="Times New Roman" w:hAnsi="Times New Roman"/>
          <w:sz w:val="12"/>
          <w:szCs w:val="12"/>
          <w:color w:val="auto"/>
        </w:rPr>
      </w:pPr>
    </w:p>
    <w:p>
      <w:pPr>
        <w:ind w:left="446" w:hanging="446"/>
        <w:spacing w:after="0"/>
        <w:tabs>
          <w:tab w:leader="none" w:pos="446" w:val="left"/>
        </w:tabs>
        <w:numPr>
          <w:ilvl w:val="0"/>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Counterparts</w:t>
      </w:r>
    </w:p>
    <w:p>
      <w:pPr>
        <w:spacing w:after="0" w:line="226" w:lineRule="exact"/>
        <w:rPr>
          <w:rFonts w:ascii="Times New Roman" w:cs="Times New Roman" w:eastAsia="Times New Roman" w:hAnsi="Times New Roman"/>
          <w:sz w:val="12"/>
          <w:szCs w:val="12"/>
          <w:b w:val="1"/>
          <w:bCs w:val="1"/>
          <w:color w:val="auto"/>
        </w:rPr>
      </w:pPr>
    </w:p>
    <w:p>
      <w:pPr>
        <w:ind w:left="446" w:right="20"/>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may be executed in any number of counterparts and by different parties in separate counterparts. Each counterpart when so executed is deemed an original but all of which together constitute one and the same instrument.</w:t>
      </w:r>
    </w:p>
    <w:p>
      <w:pPr>
        <w:spacing w:after="0" w:line="102" w:lineRule="exact"/>
        <w:rPr>
          <w:rFonts w:ascii="Times New Roman" w:cs="Times New Roman" w:eastAsia="Times New Roman" w:hAnsi="Times New Roman"/>
          <w:sz w:val="12"/>
          <w:szCs w:val="12"/>
          <w:b w:val="1"/>
          <w:bCs w:val="1"/>
          <w:color w:val="auto"/>
        </w:rPr>
      </w:pPr>
    </w:p>
    <w:p>
      <w:pPr>
        <w:ind w:left="446" w:hanging="446"/>
        <w:spacing w:after="0"/>
        <w:tabs>
          <w:tab w:leader="none" w:pos="446" w:val="left"/>
        </w:tabs>
        <w:numPr>
          <w:ilvl w:val="0"/>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Interpretation</w:t>
      </w:r>
    </w:p>
    <w:p>
      <w:pPr>
        <w:spacing w:after="0" w:line="226" w:lineRule="exact"/>
        <w:rPr>
          <w:rFonts w:ascii="Times New Roman" w:cs="Times New Roman" w:eastAsia="Times New Roman" w:hAnsi="Times New Roman"/>
          <w:sz w:val="12"/>
          <w:szCs w:val="12"/>
          <w:b w:val="1"/>
          <w:bCs w:val="1"/>
          <w:color w:val="auto"/>
        </w:rPr>
      </w:pPr>
    </w:p>
    <w:p>
      <w:pPr>
        <w:ind w:left="44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rules of interpretation apply unless the context requires otherwise.</w:t>
      </w:r>
    </w:p>
    <w:p>
      <w:pPr>
        <w:spacing w:after="0" w:line="159" w:lineRule="exact"/>
        <w:rPr>
          <w:rFonts w:ascii="Times New Roman" w:cs="Times New Roman" w:eastAsia="Times New Roman" w:hAnsi="Times New Roman"/>
          <w:sz w:val="12"/>
          <w:szCs w:val="12"/>
          <w:b w:val="1"/>
          <w:bCs w:val="1"/>
          <w:color w:val="auto"/>
        </w:rPr>
      </w:pPr>
    </w:p>
    <w:p>
      <w:pPr>
        <w:ind w:left="886" w:hanging="440"/>
        <w:spacing w:after="0"/>
        <w:tabs>
          <w:tab w:leader="none" w:pos="886" w:val="left"/>
        </w:tabs>
        <w:numPr>
          <w:ilvl w:val="1"/>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word or phrase is defined, its other grammatical forms have a corresponding meaning.</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1"/>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to dollars and $ is to US currency unless otherwise stated.</w:t>
      </w:r>
    </w:p>
    <w:p>
      <w:pPr>
        <w:spacing w:after="0" w:line="10"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1"/>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references to time and to dates are to Tongan times and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-2157095</wp:posOffset>
            </wp:positionV>
            <wp:extent cx="717486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-1077595</wp:posOffset>
            </wp:positionV>
            <wp:extent cx="717486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-563880</wp:posOffset>
            </wp:positionV>
            <wp:extent cx="717486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717486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49" w:name="page50"/>
    <w:bookmarkEnd w:id="49"/>
    <w:p>
      <w:pPr>
        <w:ind w:left="886" w:hanging="440"/>
        <w:spacing w:after="0"/>
        <w:tabs>
          <w:tab w:leader="none" w:pos="886" w:val="left"/>
        </w:tabs>
        <w:numPr>
          <w:ilvl w:val="1"/>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rule of construction is to apply to the disadvantage of a Party on the basis that that Party drafted the whole or any part of this deed.</w:t>
      </w:r>
    </w:p>
    <w:p>
      <w:pPr>
        <w:spacing w:after="0" w:line="22" w:lineRule="exact"/>
        <w:rPr>
          <w:rFonts w:ascii="Times New Roman" w:cs="Times New Roman" w:eastAsia="Times New Roman" w:hAnsi="Times New Roman"/>
          <w:sz w:val="12"/>
          <w:szCs w:val="12"/>
          <w:color w:val="auto"/>
        </w:rPr>
      </w:pPr>
    </w:p>
    <w:p>
      <w:pPr>
        <w:ind w:left="886" w:hanging="440"/>
        <w:spacing w:after="0"/>
        <w:tabs>
          <w:tab w:leader="none" w:pos="886" w:val="left"/>
        </w:tabs>
        <w:numPr>
          <w:ilvl w:val="1"/>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Headings do not affect the interpretation of this Agreement.</w:t>
      </w:r>
    </w:p>
    <w:p>
      <w:pPr>
        <w:spacing w:after="0" w:line="145" w:lineRule="exact"/>
        <w:rPr>
          <w:rFonts w:ascii="Times New Roman" w:cs="Times New Roman" w:eastAsia="Times New Roman" w:hAnsi="Times New Roman"/>
          <w:sz w:val="12"/>
          <w:szCs w:val="12"/>
          <w:color w:val="auto"/>
        </w:rPr>
      </w:pPr>
    </w:p>
    <w:p>
      <w:pPr>
        <w:ind w:left="446" w:hanging="446"/>
        <w:spacing w:after="0"/>
        <w:tabs>
          <w:tab w:leader="none" w:pos="446" w:val="left"/>
        </w:tabs>
        <w:numPr>
          <w:ilvl w:val="0"/>
          <w:numId w:val="1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p>
    <w:p>
      <w:pPr>
        <w:spacing w:after="0" w:line="226" w:lineRule="exact"/>
        <w:rPr>
          <w:rFonts w:ascii="Times New Roman" w:cs="Times New Roman" w:eastAsia="Times New Roman" w:hAnsi="Times New Roman"/>
          <w:sz w:val="12"/>
          <w:szCs w:val="12"/>
          <w:b w:val="1"/>
          <w:bCs w:val="1"/>
          <w:color w:val="auto"/>
        </w:rPr>
      </w:pPr>
    </w:p>
    <w:p>
      <w:pPr>
        <w:ind w:left="44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definitions apply unless the context requires otherwise.</w:t>
      </w:r>
    </w:p>
    <w:p>
      <w:pPr>
        <w:spacing w:after="0" w:line="157" w:lineRule="exact"/>
        <w:rPr>
          <w:rFonts w:ascii="Times New Roman" w:cs="Times New Roman" w:eastAsia="Times New Roman" w:hAnsi="Times New Roman"/>
          <w:sz w:val="12"/>
          <w:szCs w:val="12"/>
          <w:b w:val="1"/>
          <w:bCs w:val="1"/>
          <w:color w:val="auto"/>
        </w:rPr>
      </w:pPr>
    </w:p>
    <w:p>
      <w:pPr>
        <w:ind w:left="446" w:right="1280"/>
        <w:spacing w:after="0" w:line="51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1994 Agreement </w:t>
      </w:r>
      <w:r>
        <w:rPr>
          <w:rFonts w:ascii="Times New Roman" w:cs="Times New Roman" w:eastAsia="Times New Roman" w:hAnsi="Times New Roman"/>
          <w:sz w:val="12"/>
          <w:szCs w:val="12"/>
          <w:color w:val="auto"/>
        </w:rPr>
        <w:t>means the 1994 Agreement Relating to the Implementation of Part XI of the United Nations Convention on the Law of the Sea of 10 December 1982, and any Annexes thereto.</w:t>
      </w:r>
      <w:r>
        <w:rPr>
          <w:rFonts w:ascii="Times New Roman" w:cs="Times New Roman" w:eastAsia="Times New Roman" w:hAnsi="Times New Roman"/>
          <w:sz w:val="12"/>
          <w:szCs w:val="12"/>
          <w:b w:val="1"/>
          <w:bCs w:val="1"/>
          <w:i w:val="1"/>
          <w:iCs w:val="1"/>
          <w:color w:val="auto"/>
        </w:rPr>
        <w:t xml:space="preserve"> Act </w:t>
      </w:r>
      <w:r>
        <w:rPr>
          <w:rFonts w:ascii="Times New Roman" w:cs="Times New Roman" w:eastAsia="Times New Roman" w:hAnsi="Times New Roman"/>
          <w:sz w:val="12"/>
          <w:szCs w:val="12"/>
          <w:color w:val="auto"/>
        </w:rPr>
        <w:t>means the Seabed Minerals Act 2014 of the Kingdom of Tonga.</w:t>
      </w:r>
    </w:p>
    <w:p>
      <w:pPr>
        <w:ind w:left="446" w:right="20"/>
        <w:spacing w:after="0" w:line="30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Activities </w:t>
      </w:r>
      <w:r>
        <w:rPr>
          <w:rFonts w:ascii="Times New Roman" w:cs="Times New Roman" w:eastAsia="Times New Roman" w:hAnsi="Times New Roman"/>
          <w:sz w:val="12"/>
          <w:szCs w:val="12"/>
          <w:color w:val="auto"/>
        </w:rPr>
        <w:t>means any and all activities that are carried out in, on or over the International Seabed Area by TOML and/or a Subcontractor for which the State has a responsibility under its Sponsorship Obligations and for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the State could be held liable in accordance with UNCLOS due to its Sponsorship of TOML.</w:t>
      </w:r>
    </w:p>
    <w:p>
      <w:pPr>
        <w:spacing w:after="0" w:line="101" w:lineRule="exact"/>
        <w:rPr>
          <w:rFonts w:ascii="Times New Roman" w:cs="Times New Roman" w:eastAsia="Times New Roman" w:hAnsi="Times New Roman"/>
          <w:sz w:val="12"/>
          <w:szCs w:val="12"/>
          <w:b w:val="1"/>
          <w:bCs w:val="1"/>
          <w:color w:val="auto"/>
        </w:rPr>
      </w:pPr>
    </w:p>
    <w:p>
      <w:pPr>
        <w:ind w:left="446" w:right="4880"/>
        <w:spacing w:after="0" w:line="51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Affiliate </w:t>
      </w:r>
      <w:r>
        <w:rPr>
          <w:rFonts w:ascii="Times New Roman" w:cs="Times New Roman" w:eastAsia="Times New Roman" w:hAnsi="Times New Roman"/>
          <w:sz w:val="12"/>
          <w:szCs w:val="12"/>
          <w:color w:val="auto"/>
        </w:rPr>
        <w:t>in relation to TOML, means any person that controls, is controlled by, or is under common control with TOML.</w:t>
      </w:r>
      <w:r>
        <w:rPr>
          <w:rFonts w:ascii="Times New Roman" w:cs="Times New Roman" w:eastAsia="Times New Roman" w:hAnsi="Times New Roman"/>
          <w:sz w:val="12"/>
          <w:szCs w:val="12"/>
          <w:b w:val="1"/>
          <w:bCs w:val="1"/>
          <w:i w:val="1"/>
          <w:iCs w:val="1"/>
          <w:color w:val="auto"/>
        </w:rPr>
        <w:t xml:space="preserve"> Agreement </w:t>
      </w:r>
      <w:r>
        <w:rPr>
          <w:rFonts w:ascii="Times New Roman" w:cs="Times New Roman" w:eastAsia="Times New Roman" w:hAnsi="Times New Roman"/>
          <w:sz w:val="12"/>
          <w:szCs w:val="12"/>
          <w:color w:val="auto"/>
        </w:rPr>
        <w:t>means this agreement.</w:t>
      </w:r>
    </w:p>
    <w:p>
      <w:pPr>
        <w:ind w:left="446" w:right="20"/>
        <w:spacing w:after="0" w:line="30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Assign </w:t>
      </w:r>
      <w:r>
        <w:rPr>
          <w:rFonts w:ascii="Times New Roman" w:cs="Times New Roman" w:eastAsia="Times New Roman" w:hAnsi="Times New Roman"/>
          <w:sz w:val="12"/>
          <w:szCs w:val="12"/>
          <w:color w:val="auto"/>
        </w:rPr>
        <w:t>or</w:t>
      </w:r>
      <w:r>
        <w:rPr>
          <w:rFonts w:ascii="Times New Roman" w:cs="Times New Roman" w:eastAsia="Times New Roman" w:hAnsi="Times New Roman"/>
          <w:sz w:val="12"/>
          <w:szCs w:val="12"/>
          <w:b w:val="1"/>
          <w:bCs w:val="1"/>
          <w:i w:val="1"/>
          <w:iCs w:val="1"/>
          <w:color w:val="auto"/>
        </w:rPr>
        <w:t xml:space="preserve"> Assignment </w:t>
      </w:r>
      <w:r>
        <w:rPr>
          <w:rFonts w:ascii="Times New Roman" w:cs="Times New Roman" w:eastAsia="Times New Roman" w:hAnsi="Times New Roman"/>
          <w:sz w:val="12"/>
          <w:szCs w:val="12"/>
          <w:color w:val="auto"/>
        </w:rPr>
        <w:t>means the assignment or transfer of the TOML Rights to an entity incorporated or existing outside of the Kingdom of Tonga, including without limitation in conjunction with a change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sponsorship to a new country.</w:t>
      </w:r>
    </w:p>
    <w:p>
      <w:pPr>
        <w:spacing w:after="0" w:line="101" w:lineRule="exact"/>
        <w:rPr>
          <w:rFonts w:ascii="Times New Roman" w:cs="Times New Roman" w:eastAsia="Times New Roman" w:hAnsi="Times New Roman"/>
          <w:sz w:val="12"/>
          <w:szCs w:val="12"/>
          <w:b w:val="1"/>
          <w:bCs w:val="1"/>
          <w:color w:val="auto"/>
        </w:rPr>
      </w:pPr>
    </w:p>
    <w:p>
      <w:pPr>
        <w:jc w:val="both"/>
        <w:ind w:left="446"/>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Business </w:t>
      </w:r>
      <w:r>
        <w:rPr>
          <w:rFonts w:ascii="Times New Roman" w:cs="Times New Roman" w:eastAsia="Times New Roman" w:hAnsi="Times New Roman"/>
          <w:sz w:val="12"/>
          <w:szCs w:val="12"/>
          <w:color w:val="auto"/>
        </w:rPr>
        <w:t>means each and any business being conducted by the TOML Group arising as a result of or connected with the Exploration, the Exploitation, the Activities and/or the ISA Contracts, and includes any trade,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profession, or commercial activity as defined under the Income Tax Act (Cap. 11.05) of the Kingdom of Tonga, together with the Income Tax (Amendment) Act 2020 and the Income Tax Regulations (Cap. 11.05.01), each as amended from time to time.</w:t>
      </w:r>
    </w:p>
    <w:p>
      <w:pPr>
        <w:spacing w:after="0" w:line="113" w:lineRule="exact"/>
        <w:rPr>
          <w:rFonts w:ascii="Times New Roman" w:cs="Times New Roman" w:eastAsia="Times New Roman" w:hAnsi="Times New Roman"/>
          <w:sz w:val="12"/>
          <w:szCs w:val="12"/>
          <w:b w:val="1"/>
          <w:bCs w:val="1"/>
          <w:color w:val="auto"/>
        </w:rPr>
      </w:pPr>
    </w:p>
    <w:p>
      <w:pPr>
        <w:ind w:left="446" w:right="6820"/>
        <w:spacing w:after="0" w:line="51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Claim </w:t>
      </w:r>
      <w:r>
        <w:rPr>
          <w:rFonts w:ascii="Times New Roman" w:cs="Times New Roman" w:eastAsia="Times New Roman" w:hAnsi="Times New Roman"/>
          <w:sz w:val="12"/>
          <w:szCs w:val="12"/>
          <w:color w:val="auto"/>
        </w:rPr>
        <w:t>includes any action, claim, demand or proceeding arising under UNCLOS.</w:t>
      </w:r>
      <w:r>
        <w:rPr>
          <w:rFonts w:ascii="Times New Roman" w:cs="Times New Roman" w:eastAsia="Times New Roman" w:hAnsi="Times New Roman"/>
          <w:sz w:val="12"/>
          <w:szCs w:val="12"/>
          <w:b w:val="1"/>
          <w:bCs w:val="1"/>
          <w:i w:val="1"/>
          <w:iCs w:val="1"/>
          <w:color w:val="auto"/>
        </w:rPr>
        <w:t xml:space="preserve"> Commencement Date </w:t>
      </w:r>
      <w:r>
        <w:rPr>
          <w:rFonts w:ascii="Times New Roman" w:cs="Times New Roman" w:eastAsia="Times New Roman" w:hAnsi="Times New Roman"/>
          <w:sz w:val="12"/>
          <w:szCs w:val="12"/>
          <w:color w:val="auto"/>
        </w:rPr>
        <w:t>means the date this Agreement is executed by the Parties.</w:t>
      </w:r>
    </w:p>
    <w:p>
      <w:pPr>
        <w:jc w:val="both"/>
        <w:ind w:left="446"/>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Confidential Information </w:t>
      </w:r>
      <w:r>
        <w:rPr>
          <w:rFonts w:ascii="Times New Roman" w:cs="Times New Roman" w:eastAsia="Times New Roman" w:hAnsi="Times New Roman"/>
          <w:sz w:val="12"/>
          <w:szCs w:val="12"/>
          <w:color w:val="auto"/>
        </w:rPr>
        <w:t>means all information that is not in the public domain that is disclosed to the State by the TOML Group including but not limited to, information relating to the Activities, technology,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processes and know-how, the location and prospective locations of Polymetallic Nodules, confidential information that is restricted or proprietary under any contract or agreement with a third party, business details, customers or suppliers, all technical and research data relating to the Activities, financial information and business relationships including the names of any Subcontractors, and shall include the terms of this Agreement.</w:t>
      </w:r>
    </w:p>
    <w:p>
      <w:pPr>
        <w:spacing w:after="0" w:line="113" w:lineRule="exact"/>
        <w:rPr>
          <w:rFonts w:ascii="Times New Roman" w:cs="Times New Roman" w:eastAsia="Times New Roman" w:hAnsi="Times New Roman"/>
          <w:sz w:val="12"/>
          <w:szCs w:val="12"/>
          <w:b w:val="1"/>
          <w:bCs w:val="1"/>
          <w:color w:val="auto"/>
        </w:rPr>
      </w:pPr>
    </w:p>
    <w:p>
      <w:pPr>
        <w:ind w:left="44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Corporate Tax </w:t>
      </w:r>
      <w:r>
        <w:rPr>
          <w:rFonts w:ascii="Times New Roman" w:cs="Times New Roman" w:eastAsia="Times New Roman" w:hAnsi="Times New Roman"/>
          <w:sz w:val="12"/>
          <w:szCs w:val="12"/>
          <w:color w:val="auto"/>
        </w:rPr>
        <w:t>means any corporate income tax levied by the State on corporations incorporated in Tonga or that engage in business in Tonga.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-2821305</wp:posOffset>
            </wp:positionV>
            <wp:extent cx="717486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205105</wp:posOffset>
            </wp:positionV>
            <wp:extent cx="717486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84"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Companies Act </w:t>
      </w:r>
      <w:r>
        <w:rPr>
          <w:rFonts w:ascii="Times New Roman" w:cs="Times New Roman" w:eastAsia="Times New Roman" w:hAnsi="Times New Roman"/>
          <w:sz w:val="12"/>
          <w:szCs w:val="12"/>
          <w:color w:val="auto"/>
        </w:rPr>
        <w:t>means the Companies Act 1995 of the Kingdom of Tonga as in force from time to time, including its amendment and/or succeeding acts.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CRP </w:t>
      </w:r>
      <w:r>
        <w:rPr>
          <w:rFonts w:ascii="Times New Roman" w:cs="Times New Roman" w:eastAsia="Times New Roman" w:hAnsi="Times New Roman"/>
          <w:sz w:val="12"/>
          <w:szCs w:val="12"/>
          <w:color w:val="auto"/>
        </w:rPr>
        <w:t>see clause 4.1.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Discriminatory Change in Tongan Law </w:t>
      </w:r>
      <w:r>
        <w:rPr>
          <w:rFonts w:ascii="Times New Roman" w:cs="Times New Roman" w:eastAsia="Times New Roman" w:hAnsi="Times New Roman"/>
          <w:sz w:val="12"/>
          <w:szCs w:val="12"/>
          <w:color w:val="auto"/>
        </w:rPr>
        <w:t>means a change in Tongan Law that is categorically enacted for the sole purposes to:</w:t>
      </w:r>
    </w:p>
    <w:p>
      <w:pPr>
        <w:spacing w:after="0" w:line="161" w:lineRule="exact"/>
        <w:rPr>
          <w:sz w:val="20"/>
          <w:szCs w:val="20"/>
          <w:color w:val="auto"/>
        </w:rPr>
      </w:pPr>
    </w:p>
    <w:p>
      <w:pPr>
        <w:ind w:left="440" w:hanging="440"/>
        <w:spacing w:after="0"/>
        <w:tabs>
          <w:tab w:leader="none" w:pos="44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materially change the commercial intent of this Agreement or the Sponsorship arrangement between TOML and the State; or</w:t>
      </w:r>
    </w:p>
    <w:p>
      <w:pPr>
        <w:spacing w:after="0" w:line="159" w:lineRule="exact"/>
        <w:rPr>
          <w:rFonts w:ascii="Times New Roman" w:cs="Times New Roman" w:eastAsia="Times New Roman" w:hAnsi="Times New Roman"/>
          <w:sz w:val="12"/>
          <w:szCs w:val="12"/>
          <w:color w:val="auto"/>
        </w:rPr>
      </w:pPr>
    </w:p>
    <w:p>
      <w:pPr>
        <w:ind w:left="440" w:right="20" w:hanging="440"/>
        <w:spacing w:after="0" w:line="297" w:lineRule="auto"/>
        <w:tabs>
          <w:tab w:leader="none" w:pos="44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materially increase the total quantum of benefits required to be given by the TOML Group (whether economic or intangible) to the State in such a way as to materially change the intent contemplated under this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but does not include a change in Tongan Law that is required by international law for the State to fulfil its Sponsorship Obligations.</w:t>
      </w:r>
    </w:p>
    <w:p>
      <w:pPr>
        <w:spacing w:after="0" w:line="15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2"/>
          <w:szCs w:val="12"/>
          <w:b w:val="1"/>
          <w:bCs w:val="1"/>
          <w:i w:val="1"/>
          <w:iCs w:val="1"/>
          <w:color w:val="auto"/>
        </w:rPr>
        <w:t xml:space="preserve">Emergency </w:t>
      </w:r>
      <w:r>
        <w:rPr>
          <w:rFonts w:ascii="Times New Roman" w:cs="Times New Roman" w:eastAsia="Times New Roman" w:hAnsi="Times New Roman"/>
          <w:sz w:val="12"/>
          <w:szCs w:val="12"/>
          <w:color w:val="auto"/>
        </w:rPr>
        <w:t>means a circumstance where the Activities have caused or pose an immediate and probable threat of causing Serious Harm to the Marine Environment or human health and safety, a Pollution Incident or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Safety Incident, as well as any other event or circumstance connected to or arising from the Activities that is classified by the ISA as an Incident or emergency to which the issue of emergency orders by the ISA applies.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Entity </w:t>
      </w:r>
      <w:r>
        <w:rPr>
          <w:rFonts w:ascii="Times New Roman" w:cs="Times New Roman" w:eastAsia="Times New Roman" w:hAnsi="Times New Roman"/>
          <w:sz w:val="12"/>
          <w:szCs w:val="12"/>
          <w:color w:val="auto"/>
        </w:rPr>
        <w:t>includes a body corporate, a partnership, joint venture or a trust.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ESPMP, </w:t>
      </w:r>
      <w:r>
        <w:rPr>
          <w:rFonts w:ascii="Times New Roman" w:cs="Times New Roman" w:eastAsia="Times New Roman" w:hAnsi="Times New Roman"/>
          <w:sz w:val="12"/>
          <w:szCs w:val="12"/>
          <w:color w:val="auto"/>
        </w:rPr>
        <w:t>see clause 15.1.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ESPMP Officer, </w:t>
      </w:r>
      <w:r>
        <w:rPr>
          <w:rFonts w:ascii="Times New Roman" w:cs="Times New Roman" w:eastAsia="Times New Roman" w:hAnsi="Times New Roman"/>
          <w:sz w:val="12"/>
          <w:szCs w:val="12"/>
          <w:color w:val="auto"/>
        </w:rPr>
        <w:t>see clause 15.2.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Exploitation </w:t>
      </w:r>
      <w:r>
        <w:rPr>
          <w:rFonts w:ascii="Times New Roman" w:cs="Times New Roman" w:eastAsia="Times New Roman" w:hAnsi="Times New Roman"/>
          <w:sz w:val="12"/>
          <w:szCs w:val="12"/>
          <w:color w:val="auto"/>
        </w:rPr>
        <w:t>means the exploitation of Polymetallic Nodules in the ISA Contract Area for commercial purposes, and includes without limitation:</w:t>
      </w:r>
    </w:p>
    <w:p>
      <w:pPr>
        <w:spacing w:after="0" w:line="161" w:lineRule="exact"/>
        <w:rPr>
          <w:sz w:val="20"/>
          <w:szCs w:val="20"/>
          <w:color w:val="auto"/>
        </w:rPr>
      </w:pPr>
    </w:p>
    <w:p>
      <w:pPr>
        <w:ind w:left="440" w:hanging="440"/>
        <w:spacing w:after="0"/>
        <w:tabs>
          <w:tab w:leader="none" w:pos="4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extraction, lifting, dewatering, treatment, processing and transportation in the ISA Contract Area of Polymetallic Nodules and all other work, operations and activities required thereof;</w:t>
      </w:r>
    </w:p>
    <w:p>
      <w:pPr>
        <w:spacing w:after="0" w:line="159"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transporting, constructing, installing, testing, commissioning, using, operating, maintaining and repairing equipment and Installations;</w:t>
      </w:r>
    </w:p>
    <w:p>
      <w:pPr>
        <w:spacing w:after="0" w:line="159"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loading and unloading of Polymetallic Nodules to and from any treatment, processing facility and/or any transport vessel in the ISA Contract Area; and</w:t>
      </w:r>
    </w:p>
    <w:p>
      <w:pPr>
        <w:spacing w:after="0" w:line="159" w:lineRule="exact"/>
        <w:rPr>
          <w:sz w:val="20"/>
          <w:szCs w:val="20"/>
          <w:color w:val="auto"/>
        </w:rPr>
      </w:pPr>
    </w:p>
    <w:p>
      <w:pPr>
        <w:ind w:left="440" w:hanging="440"/>
        <w:spacing w:after="0"/>
        <w:tabs>
          <w:tab w:leader="none" w:pos="44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activity in the International Seabed Area deemed necessary by TOML or a Subcontractor to carry out the exploitation that would not breach any of TOML’s ISA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203835</wp:posOffset>
            </wp:positionV>
            <wp:extent cx="717486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4"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Exploration </w:t>
      </w:r>
      <w:r>
        <w:rPr>
          <w:rFonts w:ascii="Times New Roman" w:cs="Times New Roman" w:eastAsia="Times New Roman" w:hAnsi="Times New Roman"/>
          <w:sz w:val="12"/>
          <w:szCs w:val="12"/>
          <w:color w:val="auto"/>
        </w:rPr>
        <w:t>means the exploration for Polymetallic Nodules in the ISA Contract Area and includes without limitation:</w:t>
      </w:r>
    </w:p>
    <w:p>
      <w:pPr>
        <w:spacing w:after="0" w:line="161" w:lineRule="exact"/>
        <w:rPr>
          <w:sz w:val="20"/>
          <w:szCs w:val="20"/>
          <w:color w:val="auto"/>
        </w:rPr>
      </w:pPr>
    </w:p>
    <w:p>
      <w:pPr>
        <w:ind w:left="440" w:hanging="440"/>
        <w:spacing w:after="0"/>
        <w:tabs>
          <w:tab w:leader="none" w:pos="4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sonar, oceanographic, geophysical and geological surveying, sampling and dredging;</w:t>
      </w:r>
    </w:p>
    <w:p>
      <w:pPr>
        <w:spacing w:after="0" w:line="159"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testing of collecting systems and equipment and recovery of bulk samples; and</w:t>
      </w:r>
    </w:p>
    <w:p>
      <w:pPr>
        <w:spacing w:after="0" w:line="159"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environmental and technical studies,</w:t>
      </w:r>
    </w:p>
    <w:p>
      <w:pPr>
        <w:spacing w:after="0" w:line="15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2"/>
          <w:szCs w:val="12"/>
          <w:color w:val="auto"/>
        </w:rPr>
        <w:t>in the International Seabed Area, as well as any other activity or operation in the International Seabed Area deemed necessary by TOML or a Subcontractor to carry out the exploration that would not breach TOML’s ISA Obligations, and includes prospecting carried out by TOML pursuant to the ISA’s rules and regulations.</w:t>
      </w:r>
    </w:p>
    <w:p>
      <w:pPr>
        <w:spacing w:after="0" w:line="103"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2"/>
          <w:szCs w:val="12"/>
          <w:b w:val="1"/>
          <w:bCs w:val="1"/>
          <w:i w:val="1"/>
          <w:iCs w:val="1"/>
          <w:color w:val="auto"/>
        </w:rPr>
        <w:t xml:space="preserve">Exploitation Regulations </w:t>
      </w:r>
      <w:r>
        <w:rPr>
          <w:rFonts w:ascii="Times New Roman" w:cs="Times New Roman" w:eastAsia="Times New Roman" w:hAnsi="Times New Roman"/>
          <w:sz w:val="12"/>
          <w:szCs w:val="12"/>
          <w:color w:val="auto"/>
        </w:rPr>
        <w:t>means the regulations governing exploitation of mineral resources in the International Seabed Area adopted by the ISA pursuant to powers conferred on it by UNCLOS and as replaced 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amended by the ISA from time to time.</w:t>
      </w:r>
    </w:p>
    <w:p>
      <w:pPr>
        <w:spacing w:after="0" w:line="101"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2"/>
          <w:szCs w:val="12"/>
          <w:b w:val="1"/>
          <w:bCs w:val="1"/>
          <w:i w:val="1"/>
          <w:iCs w:val="1"/>
          <w:color w:val="auto"/>
        </w:rPr>
        <w:t xml:space="preserve">Expropriate </w:t>
      </w:r>
      <w:r>
        <w:rPr>
          <w:rFonts w:ascii="Times New Roman" w:cs="Times New Roman" w:eastAsia="Times New Roman" w:hAnsi="Times New Roman"/>
          <w:sz w:val="12"/>
          <w:szCs w:val="12"/>
          <w:color w:val="auto"/>
        </w:rPr>
        <w:t>or</w:t>
      </w:r>
      <w:r>
        <w:rPr>
          <w:rFonts w:ascii="Times New Roman" w:cs="Times New Roman" w:eastAsia="Times New Roman" w:hAnsi="Times New Roman"/>
          <w:sz w:val="12"/>
          <w:szCs w:val="12"/>
          <w:b w:val="1"/>
          <w:bCs w:val="1"/>
          <w:i w:val="1"/>
          <w:iCs w:val="1"/>
          <w:color w:val="auto"/>
        </w:rPr>
        <w:t xml:space="preserve"> Expropriation </w:t>
      </w:r>
      <w:r>
        <w:rPr>
          <w:rFonts w:ascii="Times New Roman" w:cs="Times New Roman" w:eastAsia="Times New Roman" w:hAnsi="Times New Roman"/>
          <w:sz w:val="12"/>
          <w:szCs w:val="12"/>
          <w:color w:val="auto"/>
        </w:rPr>
        <w:t>means to dispossess of ownership, to deprive of property, to deprive of use of property, to deprive of property for the public use, to make an Entity or assets (tangible and intangible)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property of the State (in whole or in part), or a measure or measures having an equivalent effect (directly or indirectly), and includes without limitation:</w:t>
      </w:r>
    </w:p>
    <w:p>
      <w:pPr>
        <w:spacing w:after="0" w:line="103" w:lineRule="exact"/>
        <w:rPr>
          <w:sz w:val="20"/>
          <w:szCs w:val="20"/>
          <w:color w:val="auto"/>
        </w:rPr>
      </w:pPr>
    </w:p>
    <w:p>
      <w:pPr>
        <w:ind w:left="420" w:hanging="420"/>
        <w:spacing w:after="0"/>
        <w:tabs>
          <w:tab w:leader="none" w:pos="4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of title, physical seizure or an executive or legislative act for the purpose of transferring property or interests into the public domain;</w:t>
      </w:r>
    </w:p>
    <w:p>
      <w:pPr>
        <w:spacing w:after="0" w:line="159" w:lineRule="exact"/>
        <w:rPr>
          <w:rFonts w:ascii="Times New Roman" w:cs="Times New Roman" w:eastAsia="Times New Roman" w:hAnsi="Times New Roman"/>
          <w:sz w:val="12"/>
          <w:szCs w:val="12"/>
          <w:color w:val="auto"/>
        </w:rPr>
      </w:pPr>
    </w:p>
    <w:p>
      <w:pPr>
        <w:ind w:left="420" w:hanging="420"/>
        <w:spacing w:after="0" w:line="297" w:lineRule="auto"/>
        <w:tabs>
          <w:tab w:leader="none" w:pos="4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subjecting an Entity, property or assets (tangible or intangible) to taxation, regulation, or other action that is confiscatory or that prevents, unreasonably interferes with, or unduly delays, effective enjoyment of such property or assets;</w:t>
      </w:r>
    </w:p>
    <w:p>
      <w:pPr>
        <w:spacing w:after="0" w:line="104" w:lineRule="exact"/>
        <w:rPr>
          <w:rFonts w:ascii="Times New Roman" w:cs="Times New Roman" w:eastAsia="Times New Roman" w:hAnsi="Times New Roman"/>
          <w:sz w:val="12"/>
          <w:szCs w:val="12"/>
          <w:color w:val="auto"/>
        </w:rPr>
      </w:pPr>
    </w:p>
    <w:p>
      <w:pPr>
        <w:ind w:left="420" w:hanging="420"/>
        <w:spacing w:after="0" w:line="297" w:lineRule="auto"/>
        <w:tabs>
          <w:tab w:leader="none" w:pos="4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regulations by the State which constitutes dispossession or depravation of an asset, property or right or that reduces or eliminates the economic value or viability of an asset, property or right subject to those regulations, including application of otherwise lawful measures in such a way as to deprive ultimately the enjoyment of value of property;</w:t>
      </w:r>
    </w:p>
    <w:p>
      <w:pPr>
        <w:spacing w:after="0" w:line="104" w:lineRule="exact"/>
        <w:rPr>
          <w:rFonts w:ascii="Times New Roman" w:cs="Times New Roman" w:eastAsia="Times New Roman" w:hAnsi="Times New Roman"/>
          <w:sz w:val="12"/>
          <w:szCs w:val="12"/>
          <w:color w:val="auto"/>
        </w:rPr>
      </w:pPr>
    </w:p>
    <w:p>
      <w:pPr>
        <w:ind w:left="420" w:hanging="420"/>
        <w:spacing w:after="0"/>
        <w:tabs>
          <w:tab w:leader="none" w:pos="4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measure or measures that inhibit the ability to transfer bona fide assets, rights and/or property out of the Kingdom of Tonga;</w:t>
      </w:r>
    </w:p>
    <w:p>
      <w:pPr>
        <w:spacing w:after="0" w:line="159" w:lineRule="exact"/>
        <w:rPr>
          <w:rFonts w:ascii="Times New Roman" w:cs="Times New Roman" w:eastAsia="Times New Roman" w:hAnsi="Times New Roman"/>
          <w:sz w:val="12"/>
          <w:szCs w:val="12"/>
          <w:color w:val="auto"/>
        </w:rPr>
      </w:pPr>
    </w:p>
    <w:p>
      <w:pPr>
        <w:ind w:left="420" w:hanging="420"/>
        <w:spacing w:after="0" w:line="297" w:lineRule="auto"/>
        <w:tabs>
          <w:tab w:leader="none" w:pos="42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measure or series of measures the effect of which would be direct or indirect dispossession, including but not limited to the levying of taxation, the compulsory sale of all or part of an investment or asset, or the impairment or deprivation of its management,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well as any other measure or series of measures which together are tantamount to expropriation or that results in dispossession or depravation of an asset or right, irrespective of whether compensation is provided.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However, Expropriation does not include an act by the State that is reasonably required to fulfil the State’s Sponsorship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196215</wp:posOffset>
            </wp:positionV>
            <wp:extent cx="717486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4"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Final Determination </w:t>
      </w:r>
      <w:r>
        <w:rPr>
          <w:rFonts w:ascii="Times New Roman" w:cs="Times New Roman" w:eastAsia="Times New Roman" w:hAnsi="Times New Roman"/>
          <w:sz w:val="12"/>
          <w:szCs w:val="12"/>
          <w:color w:val="auto"/>
        </w:rPr>
        <w:t>means a decision of a court or of any agency having jurisdiction to resolve the dispute:</w:t>
      </w:r>
    </w:p>
    <w:p>
      <w:pPr>
        <w:spacing w:after="0" w:line="161" w:lineRule="exact"/>
        <w:rPr>
          <w:sz w:val="20"/>
          <w:szCs w:val="20"/>
          <w:color w:val="auto"/>
        </w:rPr>
      </w:pPr>
    </w:p>
    <w:p>
      <w:pPr>
        <w:ind w:left="440" w:hanging="440"/>
        <w:spacing w:after="0"/>
        <w:tabs>
          <w:tab w:leader="none" w:pos="44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which no appeal can be taken and in respect of which no application for special leave to appeal can be made; or</w:t>
      </w:r>
    </w:p>
    <w:p>
      <w:pPr>
        <w:spacing w:after="0" w:line="159" w:lineRule="exact"/>
        <w:rPr>
          <w:rFonts w:ascii="Times New Roman" w:cs="Times New Roman" w:eastAsia="Times New Roman" w:hAnsi="Times New Roman"/>
          <w:sz w:val="12"/>
          <w:szCs w:val="12"/>
          <w:color w:val="auto"/>
        </w:rPr>
      </w:pPr>
    </w:p>
    <w:p>
      <w:pPr>
        <w:ind w:right="1840"/>
        <w:spacing w:after="0" w:line="515" w:lineRule="auto"/>
        <w:tabs>
          <w:tab w:leader="none" w:pos="446"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which the relevant appeal or special leave application period has expired without an appeal being taken or an application for special leave to appeal being made, but does not include an interlocutory order.</w:t>
      </w:r>
    </w:p>
    <w:p>
      <w:pPr>
        <w:ind w:right="20"/>
        <w:spacing w:after="0" w:line="300"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Installation </w:t>
      </w:r>
      <w:r>
        <w:rPr>
          <w:rFonts w:ascii="Times New Roman" w:cs="Times New Roman" w:eastAsia="Times New Roman" w:hAnsi="Times New Roman"/>
          <w:sz w:val="12"/>
          <w:szCs w:val="12"/>
          <w:color w:val="auto"/>
        </w:rPr>
        <w:t>means any structure, installation or artificial island in the International Seabed Area used in or intended to be used in the Activities and for which the State is responsible and potentially liable in accordance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with its Sponsorship Obligations.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Intellectual Property </w:t>
      </w:r>
      <w:r>
        <w:rPr>
          <w:rFonts w:ascii="Times New Roman" w:cs="Times New Roman" w:eastAsia="Times New Roman" w:hAnsi="Times New Roman"/>
          <w:sz w:val="12"/>
          <w:szCs w:val="12"/>
          <w:color w:val="auto"/>
        </w:rPr>
        <w:t>means all tangible and intangible property, including rights, data, and materials, in which TOML has an interest arising from or in connection with any expenditure it has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International Law </w:t>
      </w:r>
      <w:r>
        <w:rPr>
          <w:rFonts w:ascii="Times New Roman" w:cs="Times New Roman" w:eastAsia="Times New Roman" w:hAnsi="Times New Roman"/>
          <w:sz w:val="12"/>
          <w:szCs w:val="12"/>
          <w:color w:val="auto"/>
        </w:rPr>
        <w:t>means any legally binding international treaties and conventions and other legally binding international rules including UNCLOS and the ISA regulations as in force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International Seabed Area </w:t>
      </w:r>
      <w:r>
        <w:rPr>
          <w:rFonts w:ascii="Times New Roman" w:cs="Times New Roman" w:eastAsia="Times New Roman" w:hAnsi="Times New Roman"/>
          <w:sz w:val="12"/>
          <w:szCs w:val="12"/>
          <w:color w:val="auto"/>
        </w:rPr>
        <w:t>means the seabed and ocean floor and subsoil thereof, beyond the limits of national jurisdiction.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ISA </w:t>
      </w:r>
      <w:r>
        <w:rPr>
          <w:rFonts w:ascii="Times New Roman" w:cs="Times New Roman" w:eastAsia="Times New Roman" w:hAnsi="Times New Roman"/>
          <w:sz w:val="12"/>
          <w:szCs w:val="12"/>
          <w:color w:val="auto"/>
        </w:rPr>
        <w:t>means the International Seabed Authority and any successor institution to the ISA.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ISA Contract </w:t>
      </w:r>
      <w:r>
        <w:rPr>
          <w:rFonts w:ascii="Times New Roman" w:cs="Times New Roman" w:eastAsia="Times New Roman" w:hAnsi="Times New Roman"/>
          <w:sz w:val="12"/>
          <w:szCs w:val="12"/>
          <w:color w:val="auto"/>
        </w:rPr>
        <w:t>means any contract or licence granted to TOML by the ISA, and includes any ISA Exploration Contract and any ISA Exploitation Contract, and all terms and conditions contained therein.</w:t>
      </w:r>
    </w:p>
    <w:p>
      <w:pPr>
        <w:spacing w:after="0" w:line="159"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2"/>
          <w:szCs w:val="12"/>
          <w:b w:val="1"/>
          <w:bCs w:val="1"/>
          <w:i w:val="1"/>
          <w:iCs w:val="1"/>
          <w:color w:val="auto"/>
        </w:rPr>
        <w:t xml:space="preserve">ISA Contract Area </w:t>
      </w:r>
      <w:r>
        <w:rPr>
          <w:rFonts w:ascii="Times New Roman" w:cs="Times New Roman" w:eastAsia="Times New Roman" w:hAnsi="Times New Roman"/>
          <w:sz w:val="12"/>
          <w:szCs w:val="12"/>
          <w:color w:val="auto"/>
        </w:rPr>
        <w:t>means the part or parts of the International Seabed Area allocated to TOML under an ISA Exploration Contract or ISA Exploitation Contract and defined by the coordinates listed in schedule 1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contracts.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ISA Exploration Contract </w:t>
      </w:r>
      <w:r>
        <w:rPr>
          <w:rFonts w:ascii="Times New Roman" w:cs="Times New Roman" w:eastAsia="Times New Roman" w:hAnsi="Times New Roman"/>
          <w:sz w:val="12"/>
          <w:szCs w:val="12"/>
          <w:color w:val="auto"/>
        </w:rPr>
        <w:t>means the contract for exploration for Polymetallic Nodules signed between the ISA and TOML on the 11</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day of January, 2012 at Kingston, Jamaica and any amendment or replacement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thereto.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ISA Exploitation Contract </w:t>
      </w:r>
      <w:r>
        <w:rPr>
          <w:rFonts w:ascii="Times New Roman" w:cs="Times New Roman" w:eastAsia="Times New Roman" w:hAnsi="Times New Roman"/>
          <w:sz w:val="12"/>
          <w:szCs w:val="12"/>
          <w:color w:val="auto"/>
        </w:rPr>
        <w:t>means any contract or licence permitting TOML to Exploit Polymetallic Nodules in the International Seabed Area entered into between TOML and the ISA or granted by the ISA to TOML.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Material TOML Breach </w:t>
      </w:r>
      <w:r>
        <w:rPr>
          <w:rFonts w:ascii="Times New Roman" w:cs="Times New Roman" w:eastAsia="Times New Roman" w:hAnsi="Times New Roman"/>
          <w:sz w:val="12"/>
          <w:szCs w:val="12"/>
          <w:color w:val="auto"/>
        </w:rPr>
        <w:t>means the occurrence of any of the following:</w:t>
      </w:r>
    </w:p>
    <w:p>
      <w:pPr>
        <w:spacing w:after="0" w:line="161" w:lineRule="exact"/>
        <w:rPr>
          <w:sz w:val="20"/>
          <w:szCs w:val="20"/>
          <w:color w:val="auto"/>
        </w:rPr>
      </w:pPr>
    </w:p>
    <w:p>
      <w:pPr>
        <w:ind w:left="420" w:hanging="420"/>
        <w:spacing w:after="0"/>
        <w:tabs>
          <w:tab w:leader="none" w:pos="42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ISA Contract is suspended or terminated by the ISA as a direct result of TOML or any Subcontractor failing to comply with the conditions of the ISA Contract;</w:t>
      </w:r>
    </w:p>
    <w:p>
      <w:pPr>
        <w:spacing w:after="0" w:line="159" w:lineRule="exact"/>
        <w:rPr>
          <w:rFonts w:ascii="Times New Roman" w:cs="Times New Roman" w:eastAsia="Times New Roman" w:hAnsi="Times New Roman"/>
          <w:sz w:val="12"/>
          <w:szCs w:val="12"/>
          <w:color w:val="auto"/>
        </w:rPr>
      </w:pPr>
    </w:p>
    <w:p>
      <w:pPr>
        <w:ind w:left="420" w:right="20" w:hanging="420"/>
        <w:spacing w:after="0" w:line="268" w:lineRule="auto"/>
        <w:tabs>
          <w:tab w:leader="none" w:pos="42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serious breach of TOML’s ISA Obligations or obligations under this Agreement, that has caused or will cause material and direct monetary damage to the State and has not been Remedied within a reasonable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287655</wp:posOffset>
            </wp:positionV>
            <wp:extent cx="717486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4" w:right="299" w:bottom="1440" w:gutter="0" w:footer="0" w:header="0"/>
        </w:sectPr>
      </w:pPr>
    </w:p>
    <w:bookmarkStart w:id="53" w:name="page54"/>
    <w:bookmarkEnd w:id="53"/>
    <w:p>
      <w:pPr>
        <w:ind w:left="420" w:right="20" w:hanging="420"/>
        <w:spacing w:after="0" w:line="297" w:lineRule="auto"/>
        <w:tabs>
          <w:tab w:leader="none" w:pos="42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or any Subcontractor, in spite of written warnings by the ISA, has conducted its activities in such a way as to result in serious persistent and wilful violations of the fundamental terms of this Agreement, ISA Contract or TOML’s ISA Obligations; or</w:t>
      </w:r>
    </w:p>
    <w:p>
      <w:pPr>
        <w:spacing w:after="0" w:line="104" w:lineRule="exact"/>
        <w:rPr>
          <w:rFonts w:ascii="Times New Roman" w:cs="Times New Roman" w:eastAsia="Times New Roman" w:hAnsi="Times New Roman"/>
          <w:sz w:val="12"/>
          <w:szCs w:val="12"/>
          <w:color w:val="auto"/>
        </w:rPr>
      </w:pPr>
    </w:p>
    <w:p>
      <w:pPr>
        <w:ind w:left="420" w:hanging="420"/>
        <w:spacing w:after="0"/>
        <w:tabs>
          <w:tab w:leader="none" w:pos="42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TOML has failed to pay the CRP in accordance with clause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00" w:hanging="454"/>
        <w:spacing w:after="0"/>
        <w:tabs>
          <w:tab w:leader="none" w:pos="90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(a)arises as a direct result of a breach of TOML’s ISA Obligations;</w:t>
      </w:r>
    </w:p>
    <w:p>
      <w:pPr>
        <w:spacing w:after="0" w:line="159" w:lineRule="exact"/>
        <w:rPr>
          <w:rFonts w:ascii="Times New Roman" w:cs="Times New Roman" w:eastAsia="Times New Roman" w:hAnsi="Times New Roman"/>
          <w:sz w:val="12"/>
          <w:szCs w:val="12"/>
          <w:color w:val="auto"/>
        </w:rPr>
      </w:pPr>
    </w:p>
    <w:p>
      <w:pPr>
        <w:ind w:left="1340" w:hanging="448"/>
        <w:spacing w:after="0"/>
        <w:tabs>
          <w:tab w:leader="none" w:pos="134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required to be imposed by International Law in order for the State to fulfil its Sponsorship Obligations; and</w:t>
      </w:r>
    </w:p>
    <w:p>
      <w:pPr>
        <w:spacing w:after="0" w:line="159" w:lineRule="exact"/>
        <w:rPr>
          <w:rFonts w:ascii="Times New Roman" w:cs="Times New Roman" w:eastAsia="Times New Roman" w:hAnsi="Times New Roman"/>
          <w:sz w:val="12"/>
          <w:szCs w:val="12"/>
          <w:color w:val="auto"/>
        </w:rPr>
      </w:pPr>
    </w:p>
    <w:p>
      <w:pPr>
        <w:ind w:left="1340" w:hanging="448"/>
        <w:spacing w:after="0"/>
        <w:tabs>
          <w:tab w:leader="none" w:pos="134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for an amount not exceeding the reasonable amount required for the State to satisfy its Sponsorship Obligations.</w:t>
      </w:r>
    </w:p>
    <w:p>
      <w:pPr>
        <w:spacing w:after="0" w:line="159"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w:t>
      </w:r>
    </w:p>
    <w:p>
      <w:pPr>
        <w:spacing w:after="0" w:line="159" w:lineRule="exact"/>
        <w:rPr>
          <w:rFonts w:ascii="Times New Roman" w:cs="Times New Roman" w:eastAsia="Times New Roman" w:hAnsi="Times New Roman"/>
          <w:sz w:val="12"/>
          <w:szCs w:val="12"/>
          <w:color w:val="auto"/>
        </w:rPr>
      </w:pPr>
    </w:p>
    <w:p>
      <w:pPr>
        <w:ind w:left="900" w:hanging="454"/>
        <w:spacing w:after="0"/>
        <w:tabs>
          <w:tab w:leader="none" w:pos="90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arises as a direct result of TOML breaching criminal or civil law in the State.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Pollution Incident </w:t>
      </w:r>
      <w:r>
        <w:rPr>
          <w:rFonts w:ascii="Times New Roman" w:cs="Times New Roman" w:eastAsia="Times New Roman" w:hAnsi="Times New Roman"/>
          <w:sz w:val="12"/>
          <w:szCs w:val="12"/>
          <w:color w:val="auto"/>
        </w:rPr>
        <w:t>means any event involving pollution that seriously breaches TOML’s ISA Obligations.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Polymetallic Nodules </w:t>
      </w:r>
      <w:r>
        <w:rPr>
          <w:rFonts w:ascii="Times New Roman" w:cs="Times New Roman" w:eastAsia="Times New Roman" w:hAnsi="Times New Roman"/>
          <w:sz w:val="12"/>
          <w:szCs w:val="12"/>
          <w:color w:val="auto"/>
        </w:rPr>
        <w:t>has the meaning given to that term by the ISA.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Production Audit, </w:t>
      </w:r>
      <w:r>
        <w:rPr>
          <w:rFonts w:ascii="Times New Roman" w:cs="Times New Roman" w:eastAsia="Times New Roman" w:hAnsi="Times New Roman"/>
          <w:sz w:val="12"/>
          <w:szCs w:val="12"/>
          <w:color w:val="auto"/>
        </w:rPr>
        <w:t>see clause 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Recovered </w:t>
      </w:r>
      <w:r>
        <w:rPr>
          <w:rFonts w:ascii="Times New Roman" w:cs="Times New Roman" w:eastAsia="Times New Roman" w:hAnsi="Times New Roman"/>
          <w:sz w:val="12"/>
          <w:szCs w:val="12"/>
          <w:color w:val="auto"/>
        </w:rPr>
        <w:t>means extracted and recovered from the seafloor in the ISA Contract Area to the sea surface (for example, to a sea surface platform or Vessel) and then placed on to a transport ship.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Regulations </w:t>
      </w:r>
      <w:r>
        <w:rPr>
          <w:rFonts w:ascii="Times New Roman" w:cs="Times New Roman" w:eastAsia="Times New Roman" w:hAnsi="Times New Roman"/>
          <w:sz w:val="12"/>
          <w:szCs w:val="12"/>
          <w:color w:val="auto"/>
        </w:rPr>
        <w:t>means any regulations issued under the Act.</w:t>
      </w:r>
    </w:p>
    <w:p>
      <w:pPr>
        <w:spacing w:after="0" w:line="159"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2"/>
          <w:szCs w:val="12"/>
          <w:b w:val="1"/>
          <w:bCs w:val="1"/>
          <w:i w:val="1"/>
          <w:iCs w:val="1"/>
          <w:color w:val="auto"/>
        </w:rPr>
        <w:t xml:space="preserve">Remedy </w:t>
      </w:r>
      <w:r>
        <w:rPr>
          <w:rFonts w:ascii="Times New Roman" w:cs="Times New Roman" w:eastAsia="Times New Roman" w:hAnsi="Times New Roman"/>
          <w:sz w:val="12"/>
          <w:szCs w:val="12"/>
          <w:color w:val="auto"/>
        </w:rPr>
        <w:t>or</w:t>
      </w:r>
      <w:r>
        <w:rPr>
          <w:rFonts w:ascii="Times New Roman" w:cs="Times New Roman" w:eastAsia="Times New Roman" w:hAnsi="Times New Roman"/>
          <w:sz w:val="12"/>
          <w:szCs w:val="12"/>
          <w:b w:val="1"/>
          <w:bCs w:val="1"/>
          <w:i w:val="1"/>
          <w:iCs w:val="1"/>
          <w:color w:val="auto"/>
        </w:rPr>
        <w:t xml:space="preserve"> Remedied </w:t>
      </w:r>
      <w:r>
        <w:rPr>
          <w:rFonts w:ascii="Times New Roman" w:cs="Times New Roman" w:eastAsia="Times New Roman" w:hAnsi="Times New Roman"/>
          <w:sz w:val="12"/>
          <w:szCs w:val="12"/>
          <w:color w:val="auto"/>
        </w:rPr>
        <w:t>means to remedy or redress or to have remedied or redressed (as applicable) the relevant occurrence or overcome its consequences and effects so that there ceases to be any continuing material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detrimental effect of that occurrence.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Rules of the ISA </w:t>
      </w:r>
      <w:r>
        <w:rPr>
          <w:rFonts w:ascii="Times New Roman" w:cs="Times New Roman" w:eastAsia="Times New Roman" w:hAnsi="Times New Roman"/>
          <w:sz w:val="12"/>
          <w:szCs w:val="12"/>
          <w:color w:val="auto"/>
        </w:rPr>
        <w:t>has the meaning given to that term in the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Safety at Sea </w:t>
      </w:r>
      <w:r>
        <w:rPr>
          <w:rFonts w:ascii="Times New Roman" w:cs="Times New Roman" w:eastAsia="Times New Roman" w:hAnsi="Times New Roman"/>
          <w:sz w:val="12"/>
          <w:szCs w:val="12"/>
          <w:color w:val="auto"/>
        </w:rPr>
        <w:t>means safety of life and property at sea, and includes,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inter alia:</w:t>
      </w:r>
    </w:p>
    <w:p>
      <w:pPr>
        <w:spacing w:after="0" w:line="161" w:lineRule="exact"/>
        <w:rPr>
          <w:sz w:val="20"/>
          <w:szCs w:val="20"/>
          <w:color w:val="auto"/>
        </w:rPr>
      </w:pPr>
    </w:p>
    <w:p>
      <w:pPr>
        <w:ind w:left="440" w:hanging="440"/>
        <w:spacing w:after="0"/>
        <w:tabs>
          <w:tab w:leader="none" w:pos="4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safe Vessel or Installation management and navigation;</w:t>
      </w:r>
    </w:p>
    <w:p>
      <w:pPr>
        <w:spacing w:after="0" w:line="159"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collision 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203835</wp:posOffset>
            </wp:positionV>
            <wp:extent cx="717486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6" w:right="299" w:bottom="1440" w:gutter="0" w:footer="0" w:header="0"/>
        </w:sectPr>
      </w:pPr>
    </w:p>
    <w:bookmarkStart w:id="54" w:name="page55"/>
    <w:bookmarkEnd w:id="54"/>
    <w:p>
      <w:pPr>
        <w:ind w:left="440" w:hanging="440"/>
        <w:spacing w:after="0"/>
        <w:tabs>
          <w:tab w:leader="none" w:pos="44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appropriate safety procedures and medical standards;</w:t>
      </w:r>
    </w:p>
    <w:p>
      <w:pPr>
        <w:spacing w:after="0" w:line="159"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appropriate provision of safety equipment, first aid, rescue and fire fighting services;</w:t>
      </w:r>
    </w:p>
    <w:p>
      <w:pPr>
        <w:spacing w:after="0" w:line="159"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protecting the safety, health and welfare of personnel used in the Activities;</w:t>
      </w:r>
    </w:p>
    <w:p>
      <w:pPr>
        <w:spacing w:after="0" w:line="159"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preventing injury to personnel that may be affected by the Activities; and</w:t>
      </w:r>
    </w:p>
    <w:p>
      <w:pPr>
        <w:spacing w:after="0" w:line="159"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taking measures to effectively deal with safety Emergencies,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well as any other requirements under TOML’s ISA Obligations pertaining to safety of life and property at sea.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Safety Incident </w:t>
      </w:r>
      <w:r>
        <w:rPr>
          <w:rFonts w:ascii="Times New Roman" w:cs="Times New Roman" w:eastAsia="Times New Roman" w:hAnsi="Times New Roman"/>
          <w:sz w:val="12"/>
          <w:szCs w:val="12"/>
          <w:color w:val="auto"/>
        </w:rPr>
        <w:t>means any event involving Safety at Sea that seriously breaches TOML’s ISA Obligations.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Seabed Mineral Activities </w:t>
      </w:r>
      <w:r>
        <w:rPr>
          <w:rFonts w:ascii="Times New Roman" w:cs="Times New Roman" w:eastAsia="Times New Roman" w:hAnsi="Times New Roman"/>
          <w:sz w:val="12"/>
          <w:szCs w:val="12"/>
          <w:color w:val="auto"/>
        </w:rPr>
        <w:t>has the meaning given to that term in the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Seabed Minerals Fund </w:t>
      </w:r>
      <w:r>
        <w:rPr>
          <w:rFonts w:ascii="Times New Roman" w:cs="Times New Roman" w:eastAsia="Times New Roman" w:hAnsi="Times New Roman"/>
          <w:sz w:val="12"/>
          <w:szCs w:val="12"/>
          <w:color w:val="auto"/>
        </w:rPr>
        <w:t>means the Seabed Minerals Fund established under section 94 of the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Serious Harm to the Marine Environment </w:t>
      </w:r>
      <w:r>
        <w:rPr>
          <w:rFonts w:ascii="Times New Roman" w:cs="Times New Roman" w:eastAsia="Times New Roman" w:hAnsi="Times New Roman"/>
          <w:sz w:val="12"/>
          <w:szCs w:val="12"/>
          <w:color w:val="auto"/>
        </w:rPr>
        <w:t>means any serious harm to the marine environment caused by one or more Activities that constitutes a serious breach of TOML’s ISA Obligations.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b w:val="1"/>
          <w:bCs w:val="1"/>
          <w:i w:val="1"/>
          <w:iCs w:val="1"/>
          <w:color w:val="auto"/>
        </w:rPr>
        <w:t xml:space="preserve">Sponsorship </w:t>
      </w:r>
      <w:r>
        <w:rPr>
          <w:rFonts w:ascii="Times New Roman" w:cs="Times New Roman" w:eastAsia="Times New Roman" w:hAnsi="Times New Roman"/>
          <w:sz w:val="12"/>
          <w:szCs w:val="12"/>
          <w:color w:val="auto"/>
        </w:rPr>
        <w:t>means sponsorship of TOML by the State in accordance with the Act as required by UNCLOS or under TOML’s Exploration Contract and/or Exploitation Contract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Sponsored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shall have a similar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meaning.</w:t>
      </w:r>
    </w:p>
    <w:p>
      <w:pPr>
        <w:spacing w:after="0" w:line="297"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2"/>
          <w:szCs w:val="12"/>
          <w:b w:val="1"/>
          <w:bCs w:val="1"/>
          <w:i w:val="1"/>
          <w:iCs w:val="1"/>
          <w:color w:val="auto"/>
        </w:rPr>
        <w:t xml:space="preserve">Sponsorship Certificate </w:t>
      </w:r>
      <w:r>
        <w:rPr>
          <w:rFonts w:ascii="Times New Roman" w:cs="Times New Roman" w:eastAsia="Times New Roman" w:hAnsi="Times New Roman"/>
          <w:sz w:val="12"/>
          <w:szCs w:val="12"/>
          <w:color w:val="auto"/>
        </w:rPr>
        <w:t>means the Sponsorship Certificate signed on the 23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September, 2021 under which the State certified that it sponsored TOML to explore for Polymetallic Nodules in the International Seabed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Area and assumed responsibility in accordance with article 139, article 153, paragraph 4, and Annex III, article 4, paragraph 4, of UNCLOS.</w:t>
      </w:r>
    </w:p>
    <w:p>
      <w:pPr>
        <w:spacing w:after="0" w:line="13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2"/>
          <w:szCs w:val="12"/>
          <w:b w:val="1"/>
          <w:bCs w:val="1"/>
          <w:i w:val="1"/>
          <w:iCs w:val="1"/>
          <w:color w:val="auto"/>
        </w:rPr>
        <w:t xml:space="preserve">Sponsorship Obligations </w:t>
      </w:r>
      <w:r>
        <w:rPr>
          <w:rFonts w:ascii="Times New Roman" w:cs="Times New Roman" w:eastAsia="Times New Roman" w:hAnsi="Times New Roman"/>
          <w:sz w:val="12"/>
          <w:szCs w:val="12"/>
          <w:color w:val="auto"/>
        </w:rPr>
        <w:t>means any and all responsibilities and obligations the State has under UNCLOS or the ISA Regulations with which it is legally required to comply and that pertain to the State’s Sponsorship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TOML and/or the Activities, including its responsibility to ensure TOML’s compliance with TOML’s ISA Obligations.</w:t>
      </w:r>
    </w:p>
    <w:p>
      <w:pPr>
        <w:spacing w:after="0" w:line="10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 xml:space="preserve">Subcontractor </w:t>
      </w:r>
      <w:r>
        <w:rPr>
          <w:rFonts w:ascii="Times New Roman" w:cs="Times New Roman" w:eastAsia="Times New Roman" w:hAnsi="Times New Roman"/>
          <w:sz w:val="12"/>
          <w:szCs w:val="12"/>
          <w:color w:val="auto"/>
        </w:rPr>
        <w:t>means any person or entity who is subcontracted (either by the TOML Group or their subcontractors or their Affiliates and whether via contract or through a joint venture or similar arrangement) to carry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out all or part of the Activities in the ISA Contract Area, and includes without limitation any of the subcontractors’ officers, employees, agents, contractors, or assignees. This definition does not include any officer or employee of the State or any person who represents or is contracted by the State, ISA or other regulatory body.</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b w:val="1"/>
          <w:bCs w:val="1"/>
          <w:i w:val="1"/>
          <w:iCs w:val="1"/>
          <w:color w:val="auto"/>
        </w:rPr>
        <w:t xml:space="preserve">Tax </w:t>
      </w:r>
      <w:r>
        <w:rPr>
          <w:rFonts w:ascii="Times New Roman" w:cs="Times New Roman" w:eastAsia="Times New Roman" w:hAnsi="Times New Roman"/>
          <w:sz w:val="12"/>
          <w:szCs w:val="12"/>
          <w:color w:val="auto"/>
        </w:rPr>
        <w:t>means any tax, fee, Corporate Tax, business profits tax, sales tax, capital gains tax, resource rent tax, transfer tax, impost, royalty, duty (including import duty and stamp duty), excise charge, surcharge, contribution,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levy, rate, rent, withholding tax or any other charge however it is described, whether direct or indirect, whether monetary or non-monetary, and whatever method collected or recovered, imposed by any Tongan governmental, semi-governmental or other Tongan body authorised by law, including all such taxes charged under the Income Tax Act (Cap. 11.05), the Income Tax (Amendment) Act 2020, and the Income Tax Regulations (Cap. 11.05.01), each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178435</wp:posOffset>
            </wp:positionV>
            <wp:extent cx="717486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6"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Term </w:t>
      </w:r>
      <w:r>
        <w:rPr>
          <w:rFonts w:ascii="Times New Roman" w:cs="Times New Roman" w:eastAsia="Times New Roman" w:hAnsi="Times New Roman"/>
          <w:sz w:val="12"/>
          <w:szCs w:val="12"/>
          <w:color w:val="auto"/>
        </w:rPr>
        <w:t>means the term as provided for in clause 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Tonga Seabed Minerals Authority </w:t>
      </w:r>
      <w:r>
        <w:rPr>
          <w:rFonts w:ascii="Times New Roman" w:cs="Times New Roman" w:eastAsia="Times New Roman" w:hAnsi="Times New Roman"/>
          <w:sz w:val="12"/>
          <w:szCs w:val="12"/>
          <w:color w:val="auto"/>
        </w:rPr>
        <w:t>means the body established under the Act to administer Tonga’s sponsorship of Seabed Mineral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Tongan Law </w:t>
      </w:r>
      <w:r>
        <w:rPr>
          <w:rFonts w:ascii="Times New Roman" w:cs="Times New Roman" w:eastAsia="Times New Roman" w:hAnsi="Times New Roman"/>
          <w:sz w:val="12"/>
          <w:szCs w:val="12"/>
          <w:color w:val="auto"/>
        </w:rPr>
        <w:t>means all applicable laws in Tonga, including without limitation, legislation and regulations.</w:t>
      </w:r>
    </w:p>
    <w:p>
      <w:pPr>
        <w:spacing w:after="0" w:line="159"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2"/>
          <w:szCs w:val="12"/>
          <w:b w:val="1"/>
          <w:bCs w:val="1"/>
          <w:i w:val="1"/>
          <w:iCs w:val="1"/>
          <w:color w:val="auto"/>
        </w:rPr>
        <w:t xml:space="preserve">TOML Group </w:t>
      </w:r>
      <w:r>
        <w:rPr>
          <w:rFonts w:ascii="Times New Roman" w:cs="Times New Roman" w:eastAsia="Times New Roman" w:hAnsi="Times New Roman"/>
          <w:sz w:val="12"/>
          <w:szCs w:val="12"/>
          <w:color w:val="auto"/>
        </w:rPr>
        <w:t>includes TOML as well as any and all of its past, present, and future Affiliates, parent companies and their subsidiaries, holding companies, associated entities, joint venture partners, and any entities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under common control with TOML, as well as their respective directors, officers, employees, agents, contractors, representatives, successors, and assigns.</w:t>
      </w:r>
    </w:p>
    <w:p>
      <w:pPr>
        <w:spacing w:after="0" w:line="10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 xml:space="preserve">TOML Rights </w:t>
      </w:r>
      <w:r>
        <w:rPr>
          <w:rFonts w:ascii="Times New Roman" w:cs="Times New Roman" w:eastAsia="Times New Roman" w:hAnsi="Times New Roman"/>
          <w:sz w:val="12"/>
          <w:szCs w:val="12"/>
          <w:color w:val="auto"/>
        </w:rPr>
        <w:t>means the rights held by TOML under the Rules of the ISA and under any ISA Contracts, or held in relation to the International Seabed Area or the ISA Contract Area, and without limitation includes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ISA Contract Areas and all rights held therein, together with all intellectual property rights, data, technical information, and know-how developed, acquired, or used by TOML in connection with its activities under any ISA Contract or in relation to the Area or the ISA Contract Area, including all research, studies, analyses, methodologies, and technologies developed or funded by TOML. .</w:t>
      </w:r>
    </w:p>
    <w:p>
      <w:pPr>
        <w:spacing w:after="0" w:line="11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b w:val="1"/>
          <w:bCs w:val="1"/>
          <w:i w:val="1"/>
          <w:iCs w:val="1"/>
          <w:color w:val="auto"/>
        </w:rPr>
        <w:t xml:space="preserve">TOML’s ISA Obligations </w:t>
      </w:r>
      <w:r>
        <w:rPr>
          <w:rFonts w:ascii="Times New Roman" w:cs="Times New Roman" w:eastAsia="Times New Roman" w:hAnsi="Times New Roman"/>
          <w:sz w:val="12"/>
          <w:szCs w:val="12"/>
          <w:color w:val="auto"/>
        </w:rPr>
        <w:t>means the legally binding obligations TOML has under the ISA Contract, ISA Regulations and/or UNCLOS, as in force from time to time, and includes without limitation all legally binding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obligations and responsibilities that TOML has under any ISA Contract, ISA Regulation and/or UNCLOS the breach of which would result in international responsibility and liability to the State under UNCLOS due to the State’s Sponsorship of TOML.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Tonne </w:t>
      </w:r>
      <w:r>
        <w:rPr>
          <w:rFonts w:ascii="Times New Roman" w:cs="Times New Roman" w:eastAsia="Times New Roman" w:hAnsi="Times New Roman"/>
          <w:sz w:val="12"/>
          <w:szCs w:val="12"/>
          <w:color w:val="auto"/>
        </w:rPr>
        <w:t>means the weight of one thousand (1000) kilograms of Polymetallic Nodules Recovered from the ISA Contract Area measured at the first onshore port of unloading.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UNCLOS </w:t>
      </w:r>
      <w:r>
        <w:rPr>
          <w:rFonts w:ascii="Times New Roman" w:cs="Times New Roman" w:eastAsia="Times New Roman" w:hAnsi="Times New Roman"/>
          <w:sz w:val="12"/>
          <w:szCs w:val="12"/>
          <w:color w:val="auto"/>
        </w:rPr>
        <w:t>means the United Nations Convention on the Law of the Sea of 10 December 1982.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Vessel </w:t>
      </w:r>
      <w:r>
        <w:rPr>
          <w:rFonts w:ascii="Times New Roman" w:cs="Times New Roman" w:eastAsia="Times New Roman" w:hAnsi="Times New Roman"/>
          <w:sz w:val="12"/>
          <w:szCs w:val="12"/>
          <w:color w:val="auto"/>
        </w:rPr>
        <w:t>means any sea-going vessel and any seaborn craft of any type whatsoever used in the Activities and for which the State is responsible and potentially liable for in accordance with its Sponsorship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205105</wp:posOffset>
            </wp:positionV>
            <wp:extent cx="717486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717486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860"/>
          </w:cols>
          <w:pgMar w:left="740" w:top="664"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color w:val="auto"/>
        </w:rPr>
        <w:t>Signed as an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and on behalf of </w:t>
      </w:r>
      <w:r>
        <w:rPr>
          <w:rFonts w:ascii="Times New Roman" w:cs="Times New Roman" w:eastAsia="Times New Roman" w:hAnsi="Times New Roman"/>
          <w:sz w:val="12"/>
          <w:szCs w:val="12"/>
          <w:b w:val="1"/>
          <w:bCs w:val="1"/>
          <w:color w:val="auto"/>
        </w:rPr>
        <w:t>The Tonga Seabed Minerals Authority of the Government of the Kingdom of Tonga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'Uhilamoelangi Fasi</w:t>
      </w:r>
    </w:p>
    <w:p>
      <w:pPr>
        <w:spacing w:after="0" w:line="2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Name</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Hon. Dr. ‘Uhilamoelangi Fasi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358775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87750" cy="571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Title</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Minister for Lands, Survey, Planning and Natural Resources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and on behalf of </w:t>
      </w:r>
      <w:r>
        <w:rPr>
          <w:rFonts w:ascii="Times New Roman" w:cs="Times New Roman" w:eastAsia="Times New Roman" w:hAnsi="Times New Roman"/>
          <w:sz w:val="12"/>
          <w:szCs w:val="12"/>
          <w:b w:val="1"/>
          <w:bCs w:val="1"/>
          <w:color w:val="auto"/>
        </w:rPr>
        <w:t>Tonga Offshore Mining Limited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Gerard Barron</w:t>
      </w:r>
    </w:p>
    <w:p>
      <w:pPr>
        <w:spacing w:after="0" w:line="2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Name</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358775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87750" cy="5715"/>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Title</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Dated: </w:t>
      </w:r>
      <w:r>
        <w:rPr>
          <w:rFonts w:ascii="Times New Roman" w:cs="Times New Roman" w:eastAsia="Times New Roman" w:hAnsi="Times New Roman"/>
          <w:sz w:val="12"/>
          <w:szCs w:val="12"/>
          <w:color w:val="auto"/>
        </w:rPr>
        <w:t>August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Dated: </w:t>
      </w:r>
      <w:r>
        <w:rPr>
          <w:rFonts w:ascii="Times New Roman" w:cs="Times New Roman" w:eastAsia="Times New Roman" w:hAnsi="Times New Roman"/>
          <w:sz w:val="12"/>
          <w:szCs w:val="12"/>
          <w:color w:val="auto"/>
        </w:rPr>
        <w:t>August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-3660775</wp:posOffset>
            </wp:positionH>
            <wp:positionV relativeFrom="paragraph">
              <wp:posOffset>305435</wp:posOffset>
            </wp:positionV>
            <wp:extent cx="717486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5440" w:space="320"/>
            <w:col w:w="5540"/>
          </w:cols>
          <w:pgMar w:left="300" w:top="664" w:right="299" w:bottom="1440" w:gutter="0" w:footer="0" w:header="0"/>
        </w:sectPr>
      </w:pPr>
    </w:p>
    <w:p>
      <w:pPr>
        <w:spacing w:after="0" w:line="161"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2"/>
          <w:szCs w:val="12"/>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7486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4" w:right="299" w:bottom="1440" w:gutter="0" w:footer="0" w:header="0"/>
          <w:type w:val="continuous"/>
        </w:sectPr>
      </w:pPr>
    </w:p>
    <w:bookmarkStart w:id="57" w:name="page58"/>
    <w:bookmarkEnd w:id="57"/>
    <w:p>
      <w:pPr>
        <w:ind w:left="10520"/>
        <w:spacing w:after="0"/>
        <w:rPr>
          <w:sz w:val="20"/>
          <w:szCs w:val="20"/>
          <w:color w:val="auto"/>
        </w:rPr>
      </w:pPr>
      <w:r>
        <w:rPr>
          <w:rFonts w:ascii="Times New Roman" w:cs="Times New Roman" w:eastAsia="Times New Roman" w:hAnsi="Times New Roman"/>
          <w:sz w:val="15"/>
          <w:szCs w:val="15"/>
          <w:b w:val="1"/>
          <w:bCs w:val="1"/>
          <w:color w:val="auto"/>
        </w:rPr>
        <w:t>Exhibit 10.2</w:t>
      </w:r>
    </w:p>
    <w:p>
      <w:pPr>
        <w:spacing w:after="0" w:line="17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2"/>
          <w:szCs w:val="12"/>
          <w:color w:val="auto"/>
        </w:rPr>
        <w:t>CERTAIN CONFIDENTIAL INFORMATION CONTAINED IN THIS DOCUMENT, MARKED BY [***], HAS BEEN OMITTED BECAUSE THE INFORMATION (I) IS NOT MATERIAL AND (II) WOULD LIKELY CAUSE COMPETITIVE HARM IF PUBLICLY DISCLOSED.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DEED OF GUARANTEE AND INDEMNITY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between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METALS COMPANY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and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KINGDOM OF TONGA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17486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8" w:name="page59"/>
    <w:bookmarkEnd w:id="58"/>
    <w:p>
      <w:pPr>
        <w:ind w:left="6"/>
        <w:spacing w:after="0"/>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b w:val="1"/>
          <w:bCs w:val="1"/>
          <w:color w:val="auto"/>
        </w:rPr>
        <w:t>DEED OF GUARANTEE AND INDEMNITY</w:t>
      </w:r>
      <w:r>
        <w:rPr>
          <w:rFonts w:ascii="Times New Roman" w:cs="Times New Roman" w:eastAsia="Times New Roman" w:hAnsi="Times New Roman"/>
          <w:sz w:val="12"/>
          <w:szCs w:val="12"/>
          <w:color w:val="auto"/>
        </w:rPr>
        <w:t xml:space="preserve"> is dated on August 4, 2025 and made between the following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ind w:left="226" w:right="20" w:hanging="226"/>
        <w:spacing w:after="0" w:line="300" w:lineRule="auto"/>
        <w:tabs>
          <w:tab w:leader="none" w:pos="226"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THE METALS COMPANY INC</w:t>
      </w:r>
      <w:r>
        <w:rPr>
          <w:rFonts w:ascii="Times New Roman" w:cs="Times New Roman" w:eastAsia="Times New Roman" w:hAnsi="Times New Roman"/>
          <w:sz w:val="12"/>
          <w:szCs w:val="12"/>
          <w:color w:val="auto"/>
        </w:rPr>
        <w:t>, a company incorporated in British Columbia, Canada with company number C1323488 whose registered office is 1111 West Hastings Street, 15th Floor, Vancouver, British Columbia,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V6E 2J3, Canada (</w:t>
      </w:r>
      <w:r>
        <w:rPr>
          <w:rFonts w:ascii="Times New Roman" w:cs="Times New Roman" w:eastAsia="Times New Roman" w:hAnsi="Times New Roman"/>
          <w:sz w:val="12"/>
          <w:szCs w:val="12"/>
          <w:b w:val="1"/>
          <w:bCs w:val="1"/>
          <w:color w:val="auto"/>
        </w:rPr>
        <w:t>"the Guarantor”</w:t>
      </w:r>
      <w:r>
        <w:rPr>
          <w:rFonts w:ascii="Times New Roman" w:cs="Times New Roman" w:eastAsia="Times New Roman" w:hAnsi="Times New Roman"/>
          <w:sz w:val="12"/>
          <w:szCs w:val="12"/>
          <w:color w:val="auto"/>
        </w:rPr>
        <w:t>); and</w:t>
      </w:r>
    </w:p>
    <w:p>
      <w:pPr>
        <w:spacing w:after="0" w:line="101" w:lineRule="exact"/>
        <w:rPr>
          <w:rFonts w:ascii="Times New Roman" w:cs="Times New Roman" w:eastAsia="Times New Roman" w:hAnsi="Times New Roman"/>
          <w:sz w:val="12"/>
          <w:szCs w:val="12"/>
          <w:color w:val="auto"/>
        </w:rPr>
      </w:pPr>
    </w:p>
    <w:p>
      <w:pPr>
        <w:ind w:left="226" w:hanging="226"/>
        <w:spacing w:after="0"/>
        <w:tabs>
          <w:tab w:leader="none" w:pos="226"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THE KINGDOM OF TONGA</w:t>
      </w:r>
      <w:r>
        <w:rPr>
          <w:rFonts w:ascii="Times New Roman" w:cs="Times New Roman" w:eastAsia="Times New Roman" w:hAnsi="Times New Roman"/>
          <w:sz w:val="12"/>
          <w:szCs w:val="12"/>
          <w:color w:val="auto"/>
        </w:rPr>
        <w:t>, represented by the Honourable Dr. ‘Uhilamoelangi Fasi, Minister responsible for Seabed Minerals ("</w:t>
      </w:r>
      <w:r>
        <w:rPr>
          <w:rFonts w:ascii="Times New Roman" w:cs="Times New Roman" w:eastAsia="Times New Roman" w:hAnsi="Times New Roman"/>
          <w:sz w:val="12"/>
          <w:szCs w:val="12"/>
          <w:b w:val="1"/>
          <w:bCs w:val="1"/>
          <w:color w:val="auto"/>
        </w:rPr>
        <w:t>Tonga</w:t>
      </w:r>
      <w:r>
        <w:rPr>
          <w:rFonts w:ascii="Times New Roman" w:cs="Times New Roman" w:eastAsia="Times New Roman" w:hAnsi="Times New Roman"/>
          <w:sz w:val="12"/>
          <w:szCs w:val="12"/>
          <w:color w:val="auto"/>
        </w:rPr>
        <w:t>").</w:t>
      </w:r>
    </w:p>
    <w:p>
      <w:pPr>
        <w:spacing w:after="0" w:line="1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w:t>
      </w:r>
    </w:p>
    <w:p>
      <w:pPr>
        <w:spacing w:after="0" w:line="161" w:lineRule="exact"/>
        <w:rPr>
          <w:sz w:val="20"/>
          <w:szCs w:val="20"/>
          <w:color w:val="auto"/>
        </w:rPr>
      </w:pPr>
    </w:p>
    <w:p>
      <w:pPr>
        <w:ind w:left="226" w:hanging="226"/>
        <w:spacing w:after="0"/>
        <w:tabs>
          <w:tab w:leader="none" w:pos="226"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Tonga sponsors the Sponsored Party, pursuant to a Certificate of Sponsorship signed by Tonga on 23 September 2021 to conduct Exploration in the Area under an ISA Contract.</w:t>
      </w:r>
    </w:p>
    <w:p>
      <w:pPr>
        <w:spacing w:after="0" w:line="159" w:lineRule="exact"/>
        <w:rPr>
          <w:rFonts w:ascii="Times New Roman" w:cs="Times New Roman" w:eastAsia="Times New Roman" w:hAnsi="Times New Roman"/>
          <w:sz w:val="12"/>
          <w:szCs w:val="12"/>
          <w:color w:val="auto"/>
        </w:rPr>
      </w:pPr>
    </w:p>
    <w:p>
      <w:pPr>
        <w:ind w:left="226" w:hanging="226"/>
        <w:spacing w:after="0"/>
        <w:tabs>
          <w:tab w:leader="none" w:pos="226"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Sponsored Party may apply to the ISA for the approval of a plan of work for exploitation under Tonga’s sponsorship in the future.</w:t>
      </w:r>
    </w:p>
    <w:p>
      <w:pPr>
        <w:spacing w:after="0" w:line="159" w:lineRule="exact"/>
        <w:rPr>
          <w:rFonts w:ascii="Times New Roman" w:cs="Times New Roman" w:eastAsia="Times New Roman" w:hAnsi="Times New Roman"/>
          <w:sz w:val="12"/>
          <w:szCs w:val="12"/>
          <w:color w:val="auto"/>
        </w:rPr>
      </w:pPr>
    </w:p>
    <w:p>
      <w:pPr>
        <w:ind w:left="226" w:hanging="226"/>
        <w:spacing w:after="0"/>
        <w:tabs>
          <w:tab w:leader="none" w:pos="226"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has agreed to guarantee to Tonga the due and punctual performance of the Sponsored Party’s obligations under the Act and the Sponsorship Agreement.</w:t>
      </w:r>
    </w:p>
    <w:p>
      <w:pPr>
        <w:spacing w:after="0" w:line="159" w:lineRule="exact"/>
        <w:rPr>
          <w:rFonts w:ascii="Times New Roman" w:cs="Times New Roman" w:eastAsia="Times New Roman" w:hAnsi="Times New Roman"/>
          <w:sz w:val="12"/>
          <w:szCs w:val="12"/>
          <w:color w:val="auto"/>
        </w:rPr>
      </w:pPr>
    </w:p>
    <w:p>
      <w:pPr>
        <w:ind w:left="226" w:right="20" w:hanging="226"/>
        <w:spacing w:after="0" w:line="297" w:lineRule="auto"/>
        <w:tabs>
          <w:tab w:leader="none" w:pos="226"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as the parent company of the Sponsored Party, acknowledges that, pursuant to clause 24.5 of the Sponsorship Agreement, the Guarantor is obligated to issue to Tonga a warrant to purchase 1 (one) million common shares of the Guarantor in accordance with the terms and conditions of clause 24.5 of the Sponsorship Agreement.</w:t>
      </w:r>
    </w:p>
    <w:p>
      <w:pPr>
        <w:spacing w:after="0" w:line="102" w:lineRule="exact"/>
        <w:rPr>
          <w:sz w:val="20"/>
          <w:szCs w:val="20"/>
          <w:color w:val="auto"/>
        </w:rPr>
      </w:pPr>
    </w:p>
    <w:p>
      <w:pPr>
        <w:ind w:left="226" w:right="8820" w:hanging="226"/>
        <w:spacing w:after="0" w:line="518" w:lineRule="auto"/>
        <w:tabs>
          <w:tab w:leader="none" w:pos="226" w:val="left"/>
        </w:tabs>
        <w:numPr>
          <w:ilvl w:val="0"/>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 AND INTERPRETATION Definitions</w:t>
      </w:r>
    </w:p>
    <w:p>
      <w:pPr>
        <w:spacing w:after="0" w:line="1" w:lineRule="exact"/>
        <w:rPr>
          <w:rFonts w:ascii="Times New Roman" w:cs="Times New Roman" w:eastAsia="Times New Roman" w:hAnsi="Times New Roman"/>
          <w:sz w:val="12"/>
          <w:szCs w:val="12"/>
          <w:b w:val="1"/>
          <w:bCs w:val="1"/>
          <w:color w:val="auto"/>
        </w:rPr>
      </w:pPr>
    </w:p>
    <w:p>
      <w:pPr>
        <w:ind w:left="666" w:right="6900" w:hanging="446"/>
        <w:spacing w:after="0" w:line="51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1.1In this Deed, the following words and phrases have the specified meanings: </w:t>
      </w:r>
      <w:r>
        <w:rPr>
          <w:rFonts w:ascii="Times New Roman" w:cs="Times New Roman" w:eastAsia="Times New Roman" w:hAnsi="Times New Roman"/>
          <w:sz w:val="12"/>
          <w:szCs w:val="12"/>
          <w:b w:val="1"/>
          <w:bCs w:val="1"/>
          <w:color w:val="auto"/>
        </w:rPr>
        <w:t xml:space="preserve">“Act” </w:t>
      </w:r>
      <w:r>
        <w:rPr>
          <w:rFonts w:ascii="Times New Roman" w:cs="Times New Roman" w:eastAsia="Times New Roman" w:hAnsi="Times New Roman"/>
          <w:sz w:val="12"/>
          <w:szCs w:val="12"/>
          <w:color w:val="auto"/>
        </w:rPr>
        <w:t>means the Seabed Minerals Act 2020 of Tonga.</w:t>
      </w:r>
    </w:p>
    <w:p>
      <w:pPr>
        <w:ind w:left="66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“Affiliate” </w:t>
      </w:r>
      <w:r>
        <w:rPr>
          <w:rFonts w:ascii="Times New Roman" w:cs="Times New Roman" w:eastAsia="Times New Roman" w:hAnsi="Times New Roman"/>
          <w:sz w:val="12"/>
          <w:szCs w:val="12"/>
          <w:color w:val="auto"/>
        </w:rPr>
        <w:t>in relation to the Sponsored Party, means any person that controls, is controlled by, or is under common control with the Sponsored Party.</w:t>
      </w:r>
    </w:p>
    <w:p>
      <w:pPr>
        <w:spacing w:after="0" w:line="159" w:lineRule="exact"/>
        <w:rPr>
          <w:rFonts w:ascii="Times New Roman" w:cs="Times New Roman" w:eastAsia="Times New Roman" w:hAnsi="Times New Roman"/>
          <w:sz w:val="12"/>
          <w:szCs w:val="12"/>
          <w:b w:val="1"/>
          <w:bCs w:val="1"/>
          <w:color w:val="auto"/>
        </w:rPr>
      </w:pPr>
    </w:p>
    <w:p>
      <w:pPr>
        <w:ind w:left="666" w:right="1860"/>
        <w:spacing w:after="0" w:line="51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“Associate” </w:t>
      </w:r>
      <w:r>
        <w:rPr>
          <w:rFonts w:ascii="Times New Roman" w:cs="Times New Roman" w:eastAsia="Times New Roman" w:hAnsi="Times New Roman"/>
          <w:sz w:val="12"/>
          <w:szCs w:val="12"/>
          <w:color w:val="auto"/>
        </w:rPr>
        <w:t>means a person who acts on behalf of, or enters into an agreement with the Sponsored Party, or a Sponsored Party’s Affiliate to carry out Seabed Mineral Activities.</w:t>
      </w:r>
      <w:r>
        <w:rPr>
          <w:rFonts w:ascii="Times New Roman" w:cs="Times New Roman" w:eastAsia="Times New Roman" w:hAnsi="Times New Roman"/>
          <w:sz w:val="12"/>
          <w:szCs w:val="12"/>
          <w:b w:val="1"/>
          <w:bCs w:val="1"/>
          <w:color w:val="auto"/>
        </w:rPr>
        <w:t xml:space="preserve"> “Business Day” </w:t>
      </w:r>
      <w:r>
        <w:rPr>
          <w:rFonts w:ascii="Times New Roman" w:cs="Times New Roman" w:eastAsia="Times New Roman" w:hAnsi="Times New Roman"/>
          <w:sz w:val="12"/>
          <w:szCs w:val="12"/>
          <w:color w:val="auto"/>
        </w:rPr>
        <w:t>means a day not being a Saturday or Sunday or an official public holiday and on which trading banks are generally open for business in Tonga.</w:t>
      </w:r>
    </w:p>
    <w:p>
      <w:pPr>
        <w:ind w:left="666" w:right="1720"/>
        <w:spacing w:after="0" w:line="51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“Certificate of Sponsorship” </w:t>
      </w:r>
      <w:r>
        <w:rPr>
          <w:rFonts w:ascii="Times New Roman" w:cs="Times New Roman" w:eastAsia="Times New Roman" w:hAnsi="Times New Roman"/>
          <w:sz w:val="12"/>
          <w:szCs w:val="12"/>
          <w:color w:val="auto"/>
        </w:rPr>
        <w:t>means a certificate of sponsorship issued under the Act by Tonga and includes the certificate of sponsorship signed on 23 September 2021 by Tonga.</w:t>
      </w:r>
      <w:r>
        <w:rPr>
          <w:rFonts w:ascii="Times New Roman" w:cs="Times New Roman" w:eastAsia="Times New Roman" w:hAnsi="Times New Roman"/>
          <w:sz w:val="12"/>
          <w:szCs w:val="12"/>
          <w:b w:val="1"/>
          <w:bCs w:val="1"/>
          <w:color w:val="auto"/>
        </w:rPr>
        <w:t xml:space="preserve"> “Confidential Information” </w:t>
      </w:r>
      <w:r>
        <w:rPr>
          <w:rFonts w:ascii="Times New Roman" w:cs="Times New Roman" w:eastAsia="Times New Roman" w:hAnsi="Times New Roman"/>
          <w:sz w:val="12"/>
          <w:szCs w:val="12"/>
          <w:color w:val="auto"/>
        </w:rPr>
        <w:t>has the meaning given in clause 10.1.</w:t>
      </w:r>
    </w:p>
    <w:p>
      <w:pPr>
        <w:ind w:left="666"/>
        <w:spacing w:after="0"/>
        <w:rPr>
          <w:sz w:val="20"/>
          <w:szCs w:val="20"/>
          <w:color w:val="auto"/>
        </w:rPr>
      </w:pPr>
      <w:r>
        <w:rPr>
          <w:rFonts w:ascii="Times New Roman" w:cs="Times New Roman" w:eastAsia="Times New Roman" w:hAnsi="Times New Roman"/>
          <w:sz w:val="12"/>
          <w:szCs w:val="12"/>
          <w:b w:val="1"/>
          <w:bCs w:val="1"/>
          <w:color w:val="auto"/>
        </w:rPr>
        <w:t xml:space="preserve">“EDGAR” </w:t>
      </w:r>
      <w:r>
        <w:rPr>
          <w:rFonts w:ascii="Times New Roman" w:cs="Times New Roman" w:eastAsia="Times New Roman" w:hAnsi="Times New Roman"/>
          <w:sz w:val="12"/>
          <w:szCs w:val="12"/>
          <w:color w:val="auto"/>
        </w:rPr>
        <w:t>means Electronic Data Gathering, Analysis, and Retrieval Database.</w:t>
      </w:r>
    </w:p>
    <w:p>
      <w:pPr>
        <w:spacing w:after="0" w:line="159" w:lineRule="exact"/>
        <w:rPr>
          <w:sz w:val="20"/>
          <w:szCs w:val="20"/>
          <w:color w:val="auto"/>
        </w:rPr>
      </w:pPr>
    </w:p>
    <w:p>
      <w:pPr>
        <w:ind w:left="666"/>
        <w:spacing w:after="0"/>
        <w:rPr>
          <w:sz w:val="20"/>
          <w:szCs w:val="20"/>
          <w:color w:val="auto"/>
        </w:rPr>
      </w:pPr>
      <w:r>
        <w:rPr>
          <w:rFonts w:ascii="Times New Roman" w:cs="Times New Roman" w:eastAsia="Times New Roman" w:hAnsi="Times New Roman"/>
          <w:sz w:val="12"/>
          <w:szCs w:val="12"/>
          <w:b w:val="1"/>
          <w:bCs w:val="1"/>
          <w:color w:val="auto"/>
        </w:rPr>
        <w:t xml:space="preserve">“Financial Damages” </w:t>
      </w:r>
      <w:r>
        <w:rPr>
          <w:rFonts w:ascii="Times New Roman" w:cs="Times New Roman" w:eastAsia="Times New Roman" w:hAnsi="Times New Roman"/>
          <w:sz w:val="12"/>
          <w:szCs w:val="12"/>
          <w:color w:val="auto"/>
        </w:rPr>
        <w:t>has the meaning given in clause 2.1(c).</w:t>
      </w:r>
    </w:p>
    <w:p>
      <w:pPr>
        <w:spacing w:after="0" w:line="159" w:lineRule="exact"/>
        <w:rPr>
          <w:sz w:val="20"/>
          <w:szCs w:val="20"/>
          <w:color w:val="auto"/>
        </w:rPr>
      </w:pPr>
    </w:p>
    <w:p>
      <w:pPr>
        <w:jc w:val="both"/>
        <w:ind w:left="666"/>
        <w:spacing w:after="0" w:line="269" w:lineRule="auto"/>
        <w:rPr>
          <w:sz w:val="20"/>
          <w:szCs w:val="20"/>
          <w:color w:val="auto"/>
        </w:rPr>
      </w:pPr>
      <w:r>
        <w:rPr>
          <w:rFonts w:ascii="Times New Roman" w:cs="Times New Roman" w:eastAsia="Times New Roman" w:hAnsi="Times New Roman"/>
          <w:sz w:val="12"/>
          <w:szCs w:val="12"/>
          <w:b w:val="1"/>
          <w:bCs w:val="1"/>
          <w:color w:val="auto"/>
        </w:rPr>
        <w:t xml:space="preserve">“Guaranteed Obligations” </w:t>
      </w:r>
      <w:r>
        <w:rPr>
          <w:rFonts w:ascii="Times New Roman" w:cs="Times New Roman" w:eastAsia="Times New Roman" w:hAnsi="Times New Roman"/>
          <w:sz w:val="12"/>
          <w:szCs w:val="12"/>
          <w:color w:val="auto"/>
        </w:rPr>
        <w:t>means the amounts due and owing by the Sponsored Party to the government of Tonga (including the Tonga Seabed Minerals Authority) for which the Guarantor has provided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guarantee that directly result from (i) the Sponsored Party’s failure to comply with its financial obligations under the applicable law of Tonga or under the Sponsorship Agreement, and (ii) Financial Damages arising from the Indemnifying Parties’ failure to comply with the legally binding obligations and responsibilities that the Sponsored Party, its Affiliates and Associates has under any Law the breach of which would result in monetary loss or liability to Tonga due to Tonga’s sponsorship of the Sponsored Party. Guaranteed Obligations do not include an obligation to indemnify Tonga in relation to any proceedings brought under UNCLOS by other States against Tonga regarding Tonga’s decision to enter into the Sponsorship Agreement with the Sponsored Party.</w:t>
      </w: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“Indemnifiable Claim” </w:t>
      </w:r>
      <w:r>
        <w:rPr>
          <w:rFonts w:ascii="Times New Roman" w:cs="Times New Roman" w:eastAsia="Times New Roman" w:hAnsi="Times New Roman"/>
          <w:sz w:val="12"/>
          <w:szCs w:val="12"/>
          <w:color w:val="auto"/>
        </w:rPr>
        <w:t>has the meaning given in clause 2.3.</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“Indemnifying Parties” </w:t>
      </w:r>
      <w:r>
        <w:rPr>
          <w:rFonts w:ascii="Times New Roman" w:cs="Times New Roman" w:eastAsia="Times New Roman" w:hAnsi="Times New Roman"/>
          <w:sz w:val="12"/>
          <w:szCs w:val="12"/>
          <w:color w:val="auto"/>
        </w:rPr>
        <w:t>has the meaning given in clause 2.1(c).</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“ISA” </w:t>
      </w:r>
      <w:r>
        <w:rPr>
          <w:rFonts w:ascii="Times New Roman" w:cs="Times New Roman" w:eastAsia="Times New Roman" w:hAnsi="Times New Roman"/>
          <w:sz w:val="12"/>
          <w:szCs w:val="12"/>
          <w:color w:val="auto"/>
        </w:rPr>
        <w:t>means the International Seabed Authority.</w:t>
      </w:r>
    </w:p>
    <w:p>
      <w:pPr>
        <w:spacing w:after="0" w:line="159" w:lineRule="exact"/>
        <w:rPr>
          <w:sz w:val="20"/>
          <w:szCs w:val="20"/>
          <w:color w:val="auto"/>
        </w:rPr>
      </w:pPr>
    </w:p>
    <w:p>
      <w:pPr>
        <w:jc w:val="both"/>
        <w:ind w:left="440"/>
        <w:spacing w:after="0" w:line="300" w:lineRule="auto"/>
        <w:rPr>
          <w:sz w:val="20"/>
          <w:szCs w:val="20"/>
          <w:color w:val="auto"/>
        </w:rPr>
      </w:pPr>
      <w:r>
        <w:rPr>
          <w:rFonts w:ascii="Times New Roman" w:cs="Times New Roman" w:eastAsia="Times New Roman" w:hAnsi="Times New Roman"/>
          <w:sz w:val="12"/>
          <w:szCs w:val="12"/>
          <w:b w:val="1"/>
          <w:bCs w:val="1"/>
          <w:color w:val="auto"/>
        </w:rPr>
        <w:t xml:space="preserve">“ISA Contract” </w:t>
      </w:r>
      <w:r>
        <w:rPr>
          <w:rFonts w:ascii="Times New Roman" w:cs="Times New Roman" w:eastAsia="Times New Roman" w:hAnsi="Times New Roman"/>
          <w:sz w:val="12"/>
          <w:szCs w:val="12"/>
          <w:color w:val="auto"/>
        </w:rPr>
        <w:t>means any contract entered into between the Sponsored Party and the ISA permitting the Sponsored Party under Tonga’s sponsorship to conduct Seabed Mineral Activities in the Area, and includes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contract for exploration for polymetallic nodules entered into on 11 January 2012 between the Sponsored Party and the ISA.</w:t>
      </w:r>
    </w:p>
    <w:p>
      <w:pPr>
        <w:spacing w:after="0" w:line="101" w:lineRule="exact"/>
        <w:rPr>
          <w:sz w:val="20"/>
          <w:szCs w:val="20"/>
          <w:color w:val="auto"/>
        </w:rPr>
      </w:pPr>
    </w:p>
    <w:p>
      <w:pPr>
        <w:jc w:val="both"/>
        <w:ind w:left="440" w:right="20"/>
        <w:spacing w:after="0" w:line="279" w:lineRule="auto"/>
        <w:rPr>
          <w:sz w:val="20"/>
          <w:szCs w:val="20"/>
          <w:color w:val="auto"/>
        </w:rPr>
      </w:pPr>
      <w:r>
        <w:rPr>
          <w:rFonts w:ascii="Times New Roman" w:cs="Times New Roman" w:eastAsia="Times New Roman" w:hAnsi="Times New Roman"/>
          <w:sz w:val="12"/>
          <w:szCs w:val="12"/>
          <w:b w:val="1"/>
          <w:bCs w:val="1"/>
          <w:color w:val="auto"/>
        </w:rPr>
        <w:t xml:space="preserve">“Law” </w:t>
      </w:r>
      <w:r>
        <w:rPr>
          <w:rFonts w:ascii="Times New Roman" w:cs="Times New Roman" w:eastAsia="Times New Roman" w:hAnsi="Times New Roman"/>
          <w:sz w:val="12"/>
          <w:szCs w:val="12"/>
          <w:color w:val="auto"/>
        </w:rPr>
        <w:t>includes any enactment, subordinate legislation, rule, regulation, order, directive or other provision, and any judicial or administrative interpretation or application thereof, of any jurisdiction and includes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UNCLOS, any rules, regulations and procedures or other legally binding instruments adopted by the ISA or other international organisations, with which the Sponsored Party or its Affiliates or Associates must comply in connection with the conduct of Seabed Mineral Activities in the Area.</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“Notice of Claim” </w:t>
      </w:r>
      <w:r>
        <w:rPr>
          <w:rFonts w:ascii="Times New Roman" w:cs="Times New Roman" w:eastAsia="Times New Roman" w:hAnsi="Times New Roman"/>
          <w:sz w:val="12"/>
          <w:szCs w:val="12"/>
          <w:color w:val="auto"/>
        </w:rPr>
        <w:t>has the meaning given in clause 2.3.</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“Parties” </w:t>
      </w:r>
      <w:r>
        <w:rPr>
          <w:rFonts w:ascii="Times New Roman" w:cs="Times New Roman" w:eastAsia="Times New Roman" w:hAnsi="Times New Roman"/>
          <w:sz w:val="12"/>
          <w:szCs w:val="12"/>
          <w:color w:val="auto"/>
        </w:rPr>
        <w:t>means, collectively, Tonga and the Guarantor.</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“Pre-Existing Arbitration” </w:t>
      </w:r>
      <w:r>
        <w:rPr>
          <w:rFonts w:ascii="Times New Roman" w:cs="Times New Roman" w:eastAsia="Times New Roman" w:hAnsi="Times New Roman"/>
          <w:sz w:val="12"/>
          <w:szCs w:val="12"/>
          <w:color w:val="auto"/>
        </w:rPr>
        <w:t>has the meaning given in clause 12.7.</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“Seabed Mineral Activities” </w:t>
      </w:r>
      <w:r>
        <w:rPr>
          <w:rFonts w:ascii="Times New Roman" w:cs="Times New Roman" w:eastAsia="Times New Roman" w:hAnsi="Times New Roman"/>
          <w:sz w:val="12"/>
          <w:szCs w:val="12"/>
          <w:color w:val="auto"/>
        </w:rPr>
        <w:t>means activities for the exploration for or exploitation of polymetallic nodules or other mineral resources within the Area conducted pursuant to an ISA Contract.</w:t>
      </w:r>
    </w:p>
    <w:p>
      <w:pPr>
        <w:spacing w:after="0" w:line="159" w:lineRule="exact"/>
        <w:rPr>
          <w:sz w:val="20"/>
          <w:szCs w:val="20"/>
          <w:color w:val="auto"/>
        </w:rPr>
      </w:pPr>
    </w:p>
    <w:p>
      <w:pPr>
        <w:jc w:val="both"/>
        <w:ind w:left="440"/>
        <w:spacing w:after="0" w:line="231" w:lineRule="auto"/>
        <w:rPr>
          <w:sz w:val="20"/>
          <w:szCs w:val="20"/>
          <w:color w:val="auto"/>
        </w:rPr>
      </w:pPr>
      <w:r>
        <w:rPr>
          <w:rFonts w:ascii="Times New Roman" w:cs="Times New Roman" w:eastAsia="Times New Roman" w:hAnsi="Times New Roman"/>
          <w:sz w:val="12"/>
          <w:szCs w:val="12"/>
          <w:b w:val="1"/>
          <w:bCs w:val="1"/>
          <w:color w:val="auto"/>
        </w:rPr>
        <w:t xml:space="preserve">“Sponsorship Agreement” </w:t>
      </w:r>
      <w:r>
        <w:rPr>
          <w:rFonts w:ascii="Times New Roman" w:cs="Times New Roman" w:eastAsia="Times New Roman" w:hAnsi="Times New Roman"/>
          <w:sz w:val="12"/>
          <w:szCs w:val="12"/>
          <w:color w:val="auto"/>
        </w:rPr>
        <w:t>means any agreement entered into between the Sponsored Party and Tonga under the Act and any amendment or revision thereto, and includes the sponsorship certificate between Tonga,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Tonga Seabed Minerals Authority and the Sponsored Party dated on the 23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2"/>
          <w:szCs w:val="12"/>
          <w:color w:val="auto"/>
        </w:rPr>
        <w:t xml:space="preserve"> September, 2021 under which Tonga certified that it sponsored TOML to explore for Polymetallic Nodules in the Area and assumed responsibility in accordance with article 139, article 153, paragraph 4, and Annex III, article 4, paragraph 4, of UNCLOS.</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“Sponsored Party” </w:t>
      </w:r>
      <w:r>
        <w:rPr>
          <w:rFonts w:ascii="Times New Roman" w:cs="Times New Roman" w:eastAsia="Times New Roman" w:hAnsi="Times New Roman"/>
          <w:sz w:val="12"/>
          <w:szCs w:val="12"/>
          <w:color w:val="auto"/>
        </w:rPr>
        <w:t>means Tonga Offshore Mining Ltd., a company incorporated in Tonga with company number LC9001190.</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“UNCLOS” </w:t>
      </w:r>
      <w:r>
        <w:rPr>
          <w:rFonts w:ascii="Times New Roman" w:cs="Times New Roman" w:eastAsia="Times New Roman" w:hAnsi="Times New Roman"/>
          <w:sz w:val="12"/>
          <w:szCs w:val="12"/>
          <w:color w:val="auto"/>
        </w:rPr>
        <w:t>means the United Nations Convention on the Law of the Sea of 10 December 1982.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Interpretation</w:t>
      </w:r>
    </w:p>
    <w:p>
      <w:pPr>
        <w:spacing w:after="0" w:line="16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2"/>
          <w:szCs w:val="12"/>
          <w:color w:val="auto"/>
        </w:rPr>
        <w:t>Unless otherwise specified, terms defined in the Act or Sponsorship Agreement will have the same meaning when used in this Deed.</w:t>
      </w:r>
    </w:p>
    <w:p>
      <w:pPr>
        <w:spacing w:after="0" w:line="1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2"/>
          <w:szCs w:val="12"/>
          <w:color w:val="auto"/>
        </w:rPr>
        <w:t>In this Deed, except where the context otherwise requires:</w:t>
      </w:r>
    </w:p>
    <w:p>
      <w:pPr>
        <w:spacing w:after="0" w:line="159" w:lineRule="exact"/>
        <w:rPr>
          <w:sz w:val="20"/>
          <w:szCs w:val="20"/>
          <w:color w:val="auto"/>
        </w:rPr>
      </w:pPr>
    </w:p>
    <w:p>
      <w:pPr>
        <w:ind w:left="880" w:hanging="437"/>
        <w:spacing w:after="0"/>
        <w:tabs>
          <w:tab w:leader="none" w:pos="88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importing the singular include the plural and vice versa and words importing gender include all genders;</w:t>
      </w:r>
    </w:p>
    <w:p>
      <w:pPr>
        <w:spacing w:after="0" w:line="30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15240</wp:posOffset>
            </wp:positionV>
            <wp:extent cx="717486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080"/>
          </w:cols>
          <w:pgMar w:left="520" w:top="664" w:right="299" w:bottom="1440" w:gutter="0" w:footer="0" w:header="0"/>
        </w:sectPr>
      </w:pPr>
    </w:p>
    <w:bookmarkStart w:id="60" w:name="page61"/>
    <w:bookmarkEnd w:id="60"/>
    <w:p>
      <w:pPr>
        <w:ind w:left="1106" w:hanging="437"/>
        <w:spacing w:after="0"/>
        <w:tabs>
          <w:tab w:leader="none" w:pos="1106" w:val="left"/>
        </w:tabs>
        <w:numPr>
          <w:ilvl w:val="1"/>
          <w:numId w:val="1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2"/>
          <w:szCs w:val="12"/>
          <w:color w:val="auto"/>
        </w:rPr>
        <w:t>a reference to a person includes a reference to a firm, a body corporate, an unincorporated association, a partnership or to an individual</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s executors or administrators;</w:t>
      </w:r>
    </w:p>
    <w:p>
      <w:pPr>
        <w:spacing w:after="0" w:line="52" w:lineRule="exact"/>
        <w:rPr>
          <w:rFonts w:ascii="Times New Roman" w:cs="Times New Roman" w:eastAsia="Times New Roman" w:hAnsi="Times New Roman"/>
          <w:sz w:val="25"/>
          <w:szCs w:val="25"/>
          <w:color w:val="auto"/>
          <w:vertAlign w:val="superscript"/>
        </w:rPr>
      </w:pPr>
    </w:p>
    <w:p>
      <w:pPr>
        <w:ind w:left="1106" w:hanging="437"/>
        <w:spacing w:after="0"/>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to a clause, sub clause, paragraph, Schedule (other than to a schedule to a statutory provision) is a reference to a clause, sub clause, paragraph, Schedule (as the case may be) of or to this Deed;</w:t>
      </w:r>
    </w:p>
    <w:p>
      <w:pPr>
        <w:spacing w:after="0" w:line="158" w:lineRule="exact"/>
        <w:rPr>
          <w:rFonts w:ascii="Times New Roman" w:cs="Times New Roman" w:eastAsia="Times New Roman" w:hAnsi="Times New Roman"/>
          <w:sz w:val="12"/>
          <w:szCs w:val="12"/>
          <w:color w:val="auto"/>
        </w:rPr>
      </w:pPr>
    </w:p>
    <w:p>
      <w:pPr>
        <w:ind w:left="1106" w:hanging="437"/>
        <w:spacing w:after="0" w:line="297" w:lineRule="auto"/>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to an agreement or document (including a reference to this Deed) is to the agreement or document as amended, varied, supplemented, novated or replaced except to the extent prohibited by this Deed or that other agreement or document;</w:t>
      </w:r>
    </w:p>
    <w:p>
      <w:pPr>
        <w:spacing w:after="0" w:line="104" w:lineRule="exact"/>
        <w:rPr>
          <w:rFonts w:ascii="Times New Roman" w:cs="Times New Roman" w:eastAsia="Times New Roman" w:hAnsi="Times New Roman"/>
          <w:sz w:val="12"/>
          <w:szCs w:val="12"/>
          <w:color w:val="auto"/>
        </w:rPr>
      </w:pPr>
    </w:p>
    <w:p>
      <w:pPr>
        <w:ind w:left="1106" w:hanging="437"/>
        <w:spacing w:after="0" w:line="297" w:lineRule="auto"/>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provisions requiring a Party to do or refrain from doing something will be interpreted as the covenant of that Party with respect to that matter notwithstanding the absence of the words “covenants” or “agrees” or “promises”;</w:t>
      </w:r>
    </w:p>
    <w:p>
      <w:pPr>
        <w:spacing w:after="0" w:line="104" w:lineRule="exact"/>
        <w:rPr>
          <w:rFonts w:ascii="Times New Roman" w:cs="Times New Roman" w:eastAsia="Times New Roman" w:hAnsi="Times New Roman"/>
          <w:sz w:val="12"/>
          <w:szCs w:val="12"/>
          <w:color w:val="auto"/>
        </w:rPr>
      </w:pPr>
    </w:p>
    <w:p>
      <w:pPr>
        <w:ind w:left="1106" w:hanging="437"/>
        <w:spacing w:after="0" w:line="297" w:lineRule="auto"/>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to a Party to an agreement (including this Deed or document includes the Party’s successors and permitted substitutes (including persons taking by novation) or assigns (and, where applicable, the Party’s legal personal representatives);</w:t>
      </w:r>
    </w:p>
    <w:p>
      <w:pPr>
        <w:spacing w:after="0" w:line="104" w:lineRule="exact"/>
        <w:rPr>
          <w:rFonts w:ascii="Times New Roman" w:cs="Times New Roman" w:eastAsia="Times New Roman" w:hAnsi="Times New Roman"/>
          <w:sz w:val="12"/>
          <w:szCs w:val="12"/>
          <w:color w:val="auto"/>
        </w:rPr>
      </w:pPr>
    </w:p>
    <w:p>
      <w:pPr>
        <w:ind w:left="1106" w:right="20" w:hanging="437"/>
        <w:spacing w:after="0" w:line="297" w:lineRule="auto"/>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to legislation or to a provision of legislation includes a modification or re-enactment of it, a legislative provision substituted for it and a regulation, code, by-law, ordinance or statutory instrument issued under it;</w:t>
      </w:r>
    </w:p>
    <w:p>
      <w:pPr>
        <w:spacing w:after="0" w:line="104"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period of time is specified as from a given day, or from the day of an act or event, it will be calculated exclusive of that day;</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references to writing includes any modes of reproducing words in any legible form and includes email except where expressly stated otherwise;</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to “includes” or “including” means “includes without limitation” or “including without limitation”;</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headings in this Deed are for convenience only and will not affect its interpretation;</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statements or references to dollar amounts in this Deed are to Australian or United States of America dollars, as the context requires; and</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references to this Deed include this Deed as amended or supplemented in accordance with its terms.</w:t>
      </w:r>
    </w:p>
    <w:p>
      <w:pPr>
        <w:spacing w:after="0" w:line="157" w:lineRule="exact"/>
        <w:rPr>
          <w:rFonts w:ascii="Times New Roman" w:cs="Times New Roman" w:eastAsia="Times New Roman" w:hAnsi="Times New Roman"/>
          <w:sz w:val="12"/>
          <w:szCs w:val="12"/>
          <w:color w:val="auto"/>
        </w:rPr>
      </w:pPr>
    </w:p>
    <w:p>
      <w:pPr>
        <w:ind w:left="226" w:hanging="226"/>
        <w:spacing w:after="0"/>
        <w:tabs>
          <w:tab w:leader="none" w:pos="226" w:val="left"/>
        </w:tabs>
        <w:numPr>
          <w:ilvl w:val="0"/>
          <w:numId w:val="1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GUARANTEE AND INDEMNITY</w:t>
      </w:r>
    </w:p>
    <w:p>
      <w:pPr>
        <w:spacing w:after="0" w:line="161"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2.1In consideration of Tonga issuing a Certificate of Sponsorship under the Act and entering into a Sponsorship Agreement with the Sponsored Party, the Guarantor hereby irrevocably and unconditionally:</w:t>
      </w:r>
    </w:p>
    <w:p>
      <w:pPr>
        <w:spacing w:after="0" w:line="159" w:lineRule="exact"/>
        <w:rPr>
          <w:rFonts w:ascii="Times New Roman" w:cs="Times New Roman" w:eastAsia="Times New Roman" w:hAnsi="Times New Roman"/>
          <w:sz w:val="12"/>
          <w:szCs w:val="12"/>
          <w:b w:val="1"/>
          <w:bCs w:val="1"/>
          <w:color w:val="auto"/>
        </w:rPr>
      </w:pPr>
    </w:p>
    <w:p>
      <w:pPr>
        <w:ind w:left="1106" w:hanging="437"/>
        <w:spacing w:after="0"/>
        <w:tabs>
          <w:tab w:leader="none" w:pos="1106" w:val="left"/>
        </w:tabs>
        <w:numPr>
          <w:ilvl w:val="1"/>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guarantees to Tonga the due and punctual performance of the Guaranteed Obligations;</w:t>
      </w:r>
    </w:p>
    <w:p>
      <w:pPr>
        <w:spacing w:after="0" w:line="159" w:lineRule="exact"/>
        <w:rPr>
          <w:rFonts w:ascii="Times New Roman" w:cs="Times New Roman" w:eastAsia="Times New Roman" w:hAnsi="Times New Roman"/>
          <w:sz w:val="12"/>
          <w:szCs w:val="12"/>
          <w:color w:val="auto"/>
        </w:rPr>
      </w:pPr>
    </w:p>
    <w:p>
      <w:pPr>
        <w:jc w:val="both"/>
        <w:ind w:left="1106" w:hanging="437"/>
        <w:spacing w:after="0" w:line="290" w:lineRule="auto"/>
        <w:tabs>
          <w:tab w:leader="none" w:pos="1106" w:val="left"/>
        </w:tabs>
        <w:numPr>
          <w:ilvl w:val="1"/>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undertakes to Tonga that whenever the Sponsored Party is in default under the Act or under the Sponsorship Agreement, the Guarantor must on written demand from Tonga perform or procure the performance of the Guaranteed Obligations as if it was the principal obligor, provided that Tonga has first pursued recourse from the Sponsored Party pursuant to the Act or terms of the Sponsorship Agreement; and</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52" w:right="299" w:bottom="1440" w:gutter="0" w:footer="0" w:header="0"/>
        </w:sectPr>
      </w:pPr>
    </w:p>
    <w:bookmarkStart w:id="61" w:name="page62"/>
    <w:bookmarkEnd w:id="61"/>
    <w:p>
      <w:pPr>
        <w:ind w:left="880" w:right="20" w:hanging="437"/>
        <w:spacing w:after="0" w:line="300" w:lineRule="auto"/>
        <w:tabs>
          <w:tab w:leader="none" w:pos="88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agrees as an independent and primary obligation to indemnify Tonga against all costs, expenses, losses, charges, demands, actions, damages and claims or other monetary liabilities (collectively, </w:t>
      </w:r>
      <w:r>
        <w:rPr>
          <w:rFonts w:ascii="Times New Roman" w:cs="Times New Roman" w:eastAsia="Times New Roman" w:hAnsi="Times New Roman"/>
          <w:sz w:val="12"/>
          <w:szCs w:val="12"/>
          <w:b w:val="1"/>
          <w:b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Damages"</w:t>
      </w:r>
      <w:r>
        <w:rPr>
          <w:rFonts w:ascii="Times New Roman" w:cs="Times New Roman" w:eastAsia="Times New Roman" w:hAnsi="Times New Roman"/>
          <w:sz w:val="12"/>
          <w:szCs w:val="12"/>
          <w:color w:val="auto"/>
        </w:rPr>
        <w:t>) which Tonga may incur or suffer as a result of:</w:t>
      </w:r>
    </w:p>
    <w:p>
      <w:pPr>
        <w:spacing w:after="0" w:line="101" w:lineRule="exact"/>
        <w:rPr>
          <w:rFonts w:ascii="Times New Roman" w:cs="Times New Roman" w:eastAsia="Times New Roman" w:hAnsi="Times New Roman"/>
          <w:sz w:val="12"/>
          <w:szCs w:val="12"/>
          <w:color w:val="auto"/>
        </w:rPr>
      </w:pPr>
    </w:p>
    <w:p>
      <w:pPr>
        <w:ind w:left="1340" w:hanging="451"/>
        <w:spacing w:after="0" w:line="300" w:lineRule="auto"/>
        <w:tabs>
          <w:tab w:leader="none" w:pos="1340"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act or omission of the Sponsored Party or its directors, officers, employees, servants, Affiliates, Associates or agents (the </w:t>
      </w:r>
      <w:r>
        <w:rPr>
          <w:rFonts w:ascii="Times New Roman" w:cs="Times New Roman" w:eastAsia="Times New Roman" w:hAnsi="Times New Roman"/>
          <w:sz w:val="12"/>
          <w:szCs w:val="12"/>
          <w:b w:val="1"/>
          <w:bCs w:val="1"/>
          <w:color w:val="auto"/>
        </w:rPr>
        <w:t>“Indemnifying Parties”</w:t>
      </w:r>
      <w:r>
        <w:rPr>
          <w:rFonts w:ascii="Times New Roman" w:cs="Times New Roman" w:eastAsia="Times New Roman" w:hAnsi="Times New Roman"/>
          <w:sz w:val="12"/>
          <w:szCs w:val="12"/>
          <w:color w:val="auto"/>
        </w:rPr>
        <w:t>) resulting from, or connected with, the conduct of Seabed Mineral Activities permitted under an ISA Contract, whether such liabilities, costs, claims, expenses, losses, damages arise under any Law; or</w:t>
      </w:r>
    </w:p>
    <w:p>
      <w:pPr>
        <w:spacing w:after="0" w:line="103" w:lineRule="exact"/>
        <w:rPr>
          <w:rFonts w:ascii="Times New Roman" w:cs="Times New Roman" w:eastAsia="Times New Roman" w:hAnsi="Times New Roman"/>
          <w:sz w:val="12"/>
          <w:szCs w:val="12"/>
          <w:color w:val="auto"/>
        </w:rPr>
      </w:pPr>
    </w:p>
    <w:p>
      <w:pPr>
        <w:ind w:left="1340" w:hanging="451"/>
        <w:spacing w:after="0"/>
        <w:tabs>
          <w:tab w:leader="none" w:pos="1340"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legal proceedings arising out of any act or omission by any Indemnifying Party resulting from, or connected with, the Guaranteed Obligations including:</w:t>
      </w:r>
    </w:p>
    <w:p>
      <w:pPr>
        <w:spacing w:after="0" w:line="159" w:lineRule="exact"/>
        <w:rPr>
          <w:rFonts w:ascii="Times New Roman" w:cs="Times New Roman" w:eastAsia="Times New Roman" w:hAnsi="Times New Roman"/>
          <w:sz w:val="12"/>
          <w:szCs w:val="12"/>
          <w:color w:val="auto"/>
        </w:rPr>
      </w:pPr>
    </w:p>
    <w:p>
      <w:pPr>
        <w:ind w:left="1780" w:hanging="222"/>
        <w:spacing w:after="0"/>
        <w:tabs>
          <w:tab w:leader="none" w:pos="1780" w:val="left"/>
        </w:tabs>
        <w:numPr>
          <w:ilvl w:val="2"/>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proceedings brought against the Sponsored Party to enforce any of the Guaranteed Obligations contained in the ISA Contract, the Act or the Sponsorship Agreement; and</w:t>
      </w:r>
    </w:p>
    <w:p>
      <w:pPr>
        <w:spacing w:after="0" w:line="159" w:lineRule="exact"/>
        <w:rPr>
          <w:rFonts w:ascii="Times New Roman" w:cs="Times New Roman" w:eastAsia="Times New Roman" w:hAnsi="Times New Roman"/>
          <w:sz w:val="12"/>
          <w:szCs w:val="12"/>
          <w:color w:val="auto"/>
        </w:rPr>
      </w:pPr>
    </w:p>
    <w:p>
      <w:pPr>
        <w:ind w:left="1780" w:hanging="222"/>
        <w:spacing w:after="0"/>
        <w:tabs>
          <w:tab w:leader="none" w:pos="1780" w:val="left"/>
        </w:tabs>
        <w:numPr>
          <w:ilvl w:val="2"/>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proceedings brought against Tonga in any jurisdiction, including under the UNCLOS, to enforce any of the Guaranteed Obligations;</w:t>
      </w:r>
    </w:p>
    <w:p>
      <w:pPr>
        <w:spacing w:after="0" w:line="159"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agrees with Tonga that if:</w:t>
      </w:r>
    </w:p>
    <w:p>
      <w:pPr>
        <w:spacing w:after="0" w:line="159" w:lineRule="exact"/>
        <w:rPr>
          <w:rFonts w:ascii="Times New Roman" w:cs="Times New Roman" w:eastAsia="Times New Roman" w:hAnsi="Times New Roman"/>
          <w:sz w:val="12"/>
          <w:szCs w:val="12"/>
          <w:color w:val="auto"/>
        </w:rPr>
      </w:pPr>
    </w:p>
    <w:p>
      <w:pPr>
        <w:jc w:val="both"/>
        <w:ind w:left="1340" w:hanging="451"/>
        <w:spacing w:after="0" w:line="271" w:lineRule="auto"/>
        <w:tabs>
          <w:tab w:leader="none" w:pos="1340"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Guaranteed Obligation is or becomes unenforceable solely due to a legal defect in the Sponsored Party’s authority to enter into that obligation (such as lack of corporate power or lack of necessary approvals), its obligations under this Deed will be unaffected and it will, as an independent and primary obligation and as principal obligor perform the Guaranteed Obligations and indemnify Tonga against any claim, cost, loss or liability it incurs as a result of the Sponsored Party not performing a Guaranteed Obligation, which would, but for such unenforceability have been performable by it under the ISA Contract, Act or the Sponsorship Agreement;</w:t>
      </w:r>
    </w:p>
    <w:p>
      <w:pPr>
        <w:spacing w:after="0" w:line="120" w:lineRule="exact"/>
        <w:rPr>
          <w:rFonts w:ascii="Times New Roman" w:cs="Times New Roman" w:eastAsia="Times New Roman" w:hAnsi="Times New Roman"/>
          <w:sz w:val="12"/>
          <w:szCs w:val="12"/>
          <w:color w:val="auto"/>
        </w:rPr>
      </w:pPr>
    </w:p>
    <w:p>
      <w:pPr>
        <w:jc w:val="both"/>
        <w:ind w:left="1340" w:hanging="451"/>
        <w:spacing w:after="0" w:line="271" w:lineRule="auto"/>
        <w:tabs>
          <w:tab w:leader="none" w:pos="1340"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Sponsored Party is able to avoid its obligations under the ISA Contract, Act or the Sponsorship Agreement, the Guarantor's obligations under this Deed will be unaffected and it will, as an independent and primary obligation and as principal obligor perform the Guaranteed Obligations and indemnify Tonga against any cost, loss or liability it incurs as a result of the Sponsored Party not performing an obligation, which would, but for such avoidance by the Sponsored Party, have been performable by it under the ISA Contract, Act or the Sponsorship Agreement; provided, however, this shall not apply where the Sponsored Party has lawfully relinquished or terminated its rights and obligations under the ISA Contract.</w:t>
      </w:r>
    </w:p>
    <w:p>
      <w:pPr>
        <w:spacing w:after="0" w:line="1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2"/>
          <w:szCs w:val="12"/>
          <w:color w:val="auto"/>
        </w:rPr>
        <w:t>For the avoidance of doubt, the obligations of the Guarantor do not extend to the Financial Damages which Tonga may incur or suffer as a result of:</w:t>
      </w:r>
    </w:p>
    <w:p>
      <w:pPr>
        <w:spacing w:after="0" w:line="159" w:lineRule="exact"/>
        <w:rPr>
          <w:sz w:val="20"/>
          <w:szCs w:val="20"/>
          <w:color w:val="auto"/>
        </w:rPr>
      </w:pPr>
    </w:p>
    <w:p>
      <w:pPr>
        <w:ind w:left="880" w:hanging="437"/>
        <w:spacing w:after="0"/>
        <w:tabs>
          <w:tab w:leader="none" w:pos="88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acts or the omissions of Tonga resulting from Tonga’s breach or alleged breach under any Law; or</w:t>
      </w:r>
    </w:p>
    <w:p>
      <w:pPr>
        <w:spacing w:after="0" w:line="159"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legal proceedings arising out of Tonga’s breach or alleged breach under any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Notice of Indemnifiable Claim</w:t>
      </w:r>
    </w:p>
    <w:p>
      <w:pPr>
        <w:spacing w:after="0" w:line="159" w:lineRule="exact"/>
        <w:rPr>
          <w:sz w:val="20"/>
          <w:szCs w:val="20"/>
          <w:color w:val="auto"/>
        </w:rPr>
      </w:pPr>
    </w:p>
    <w:p>
      <w:pPr>
        <w:jc w:val="both"/>
        <w:ind w:left="440" w:hanging="445"/>
        <w:spacing w:after="0" w:line="279" w:lineRule="auto"/>
        <w:tabs>
          <w:tab w:leader="none" w:pos="420" w:val="left"/>
        </w:tabs>
        <w:rPr>
          <w:sz w:val="20"/>
          <w:szCs w:val="20"/>
          <w:color w:val="auto"/>
        </w:rPr>
      </w:pPr>
      <w:r>
        <w:rPr>
          <w:rFonts w:ascii="Times New Roman" w:cs="Times New Roman" w:eastAsia="Times New Roman" w:hAnsi="Times New Roman"/>
          <w:sz w:val="12"/>
          <w:szCs w:val="12"/>
          <w:color w:val="auto"/>
        </w:rPr>
        <w:t>2.3</w:t>
      </w:r>
      <w:r>
        <w:rPr>
          <w:sz w:val="20"/>
          <w:szCs w:val="20"/>
          <w:color w:val="auto"/>
        </w:rPr>
        <w:tab/>
      </w:r>
      <w:r>
        <w:rPr>
          <w:rFonts w:ascii="Times New Roman" w:cs="Times New Roman" w:eastAsia="Times New Roman" w:hAnsi="Times New Roman"/>
          <w:sz w:val="12"/>
          <w:szCs w:val="12"/>
          <w:color w:val="auto"/>
        </w:rPr>
        <w:t xml:space="preserve">Where Tonga becomes aware of any claim against it and Tonga would be entitled to claim indemnification from the Guarantor under this Deed </w:t>
      </w:r>
      <w:r>
        <w:rPr>
          <w:rFonts w:ascii="Times New Roman" w:cs="Times New Roman" w:eastAsia="Times New Roman" w:hAnsi="Times New Roman"/>
          <w:sz w:val="12"/>
          <w:szCs w:val="12"/>
          <w:b w:val="1"/>
          <w:bCs w:val="1"/>
          <w:color w:val="auto"/>
        </w:rPr>
        <w:t>(“Indemnifiable Claim”</w:t>
      </w:r>
      <w:r>
        <w:rPr>
          <w:rFonts w:ascii="Times New Roman" w:cs="Times New Roman" w:eastAsia="Times New Roman" w:hAnsi="Times New Roman"/>
          <w:sz w:val="12"/>
          <w:szCs w:val="12"/>
          <w:color w:val="auto"/>
        </w:rPr>
        <w:t xml:space="preserve">), Tonga must give written notice to the Guarantor of such Indemnifiable Claim (a </w:t>
      </w:r>
      <w:r>
        <w:rPr>
          <w:rFonts w:ascii="Times New Roman" w:cs="Times New Roman" w:eastAsia="Times New Roman" w:hAnsi="Times New Roman"/>
          <w:sz w:val="12"/>
          <w:szCs w:val="12"/>
          <w:b w:val="1"/>
          <w:bCs w:val="1"/>
          <w:color w:val="auto"/>
        </w:rPr>
        <w:t>“Notice of Claim”</w:t>
      </w:r>
      <w:r>
        <w:rPr>
          <w:rFonts w:ascii="Times New Roman" w:cs="Times New Roman" w:eastAsia="Times New Roman" w:hAnsi="Times New Roman"/>
          <w:sz w:val="12"/>
          <w:szCs w:val="12"/>
          <w:color w:val="auto"/>
        </w:rPr>
        <w:t>) promptly upon becoming aware of such claim, and in any case, no later than [***] days of becoming aware of such claim. The notice must specify with reasonable particularity, to the extent that the information is available, the factual basis for the Indemnifiable Claim and the amount of the Indemnifiable Claim.</w:t>
      </w: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15240</wp:posOffset>
            </wp:positionV>
            <wp:extent cx="717486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080"/>
          </w:cols>
          <w:pgMar w:left="520" w:top="664"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color w:val="auto"/>
        </w:rPr>
        <w:t>Indemnification procedure</w:t>
      </w:r>
    </w:p>
    <w:p>
      <w:pPr>
        <w:spacing w:after="0" w:line="161" w:lineRule="exact"/>
        <w:rPr>
          <w:sz w:val="20"/>
          <w:szCs w:val="20"/>
          <w:color w:val="auto"/>
        </w:rPr>
      </w:pPr>
    </w:p>
    <w:p>
      <w:pPr>
        <w:jc w:val="both"/>
        <w:ind w:left="440" w:right="20" w:hanging="445"/>
        <w:spacing w:after="0" w:line="290" w:lineRule="auto"/>
        <w:tabs>
          <w:tab w:leader="none" w:pos="420" w:val="left"/>
        </w:tabs>
        <w:rPr>
          <w:sz w:val="20"/>
          <w:szCs w:val="20"/>
          <w:color w:val="auto"/>
        </w:rPr>
      </w:pPr>
      <w:r>
        <w:rPr>
          <w:rFonts w:ascii="Times New Roman" w:cs="Times New Roman" w:eastAsia="Times New Roman" w:hAnsi="Times New Roman"/>
          <w:sz w:val="12"/>
          <w:szCs w:val="12"/>
          <w:color w:val="auto"/>
        </w:rPr>
        <w:t>2.4</w:t>
      </w:r>
      <w:r>
        <w:rPr>
          <w:sz w:val="20"/>
          <w:szCs w:val="20"/>
          <w:color w:val="auto"/>
        </w:rPr>
        <w:tab/>
      </w:r>
      <w:r>
        <w:rPr>
          <w:rFonts w:ascii="Times New Roman" w:cs="Times New Roman" w:eastAsia="Times New Roman" w:hAnsi="Times New Roman"/>
          <w:sz w:val="12"/>
          <w:szCs w:val="12"/>
          <w:color w:val="auto"/>
        </w:rPr>
        <w:t>Upon receiving a Notice of Claim, the Guarantor (or any of the Guarantor’s nominees) may assume the investigation and defence of the Indemnifiable Claim, including any compromise, settlement, or appeal, in which the outcome would give rise to a claim for indemnification hereunder, and the Guarantor must pay all reasonable costs and expenses incurred by it in connection therewith and will be fully responsible for the outcome thereof.</w:t>
      </w:r>
    </w:p>
    <w:p>
      <w:pPr>
        <w:spacing w:after="0" w:line="261" w:lineRule="exact"/>
        <w:rPr>
          <w:sz w:val="20"/>
          <w:szCs w:val="20"/>
          <w:color w:val="auto"/>
        </w:rPr>
      </w:pPr>
    </w:p>
    <w:p>
      <w:pPr>
        <w:jc w:val="both"/>
        <w:ind w:left="440" w:right="20" w:hanging="445"/>
        <w:spacing w:after="0" w:line="278" w:lineRule="auto"/>
        <w:tabs>
          <w:tab w:leader="none" w:pos="420" w:val="left"/>
        </w:tabs>
        <w:rPr>
          <w:sz w:val="20"/>
          <w:szCs w:val="20"/>
          <w:color w:val="auto"/>
        </w:rPr>
      </w:pPr>
      <w:r>
        <w:rPr>
          <w:rFonts w:ascii="Times New Roman" w:cs="Times New Roman" w:eastAsia="Times New Roman" w:hAnsi="Times New Roman"/>
          <w:sz w:val="12"/>
          <w:szCs w:val="12"/>
          <w:color w:val="auto"/>
        </w:rPr>
        <w:t>2.5</w:t>
      </w:r>
      <w:r>
        <w:rPr>
          <w:sz w:val="20"/>
          <w:szCs w:val="20"/>
          <w:color w:val="auto"/>
        </w:rPr>
        <w:tab/>
      </w:r>
      <w:r>
        <w:rPr>
          <w:rFonts w:ascii="Times New Roman" w:cs="Times New Roman" w:eastAsia="Times New Roman" w:hAnsi="Times New Roman"/>
          <w:sz w:val="12"/>
          <w:szCs w:val="12"/>
          <w:color w:val="auto"/>
        </w:rPr>
        <w:t>The Guarantor must give written notice to Tonga whether it will assume the investigation and defence of Indemnifiable Claim within [***] days after the date of receipt of the Notice of Claim. No compromise or settlement in respect of any Indemnifiable Claim may be made by the Guarantor (or any of the Guarantor’s nominees) without Tonga’s prior written consent (which consent must not be unreasonably withheld, conditioned or delayed) unless the sole relief is monetary damages that are to be paid in full by the Guarantor and such monetary damages are fully paid by the Guarantor.</w:t>
      </w:r>
    </w:p>
    <w:p>
      <w:pPr>
        <w:spacing w:after="0" w:line="115" w:lineRule="exact"/>
        <w:rPr>
          <w:sz w:val="20"/>
          <w:szCs w:val="20"/>
          <w:color w:val="auto"/>
        </w:rPr>
      </w:pPr>
    </w:p>
    <w:p>
      <w:pPr>
        <w:jc w:val="both"/>
        <w:ind w:left="440" w:hanging="445"/>
        <w:spacing w:after="0" w:line="278" w:lineRule="auto"/>
        <w:tabs>
          <w:tab w:leader="none" w:pos="420" w:val="left"/>
        </w:tabs>
        <w:rPr>
          <w:sz w:val="20"/>
          <w:szCs w:val="20"/>
          <w:color w:val="auto"/>
        </w:rPr>
      </w:pPr>
      <w:r>
        <w:rPr>
          <w:rFonts w:ascii="Times New Roman" w:cs="Times New Roman" w:eastAsia="Times New Roman" w:hAnsi="Times New Roman"/>
          <w:sz w:val="12"/>
          <w:szCs w:val="12"/>
          <w:color w:val="auto"/>
        </w:rPr>
        <w:t>2.6</w:t>
      </w:r>
      <w:r>
        <w:rPr>
          <w:sz w:val="20"/>
          <w:szCs w:val="20"/>
          <w:color w:val="auto"/>
        </w:rPr>
        <w:tab/>
      </w:r>
      <w:r>
        <w:rPr>
          <w:rFonts w:ascii="Times New Roman" w:cs="Times New Roman" w:eastAsia="Times New Roman" w:hAnsi="Times New Roman"/>
          <w:sz w:val="12"/>
          <w:szCs w:val="12"/>
          <w:color w:val="auto"/>
        </w:rPr>
        <w:t>If the Guarantor does not give notice to Tonga of its assumption of the investigation and defence of the Indemnifiable Claim within [***] days after Tonga’s notice is given, the Guarantor will be deemed to have waived its rights to control the investigation and defence thereof; provided, however, that the Guarantor will be entitled to participate, at its own cost and expense, in the defence of the Indemnifiable Claim and Tonga must fully cooperate with the Guarantor in respect of the defence of such claim.</w:t>
      </w:r>
    </w:p>
    <w:p>
      <w:pPr>
        <w:spacing w:after="0" w:line="115" w:lineRule="exact"/>
        <w:rPr>
          <w:sz w:val="20"/>
          <w:szCs w:val="20"/>
          <w:color w:val="auto"/>
        </w:rPr>
      </w:pPr>
    </w:p>
    <w:p>
      <w:pPr>
        <w:jc w:val="both"/>
        <w:ind w:left="440" w:right="20" w:hanging="445"/>
        <w:spacing w:after="0" w:line="278" w:lineRule="auto"/>
        <w:tabs>
          <w:tab w:leader="none" w:pos="420" w:val="left"/>
        </w:tabs>
        <w:rPr>
          <w:sz w:val="20"/>
          <w:szCs w:val="20"/>
          <w:color w:val="auto"/>
        </w:rPr>
      </w:pPr>
      <w:r>
        <w:rPr>
          <w:rFonts w:ascii="Times New Roman" w:cs="Times New Roman" w:eastAsia="Times New Roman" w:hAnsi="Times New Roman"/>
          <w:sz w:val="12"/>
          <w:szCs w:val="12"/>
          <w:color w:val="auto"/>
        </w:rPr>
        <w:t>2.7</w:t>
      </w:r>
      <w:r>
        <w:rPr>
          <w:sz w:val="20"/>
          <w:szCs w:val="20"/>
          <w:color w:val="auto"/>
        </w:rPr>
        <w:tab/>
      </w:r>
      <w:r>
        <w:rPr>
          <w:rFonts w:ascii="Times New Roman" w:cs="Times New Roman" w:eastAsia="Times New Roman" w:hAnsi="Times New Roman"/>
          <w:sz w:val="12"/>
          <w:szCs w:val="12"/>
          <w:color w:val="auto"/>
        </w:rPr>
        <w:t>Where the Guarantor (or any of the Guarantor’s nominees) undertakes the investigation and defence of any Indemnifiable Claim, Tonga must provide such assistance as reasonably requested by the Guarantor and the Guarantor will be responsible for any costs or expenses of legal counsel incurred by Tonga in connection with Tonga’s participation in the defence, provided such costs or expenses are agreed to in advance by the Guarantor.</w:t>
      </w:r>
    </w:p>
    <w:p>
      <w:pPr>
        <w:spacing w:after="0" w:line="115" w:lineRule="exact"/>
        <w:rPr>
          <w:sz w:val="20"/>
          <w:szCs w:val="20"/>
          <w:color w:val="auto"/>
        </w:rPr>
      </w:pPr>
    </w:p>
    <w:p>
      <w:pPr>
        <w:jc w:val="both"/>
        <w:ind w:left="440" w:right="2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2.8</w:t>
      </w:r>
      <w:r>
        <w:rPr>
          <w:sz w:val="20"/>
          <w:szCs w:val="20"/>
          <w:color w:val="auto"/>
        </w:rPr>
        <w:tab/>
      </w:r>
      <w:r>
        <w:rPr>
          <w:rFonts w:ascii="Times New Roman" w:cs="Times New Roman" w:eastAsia="Times New Roman" w:hAnsi="Times New Roman"/>
          <w:sz w:val="12"/>
          <w:szCs w:val="12"/>
          <w:color w:val="auto"/>
        </w:rPr>
        <w:t>Where the Guarantor (or any of the Guarantor’s nominees) fails to defend any Indemnifiable Claim within a reasonable time, Tonga will be entitled to assume such defence at the Guarantor’s cost and expense provided such costs or expenses are reasonable, and the Guarantor will be bound by the results obtained by Tonga with respect to the claim.</w:t>
      </w:r>
    </w:p>
    <w:p>
      <w:pPr>
        <w:spacing w:after="0" w:line="104" w:lineRule="exact"/>
        <w:rPr>
          <w:sz w:val="20"/>
          <w:szCs w:val="20"/>
          <w:color w:val="auto"/>
        </w:rPr>
      </w:pPr>
    </w:p>
    <w:p>
      <w:pPr>
        <w:jc w:val="both"/>
        <w:ind w:left="44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2.9</w:t>
      </w:r>
      <w:r>
        <w:rPr>
          <w:sz w:val="20"/>
          <w:szCs w:val="20"/>
          <w:color w:val="auto"/>
        </w:rPr>
        <w:tab/>
      </w:r>
      <w:r>
        <w:rPr>
          <w:rFonts w:ascii="Times New Roman" w:cs="Times New Roman" w:eastAsia="Times New Roman" w:hAnsi="Times New Roman"/>
          <w:sz w:val="12"/>
          <w:szCs w:val="12"/>
          <w:color w:val="auto"/>
        </w:rPr>
        <w:t>Where Tonga assumes the investigation and defence of any Indemnifiable Claim, then the Guarantor must pay all reasonable costs and expenses of such defence; provided that, the Guarantor will not be bound by any compromise or settlement of the Indemnifiable Claim effected without the consent of the Guarantor (which consent may not be unreasonably withheld, conditioned or delayed).</w:t>
      </w:r>
    </w:p>
    <w:p>
      <w:pPr>
        <w:spacing w:after="0" w:line="1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2"/>
          <w:szCs w:val="12"/>
          <w:color w:val="auto"/>
        </w:rPr>
        <w:t>2.10</w:t>
      </w:r>
      <w:r>
        <w:rPr>
          <w:sz w:val="20"/>
          <w:szCs w:val="20"/>
          <w:color w:val="auto"/>
        </w:rPr>
        <w:tab/>
      </w:r>
      <w:r>
        <w:rPr>
          <w:rFonts w:ascii="Times New Roman" w:cs="Times New Roman" w:eastAsia="Times New Roman" w:hAnsi="Times New Roman"/>
          <w:sz w:val="12"/>
          <w:szCs w:val="12"/>
          <w:color w:val="auto"/>
        </w:rPr>
        <w:t>No Party will be liable to pay any amount in discharge of an Indemnifiable Claim under this Deed unless and until the liability in respect of which the claim is made has become due and payable.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Limitations on liability</w:t>
      </w:r>
    </w:p>
    <w:p>
      <w:pPr>
        <w:spacing w:after="0" w:line="161" w:lineRule="exact"/>
        <w:rPr>
          <w:sz w:val="20"/>
          <w:szCs w:val="20"/>
          <w:color w:val="auto"/>
        </w:rPr>
      </w:pPr>
    </w:p>
    <w:p>
      <w:pPr>
        <w:jc w:val="both"/>
        <w:ind w:left="44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2.11</w:t>
      </w:r>
      <w:r>
        <w:rPr>
          <w:sz w:val="20"/>
          <w:szCs w:val="20"/>
          <w:color w:val="auto"/>
        </w:rPr>
        <w:tab/>
      </w:r>
      <w:r>
        <w:rPr>
          <w:rFonts w:ascii="Times New Roman" w:cs="Times New Roman" w:eastAsia="Times New Roman" w:hAnsi="Times New Roman"/>
          <w:sz w:val="12"/>
          <w:szCs w:val="12"/>
          <w:color w:val="auto"/>
        </w:rPr>
        <w:t>Notwithstanding anything contained in this clause 2, the Guarantor will not be liable to Tonga for any special, punitive, incidental, or consequential damages, including any damages that are a result of Tonga’s failure to comply with the terms of this Deed, or for any damages that are a result of Tonga’s acts, omissions or negligence.</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15240</wp:posOffset>
            </wp:positionV>
            <wp:extent cx="717486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080"/>
          </w:cols>
          <w:pgMar w:left="520" w:top="664" w:right="299" w:bottom="1440" w:gutter="0" w:footer="0" w:header="0"/>
        </w:sectPr>
      </w:pPr>
    </w:p>
    <w:bookmarkStart w:id="63" w:name="page64"/>
    <w:bookmarkEnd w:id="63"/>
    <w:p>
      <w:pPr>
        <w:ind w:left="226" w:right="8700" w:hanging="226"/>
        <w:spacing w:after="0" w:line="518" w:lineRule="auto"/>
        <w:tabs>
          <w:tab w:leader="none" w:pos="226" w:val="left"/>
        </w:tabs>
        <w:numPr>
          <w:ilvl w:val="0"/>
          <w:numId w:val="1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CONTINUATION AND REINSTATEMENT Nature of Guarantee</w:t>
      </w:r>
    </w:p>
    <w:p>
      <w:pPr>
        <w:spacing w:after="0" w:line="1" w:lineRule="exact"/>
        <w:rPr>
          <w:rFonts w:ascii="Times New Roman" w:cs="Times New Roman" w:eastAsia="Times New Roman" w:hAnsi="Times New Roman"/>
          <w:sz w:val="12"/>
          <w:szCs w:val="12"/>
          <w:b w:val="1"/>
          <w:bCs w:val="1"/>
          <w:color w:val="auto"/>
        </w:rPr>
      </w:pPr>
    </w:p>
    <w:p>
      <w:pPr>
        <w:ind w:left="666" w:right="20" w:hanging="446"/>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3.1The guarantee given pursuant to this Deed will remain in full force and effect until all the Guaranteed Obligations (both actual and contingent) have been fully performed or discharged and all liabilities arising under or in connection with the same have been fully satisfied and all sums payable by the Sponsored Party to Tonga in connection with them have been fully paid.</w:t>
      </w:r>
    </w:p>
    <w:p>
      <w:pPr>
        <w:spacing w:after="0" w:line="104" w:lineRule="exact"/>
        <w:rPr>
          <w:rFonts w:ascii="Times New Roman" w:cs="Times New Roman" w:eastAsia="Times New Roman" w:hAnsi="Times New Roman"/>
          <w:sz w:val="12"/>
          <w:szCs w:val="12"/>
          <w:b w:val="1"/>
          <w:bCs w:val="1"/>
          <w:color w:val="auto"/>
        </w:rPr>
      </w:pPr>
    </w:p>
    <w:p>
      <w:pPr>
        <w:ind w:left="666" w:hanging="446"/>
        <w:spacing w:after="0" w:line="29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3.2The Parties agree that, save as to the Sponsored Party’s obligations under the ISA Contract that survive any termination of the ISA Contract, the guarantee in relation to the Sponsored Party’s obligations under the ISA Contract will remain in effect only insofar as the Sponsored Party holds the ISA Contract and will terminate if the Sponsored Party lawfully relinquishes or terminates its rights and obligations under the ISA Contract.</w:t>
      </w:r>
    </w:p>
    <w:p>
      <w:pPr>
        <w:spacing w:after="0" w:line="261" w:lineRule="exact"/>
        <w:rPr>
          <w:rFonts w:ascii="Times New Roman" w:cs="Times New Roman" w:eastAsia="Times New Roman" w:hAnsi="Times New Roman"/>
          <w:sz w:val="12"/>
          <w:szCs w:val="12"/>
          <w:b w:val="1"/>
          <w:bCs w:val="1"/>
          <w:color w:val="auto"/>
        </w:rPr>
      </w:pPr>
    </w:p>
    <w:p>
      <w:pPr>
        <w:ind w:left="666" w:right="20" w:hanging="446"/>
        <w:spacing w:after="0" w:line="29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3.3The guarantee given pursuant to this Deed will terminate [***] years following the termination of any Sponsorship Agreement, provided that claims that accrued on or before the date upon which the Sponsorship Agreement terminated and are, at the time of the termination of this guarantee, pending with the Sponsored Party or the Guarantor will continue to be subject to this guarantee until such claims are discharged or settled.</w:t>
      </w:r>
    </w:p>
    <w:p>
      <w:pPr>
        <w:spacing w:after="0" w:line="259"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Waiver of defences</w:t>
      </w:r>
    </w:p>
    <w:p>
      <w:pPr>
        <w:spacing w:after="0" w:line="161"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3.4The Guaranteed Obligations under this Deed will not be affected by:</w:t>
      </w:r>
    </w:p>
    <w:p>
      <w:pPr>
        <w:spacing w:after="0" w:line="159" w:lineRule="exact"/>
        <w:rPr>
          <w:rFonts w:ascii="Times New Roman" w:cs="Times New Roman" w:eastAsia="Times New Roman" w:hAnsi="Times New Roman"/>
          <w:sz w:val="12"/>
          <w:szCs w:val="12"/>
          <w:b w:val="1"/>
          <w:bCs w:val="1"/>
          <w:color w:val="auto"/>
        </w:rPr>
      </w:pPr>
    </w:p>
    <w:p>
      <w:pPr>
        <w:ind w:left="1106" w:right="20" w:hanging="437"/>
        <w:spacing w:after="0" w:line="297" w:lineRule="auto"/>
        <w:tabs>
          <w:tab w:leader="none" w:pos="1106"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intermediate payment or settlement of account or by any change in the constitution or control of, or the insolvency of, or bankruptcy, winding-up or analogous proceedings relating to the Sponsored Party or discharge in whole or in part or other matter whatsoever;</w:t>
      </w:r>
    </w:p>
    <w:p>
      <w:pPr>
        <w:spacing w:after="0" w:line="104"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variation, novation or supplement of or to any Sponsorship Agreement or in respect of any other agreement or arrangement between Tonga and the Sponsored Party;</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forbearance, neglect or delay in seeking performance of the obligations imposed by this Deed or any granting of time for such performance; or</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incapacity or lack of power, authority or legal personality of or dissolution or status of the Sponsored Party or any other person.</w:t>
      </w:r>
    </w:p>
    <w:p>
      <w:pPr>
        <w:spacing w:after="0" w:line="157" w:lineRule="exact"/>
        <w:rPr>
          <w:sz w:val="20"/>
          <w:szCs w:val="20"/>
          <w:color w:val="auto"/>
        </w:rPr>
      </w:pPr>
    </w:p>
    <w:p>
      <w:pPr>
        <w:ind w:left="226"/>
        <w:spacing w:after="0"/>
        <w:rPr>
          <w:sz w:val="20"/>
          <w:szCs w:val="20"/>
          <w:color w:val="auto"/>
        </w:rPr>
      </w:pPr>
      <w:r>
        <w:rPr>
          <w:rFonts w:ascii="Times New Roman" w:cs="Times New Roman" w:eastAsia="Times New Roman" w:hAnsi="Times New Roman"/>
          <w:sz w:val="12"/>
          <w:szCs w:val="12"/>
          <w:b w:val="1"/>
          <w:bCs w:val="1"/>
          <w:color w:val="auto"/>
        </w:rPr>
        <w:t>Reinstatement</w:t>
      </w:r>
    </w:p>
    <w:p>
      <w:pPr>
        <w:spacing w:after="0" w:line="161" w:lineRule="exact"/>
        <w:rPr>
          <w:sz w:val="20"/>
          <w:szCs w:val="20"/>
          <w:color w:val="auto"/>
        </w:rPr>
      </w:pPr>
    </w:p>
    <w:p>
      <w:pPr>
        <w:ind w:left="666" w:right="20" w:hanging="445"/>
        <w:spacing w:after="0" w:line="297" w:lineRule="auto"/>
        <w:tabs>
          <w:tab w:leader="none" w:pos="645" w:val="left"/>
        </w:tabs>
        <w:rPr>
          <w:sz w:val="20"/>
          <w:szCs w:val="20"/>
          <w:color w:val="auto"/>
        </w:rPr>
      </w:pPr>
      <w:r>
        <w:rPr>
          <w:rFonts w:ascii="Times New Roman" w:cs="Times New Roman" w:eastAsia="Times New Roman" w:hAnsi="Times New Roman"/>
          <w:sz w:val="12"/>
          <w:szCs w:val="12"/>
          <w:color w:val="auto"/>
        </w:rPr>
        <w:t>3.5</w:t>
      </w:r>
      <w:r>
        <w:rPr>
          <w:sz w:val="20"/>
          <w:szCs w:val="20"/>
          <w:color w:val="auto"/>
        </w:rPr>
        <w:tab/>
      </w:r>
      <w:r>
        <w:rPr>
          <w:rFonts w:ascii="Times New Roman" w:cs="Times New Roman" w:eastAsia="Times New Roman" w:hAnsi="Times New Roman"/>
          <w:sz w:val="12"/>
          <w:szCs w:val="12"/>
          <w:color w:val="auto"/>
        </w:rPr>
        <w:t>If any payment by the Sponsored Party or Guarantor or any discharge given by Tonga (whether in respect of the Sponsored Party’s obligations or the Guarantor's obligations or any security for those obligations or otherwise) is avoided or reduced as a result of insolvency or any similar event:</w:t>
      </w:r>
    </w:p>
    <w:p>
      <w:pPr>
        <w:spacing w:after="0" w:line="104" w:lineRule="exact"/>
        <w:rPr>
          <w:sz w:val="20"/>
          <w:szCs w:val="20"/>
          <w:color w:val="auto"/>
        </w:rPr>
      </w:pPr>
    </w:p>
    <w:p>
      <w:pPr>
        <w:ind w:left="1106" w:hanging="437"/>
        <w:spacing w:after="0"/>
        <w:tabs>
          <w:tab w:leader="none" w:pos="1106"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liability of the Sponsored Party and Guarantor will continue as if the payment, discharge, avoidance or reduction had not occurred; and</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Tonga will be entitled to recover the value or amount of that security or payment from the Sponsored Party or Guarantor, as if the payment, discharge, avoidance or reduction had not occurred.</w:t>
      </w: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64" w:name="page65"/>
    <w:bookmarkEnd w:id="64"/>
    <w:p>
      <w:pPr>
        <w:ind w:left="226" w:right="9380" w:hanging="226"/>
        <w:spacing w:after="0" w:line="518" w:lineRule="auto"/>
        <w:tabs>
          <w:tab w:leader="none" w:pos="226" w:val="left"/>
        </w:tabs>
        <w:numPr>
          <w:ilvl w:val="0"/>
          <w:numId w:val="1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PAYMENTS AND ACCOUNTS Set-off</w:t>
      </w:r>
    </w:p>
    <w:p>
      <w:pPr>
        <w:spacing w:after="0" w:line="1" w:lineRule="exact"/>
        <w:rPr>
          <w:rFonts w:ascii="Times New Roman" w:cs="Times New Roman" w:eastAsia="Times New Roman" w:hAnsi="Times New Roman"/>
          <w:sz w:val="12"/>
          <w:szCs w:val="12"/>
          <w:b w:val="1"/>
          <w:bCs w:val="1"/>
          <w:color w:val="auto"/>
        </w:rPr>
      </w:pPr>
    </w:p>
    <w:p>
      <w:pPr>
        <w:ind w:left="666" w:hanging="446"/>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4.1Except in respect of any rights of set-off or counterclaim the Guarantor may have under any applicable insurance it obtains concerning the Guaranteed Obligations, the Guarantor must not exercise any right of set-off or counterclaim it might have in respect of any payment due to Tonga under this Deed.</w:t>
      </w:r>
    </w:p>
    <w:p>
      <w:pPr>
        <w:spacing w:after="0" w:line="102"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withholding</w:t>
      </w:r>
    </w:p>
    <w:p>
      <w:pPr>
        <w:spacing w:after="0" w:line="161"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4.2The Guarantor must not make any withholding on account of tax from any payment due to Tonga under this Deed, unless:</w:t>
      </w:r>
    </w:p>
    <w:p>
      <w:pPr>
        <w:spacing w:after="0" w:line="159" w:lineRule="exact"/>
        <w:rPr>
          <w:rFonts w:ascii="Times New Roman" w:cs="Times New Roman" w:eastAsia="Times New Roman" w:hAnsi="Times New Roman"/>
          <w:sz w:val="12"/>
          <w:szCs w:val="12"/>
          <w:b w:val="1"/>
          <w:bCs w:val="1"/>
          <w:color w:val="auto"/>
        </w:rPr>
      </w:pPr>
    </w:p>
    <w:p>
      <w:pPr>
        <w:ind w:left="886" w:hanging="217"/>
        <w:spacing w:after="0"/>
        <w:tabs>
          <w:tab w:leader="none" w:pos="886"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underlying Guaranteed Obligation is subject to a withholding on account of tax, in which case, the Guarantor is permitted to make a corresponding withholding in respect of its payment under this Deed;</w:t>
      </w:r>
    </w:p>
    <w:p>
      <w:pPr>
        <w:spacing w:after="0" w:line="159" w:lineRule="exact"/>
        <w:rPr>
          <w:rFonts w:ascii="Times New Roman" w:cs="Times New Roman" w:eastAsia="Times New Roman" w:hAnsi="Times New Roman"/>
          <w:sz w:val="12"/>
          <w:szCs w:val="12"/>
          <w:color w:val="auto"/>
        </w:rPr>
      </w:pPr>
    </w:p>
    <w:p>
      <w:pPr>
        <w:ind w:left="886" w:right="20" w:hanging="217"/>
        <w:spacing w:after="0" w:line="297" w:lineRule="auto"/>
        <w:tabs>
          <w:tab w:leader="none" w:pos="886"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required by applicable Law to do so at that time. If it is required by Law to do so at that time, the Guarantor must increase the amount of the relevant payment so that, after the withholding, Tonga receives the amount it would have received if such withholding had not been required to be made. The Guarantor must notify Tonga if these circumstances arise.</w:t>
      </w:r>
    </w:p>
    <w:p>
      <w:pPr>
        <w:spacing w:after="0" w:line="102" w:lineRule="exact"/>
        <w:rPr>
          <w:sz w:val="20"/>
          <w:szCs w:val="20"/>
          <w:color w:val="auto"/>
        </w:rPr>
      </w:pPr>
    </w:p>
    <w:p>
      <w:pPr>
        <w:ind w:left="226"/>
        <w:spacing w:after="0"/>
        <w:rPr>
          <w:sz w:val="20"/>
          <w:szCs w:val="20"/>
          <w:color w:val="auto"/>
        </w:rPr>
      </w:pPr>
      <w:r>
        <w:rPr>
          <w:rFonts w:ascii="Times New Roman" w:cs="Times New Roman" w:eastAsia="Times New Roman" w:hAnsi="Times New Roman"/>
          <w:sz w:val="12"/>
          <w:szCs w:val="12"/>
          <w:b w:val="1"/>
          <w:bCs w:val="1"/>
          <w:color w:val="auto"/>
        </w:rPr>
        <w:t>Default interest</w:t>
      </w:r>
    </w:p>
    <w:p>
      <w:pPr>
        <w:spacing w:after="0" w:line="161" w:lineRule="exact"/>
        <w:rPr>
          <w:sz w:val="20"/>
          <w:szCs w:val="20"/>
          <w:color w:val="auto"/>
        </w:rPr>
      </w:pPr>
    </w:p>
    <w:p>
      <w:pPr>
        <w:jc w:val="both"/>
        <w:ind w:left="666" w:hanging="445"/>
        <w:spacing w:after="0" w:line="271" w:lineRule="auto"/>
        <w:tabs>
          <w:tab w:leader="none" w:pos="645" w:val="left"/>
        </w:tabs>
        <w:rPr>
          <w:sz w:val="20"/>
          <w:szCs w:val="20"/>
          <w:color w:val="auto"/>
        </w:rPr>
      </w:pPr>
      <w:r>
        <w:rPr>
          <w:rFonts w:ascii="Times New Roman" w:cs="Times New Roman" w:eastAsia="Times New Roman" w:hAnsi="Times New Roman"/>
          <w:sz w:val="12"/>
          <w:szCs w:val="12"/>
          <w:color w:val="auto"/>
        </w:rPr>
        <w:t>4.3</w:t>
      </w:r>
      <w:r>
        <w:rPr>
          <w:sz w:val="20"/>
          <w:szCs w:val="20"/>
          <w:color w:val="auto"/>
        </w:rPr>
        <w:tab/>
      </w:r>
      <w:r>
        <w:rPr>
          <w:rFonts w:ascii="Times New Roman" w:cs="Times New Roman" w:eastAsia="Times New Roman" w:hAnsi="Times New Roman"/>
          <w:sz w:val="12"/>
          <w:szCs w:val="12"/>
          <w:color w:val="auto"/>
        </w:rPr>
        <w:t>If the Guarantor fails to pay on its due date any amount payable under this Deed it must pay interest on that amount. Interest will be payable from the due date until the date of payment of the relevant amount. In the event of a dispute between the Parties concerning the Guaranteed Obligations, interest will be payable from: (i) the date of any settlement reached between the Parties; or (ii) the date of any judgment obtained in resolving the dispute between the Parties, as the case may be, until the date of payment of the relevant amount. At any time, the interest rate applicable to late payments will be [***] per cent higher than the Federal Funds Rate at that time. [***].</w:t>
      </w:r>
    </w:p>
    <w:p>
      <w:pPr>
        <w:spacing w:after="0" w:line="118" w:lineRule="exact"/>
        <w:rPr>
          <w:sz w:val="20"/>
          <w:szCs w:val="20"/>
          <w:color w:val="auto"/>
        </w:rPr>
      </w:pPr>
    </w:p>
    <w:p>
      <w:pPr>
        <w:ind w:left="226"/>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61" w:lineRule="exact"/>
        <w:rPr>
          <w:sz w:val="20"/>
          <w:szCs w:val="20"/>
          <w:color w:val="auto"/>
        </w:rPr>
      </w:pPr>
    </w:p>
    <w:p>
      <w:pPr>
        <w:ind w:left="226"/>
        <w:spacing w:after="0"/>
        <w:tabs>
          <w:tab w:leader="none" w:pos="645" w:val="left"/>
        </w:tabs>
        <w:rPr>
          <w:sz w:val="20"/>
          <w:szCs w:val="20"/>
          <w:color w:val="auto"/>
        </w:rPr>
      </w:pPr>
      <w:r>
        <w:rPr>
          <w:rFonts w:ascii="Times New Roman" w:cs="Times New Roman" w:eastAsia="Times New Roman" w:hAnsi="Times New Roman"/>
          <w:sz w:val="12"/>
          <w:szCs w:val="12"/>
          <w:color w:val="auto"/>
        </w:rPr>
        <w:t>4.4</w:t>
      </w:r>
      <w:r>
        <w:rPr>
          <w:sz w:val="20"/>
          <w:szCs w:val="20"/>
          <w:color w:val="auto"/>
        </w:rPr>
        <w:tab/>
      </w:r>
      <w:r>
        <w:rPr>
          <w:rFonts w:ascii="Times New Roman" w:cs="Times New Roman" w:eastAsia="Times New Roman" w:hAnsi="Times New Roman"/>
          <w:sz w:val="12"/>
          <w:szCs w:val="12"/>
          <w:color w:val="auto"/>
        </w:rPr>
        <w:t>Each payment by the Guarantor under this Deed must be made in Australian dollars.</w:t>
      </w:r>
    </w:p>
    <w:p>
      <w:pPr>
        <w:spacing w:after="0" w:line="159" w:lineRule="exact"/>
        <w:rPr>
          <w:sz w:val="20"/>
          <w:szCs w:val="20"/>
          <w:color w:val="auto"/>
        </w:rPr>
      </w:pPr>
    </w:p>
    <w:p>
      <w:pPr>
        <w:ind w:left="226"/>
        <w:spacing w:after="0"/>
        <w:tabs>
          <w:tab w:leader="none" w:pos="645" w:val="left"/>
        </w:tabs>
        <w:rPr>
          <w:sz w:val="20"/>
          <w:szCs w:val="20"/>
          <w:color w:val="auto"/>
        </w:rPr>
      </w:pPr>
      <w:r>
        <w:rPr>
          <w:rFonts w:ascii="Times New Roman" w:cs="Times New Roman" w:eastAsia="Times New Roman" w:hAnsi="Times New Roman"/>
          <w:sz w:val="12"/>
          <w:szCs w:val="12"/>
          <w:color w:val="auto"/>
        </w:rPr>
        <w:t>4.5</w:t>
      </w:r>
      <w:r>
        <w:rPr>
          <w:sz w:val="20"/>
          <w:szCs w:val="20"/>
          <w:color w:val="auto"/>
        </w:rPr>
        <w:tab/>
      </w:r>
      <w:r>
        <w:rPr>
          <w:rFonts w:ascii="Times New Roman" w:cs="Times New Roman" w:eastAsia="Times New Roman" w:hAnsi="Times New Roman"/>
          <w:sz w:val="12"/>
          <w:szCs w:val="12"/>
          <w:color w:val="auto"/>
        </w:rPr>
        <w:t>On each date on which the Guarantor is required to make a payment under this Deed, it must do so in accordance with Tonga’s reasonable instructions (including as to time, method and place of payment).</w:t>
      </w:r>
    </w:p>
    <w:p>
      <w:pPr>
        <w:spacing w:after="0" w:line="159" w:lineRule="exact"/>
        <w:rPr>
          <w:sz w:val="20"/>
          <w:szCs w:val="20"/>
          <w:color w:val="auto"/>
        </w:rPr>
      </w:pPr>
    </w:p>
    <w:p>
      <w:pPr>
        <w:jc w:val="both"/>
        <w:ind w:left="666" w:right="20" w:hanging="445"/>
        <w:spacing w:after="0" w:line="290" w:lineRule="auto"/>
        <w:tabs>
          <w:tab w:leader="none" w:pos="645" w:val="left"/>
        </w:tabs>
        <w:rPr>
          <w:sz w:val="20"/>
          <w:szCs w:val="20"/>
          <w:color w:val="auto"/>
        </w:rPr>
      </w:pPr>
      <w:r>
        <w:rPr>
          <w:rFonts w:ascii="Times New Roman" w:cs="Times New Roman" w:eastAsia="Times New Roman" w:hAnsi="Times New Roman"/>
          <w:sz w:val="12"/>
          <w:szCs w:val="12"/>
          <w:color w:val="auto"/>
        </w:rPr>
        <w:t>4.6</w:t>
      </w:r>
      <w:r>
        <w:rPr>
          <w:sz w:val="20"/>
          <w:szCs w:val="20"/>
          <w:color w:val="auto"/>
        </w:rPr>
        <w:tab/>
      </w:r>
      <w:r>
        <w:rPr>
          <w:rFonts w:ascii="Times New Roman" w:cs="Times New Roman" w:eastAsia="Times New Roman" w:hAnsi="Times New Roman"/>
          <w:sz w:val="12"/>
          <w:szCs w:val="12"/>
          <w:color w:val="auto"/>
        </w:rPr>
        <w:t>Tonga must consult with the Guarantor concerning Tonga’s calculation of any amount payable by the Guarantor under this Deed and where there is disagreement concerning the calculations, the Parties must use reasonable endeavours to agree upon the correct calculation. Should the Parties remain in disagreement regarding the calculations, and in the absence of manifest error, Tonga’s calculation will be conclusive and binding.</w:t>
      </w:r>
    </w:p>
    <w:p>
      <w:pPr>
        <w:spacing w:after="0" w:line="259" w:lineRule="exact"/>
        <w:rPr>
          <w:sz w:val="20"/>
          <w:szCs w:val="20"/>
          <w:color w:val="auto"/>
        </w:rPr>
      </w:pPr>
    </w:p>
    <w:p>
      <w:pPr>
        <w:ind w:left="226" w:hanging="226"/>
        <w:spacing w:after="0"/>
        <w:tabs>
          <w:tab w:leader="none" w:pos="226" w:val="left"/>
        </w:tabs>
        <w:numPr>
          <w:ilvl w:val="0"/>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REPRESENTATIONS AND WARRANTIES AND WARRANT ISSUANCE COVENANT</w:t>
      </w:r>
    </w:p>
    <w:p>
      <w:pPr>
        <w:spacing w:after="0" w:line="161"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5.1The Guarantor makes the following representations and warranties to Tonga:</w:t>
      </w:r>
    </w:p>
    <w:p>
      <w:pPr>
        <w:spacing w:after="0" w:line="159" w:lineRule="exact"/>
        <w:rPr>
          <w:rFonts w:ascii="Times New Roman" w:cs="Times New Roman" w:eastAsia="Times New Roman" w:hAnsi="Times New Roman"/>
          <w:sz w:val="12"/>
          <w:szCs w:val="12"/>
          <w:b w:val="1"/>
          <w:bCs w:val="1"/>
          <w:color w:val="auto"/>
        </w:rPr>
      </w:pPr>
    </w:p>
    <w:p>
      <w:pPr>
        <w:ind w:left="1346" w:hanging="231"/>
        <w:spacing w:after="0" w:line="297" w:lineRule="auto"/>
        <w:tabs>
          <w:tab w:leader="none" w:pos="1346"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a limited liability company, duly incorporated and validly existing under the laws of British Columbia, with power to own its assets and to carry on its business (and other activities) as they are being conducted.</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65" w:name="page66"/>
    <w:bookmarkEnd w:id="65"/>
    <w:p>
      <w:pPr>
        <w:ind w:left="1346" w:hanging="231"/>
        <w:spacing w:after="0"/>
        <w:tabs>
          <w:tab w:leader="none" w:pos="1346"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the power and authority to enter into this Deed and to perform its obligations and exercise its rights under it.</w:t>
      </w:r>
    </w:p>
    <w:p>
      <w:pPr>
        <w:spacing w:after="0" w:line="159" w:lineRule="exact"/>
        <w:rPr>
          <w:rFonts w:ascii="Times New Roman" w:cs="Times New Roman" w:eastAsia="Times New Roman" w:hAnsi="Times New Roman"/>
          <w:sz w:val="12"/>
          <w:szCs w:val="12"/>
          <w:color w:val="auto"/>
        </w:rPr>
      </w:pPr>
    </w:p>
    <w:p>
      <w:pPr>
        <w:ind w:left="1346" w:hanging="231"/>
        <w:spacing w:after="0"/>
        <w:tabs>
          <w:tab w:leader="none" w:pos="1346"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expressed to be assumed by it in this Deed are legal, valid, binding and enforceable obligations.</w:t>
      </w:r>
    </w:p>
    <w:p>
      <w:pPr>
        <w:spacing w:after="0" w:line="159" w:lineRule="exact"/>
        <w:rPr>
          <w:rFonts w:ascii="Times New Roman" w:cs="Times New Roman" w:eastAsia="Times New Roman" w:hAnsi="Times New Roman"/>
          <w:sz w:val="12"/>
          <w:szCs w:val="12"/>
          <w:color w:val="auto"/>
        </w:rPr>
      </w:pPr>
    </w:p>
    <w:p>
      <w:pPr>
        <w:ind w:left="1346" w:hanging="231"/>
        <w:spacing w:after="0" w:line="297" w:lineRule="auto"/>
        <w:tabs>
          <w:tab w:leader="none" w:pos="1346"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Entering into this Deed and performing its obligations and exercising its rights do not conflict with any Law applicable to it, its memorandum and articles of association or any agreement binding upon it (or its assets).</w:t>
      </w:r>
    </w:p>
    <w:p>
      <w:pPr>
        <w:spacing w:after="0" w:line="104" w:lineRule="exact"/>
        <w:rPr>
          <w:sz w:val="20"/>
          <w:szCs w:val="20"/>
          <w:color w:val="auto"/>
        </w:rPr>
      </w:pPr>
    </w:p>
    <w:p>
      <w:pPr>
        <w:jc w:val="both"/>
        <w:ind w:left="666" w:right="20" w:hanging="445"/>
        <w:spacing w:after="0" w:line="278" w:lineRule="auto"/>
        <w:tabs>
          <w:tab w:leader="none" w:pos="645" w:val="left"/>
        </w:tabs>
        <w:rPr>
          <w:sz w:val="20"/>
          <w:szCs w:val="20"/>
          <w:color w:val="auto"/>
        </w:rPr>
      </w:pPr>
      <w:r>
        <w:rPr>
          <w:rFonts w:ascii="Times New Roman" w:cs="Times New Roman" w:eastAsia="Times New Roman" w:hAnsi="Times New Roman"/>
          <w:sz w:val="12"/>
          <w:szCs w:val="12"/>
          <w:color w:val="auto"/>
        </w:rPr>
        <w:t>5.2</w:t>
      </w:r>
      <w:r>
        <w:rPr>
          <w:sz w:val="20"/>
          <w:szCs w:val="20"/>
          <w:color w:val="auto"/>
        </w:rPr>
        <w:tab/>
      </w:r>
      <w:r>
        <w:rPr>
          <w:rFonts w:ascii="Times New Roman" w:cs="Times New Roman" w:eastAsia="Times New Roman" w:hAnsi="Times New Roman"/>
          <w:sz w:val="12"/>
          <w:szCs w:val="12"/>
          <w:color w:val="auto"/>
        </w:rPr>
        <w:t>Subject to the terms and conditions of Section 24.5 of the Sponsorship Agreement and this Deed, the Guarantor hereby agrees to issue Tonga a warrant to purchase [***] common shares of the Guarantor, in substantially the form of Exhibit A attached to the Sponsorship Agreement. The obligation of the Guarantor to issue such a warrant to Tonga is conditioned on Tonga executing such warrant and making the representations, warranties, agreements and acknowledgements set forth in such warrant.</w:t>
      </w:r>
    </w:p>
    <w:p>
      <w:pPr>
        <w:spacing w:after="0" w:line="113" w:lineRule="exact"/>
        <w:rPr>
          <w:sz w:val="20"/>
          <w:szCs w:val="20"/>
          <w:color w:val="auto"/>
        </w:rPr>
      </w:pPr>
    </w:p>
    <w:p>
      <w:pPr>
        <w:ind w:left="226" w:hanging="226"/>
        <w:spacing w:after="0"/>
        <w:tabs>
          <w:tab w:leader="none" w:pos="226" w:val="left"/>
        </w:tabs>
        <w:numPr>
          <w:ilvl w:val="0"/>
          <w:numId w:val="1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TONGA'S RIGHTS, REMEDIES AND DISCRETIONS</w:t>
      </w:r>
    </w:p>
    <w:p>
      <w:pPr>
        <w:spacing w:after="0" w:line="161"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6.1The rights of Tonga under this Deed are independent of any other right which Tonga has at any time in relation to the applicable Sponsorship Agreement.</w:t>
      </w:r>
    </w:p>
    <w:p>
      <w:pPr>
        <w:spacing w:after="0" w:line="159" w:lineRule="exact"/>
        <w:rPr>
          <w:rFonts w:ascii="Times New Roman" w:cs="Times New Roman" w:eastAsia="Times New Roman" w:hAnsi="Times New Roman"/>
          <w:sz w:val="12"/>
          <w:szCs w:val="12"/>
          <w:b w:val="1"/>
          <w:bCs w:val="1"/>
          <w:color w:val="auto"/>
        </w:rPr>
      </w:pPr>
    </w:p>
    <w:p>
      <w:pPr>
        <w:ind w:left="666" w:hanging="446"/>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6.2The rights and remedies provided in this Deed are in addition to (not instead of) rights or remedies under any Law. If Tonga fails to exercise any right or remedy under this Deed or delays its exercise of any right or remedy, this does not mean that Tonga waives that right or remedy. If Tonga exercises a right or remedy once, this does not mean that Tonga cannot do so again.</w:t>
      </w:r>
    </w:p>
    <w:p>
      <w:pPr>
        <w:spacing w:after="0" w:line="104"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6.3Tonga may decide (a) whether and, if so, when, how and to what extent (i) to exercise its rights under this Deed and (ii) to exercise any other right it might have in relation to the Sponsorship Agreement and</w:t>
      </w:r>
    </w:p>
    <w:p>
      <w:pPr>
        <w:spacing w:after="0" w:line="22" w:lineRule="exact"/>
        <w:rPr>
          <w:rFonts w:ascii="Times New Roman" w:cs="Times New Roman" w:eastAsia="Times New Roman" w:hAnsi="Times New Roman"/>
          <w:sz w:val="12"/>
          <w:szCs w:val="12"/>
          <w:b w:val="1"/>
          <w:bCs w:val="1"/>
          <w:color w:val="auto"/>
        </w:rPr>
      </w:pPr>
    </w:p>
    <w:p>
      <w:pPr>
        <w:jc w:val="both"/>
        <w:ind w:left="666" w:right="20" w:firstLine="3"/>
        <w:spacing w:after="0" w:line="267" w:lineRule="auto"/>
        <w:tabs>
          <w:tab w:leader="none" w:pos="842" w:val="left"/>
        </w:tabs>
        <w:numPr>
          <w:ilvl w:val="1"/>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and how to apply any payments received under this Deed and any other payments received by it in relation to the Sponsorship Agreement. The Guarantor has no right to control or restrict Tonga’s exercise of this discretion. In particular, except as set forth in clause 7.4, the Guarantor is not permitted to insist that Tonga seeks payment from any other person, exercises any other right it might have or takes any other step before exercising any right under this Deed.</w:t>
      </w:r>
    </w:p>
    <w:p>
      <w:pPr>
        <w:spacing w:after="0" w:line="120" w:lineRule="exact"/>
        <w:rPr>
          <w:rFonts w:ascii="Times New Roman" w:cs="Times New Roman" w:eastAsia="Times New Roman" w:hAnsi="Times New Roman"/>
          <w:sz w:val="12"/>
          <w:szCs w:val="12"/>
          <w:color w:val="auto"/>
        </w:rPr>
      </w:pPr>
    </w:p>
    <w:p>
      <w:pPr>
        <w:ind w:left="226" w:hanging="226"/>
        <w:spacing w:after="0"/>
        <w:tabs>
          <w:tab w:leader="none" w:pos="226" w:val="left"/>
        </w:tabs>
        <w:numPr>
          <w:ilvl w:val="0"/>
          <w:numId w:val="1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MISCELLANEOUS</w:t>
      </w:r>
    </w:p>
    <w:p>
      <w:pPr>
        <w:spacing w:after="0" w:line="161" w:lineRule="exact"/>
        <w:rPr>
          <w:rFonts w:ascii="Times New Roman" w:cs="Times New Roman" w:eastAsia="Times New Roman" w:hAnsi="Times New Roman"/>
          <w:sz w:val="12"/>
          <w:szCs w:val="12"/>
          <w:b w:val="1"/>
          <w:bCs w:val="1"/>
          <w:color w:val="auto"/>
        </w:rPr>
      </w:pPr>
    </w:p>
    <w:p>
      <w:pPr>
        <w:ind w:left="666" w:hanging="446"/>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7.1If, at any time, any provision of this Deed is or is found to have been illegal, invalid or unenforceable in any respect under any law of any jurisdiction, such illegality, invalidity or unenforceability will not affect the legality, validity or enforceability of the other provisions of this Deed.</w:t>
      </w:r>
    </w:p>
    <w:p>
      <w:pPr>
        <w:spacing w:after="0" w:line="104" w:lineRule="exact"/>
        <w:rPr>
          <w:rFonts w:ascii="Times New Roman" w:cs="Times New Roman" w:eastAsia="Times New Roman" w:hAnsi="Times New Roman"/>
          <w:sz w:val="12"/>
          <w:szCs w:val="12"/>
          <w:b w:val="1"/>
          <w:bCs w:val="1"/>
          <w:color w:val="auto"/>
        </w:rPr>
      </w:pPr>
    </w:p>
    <w:p>
      <w:pPr>
        <w:ind w:left="666" w:right="20" w:hanging="446"/>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7.2Tonga and the Sponsored Party may at any time and from time to time agree to amend the applicable Sponsorship Agreement or any conditions of sponsorship and the consent of the Guarantor will not be required to any amendment of the Sponsorship Agreement.</w:t>
      </w:r>
    </w:p>
    <w:p>
      <w:pPr>
        <w:spacing w:after="0" w:line="104" w:lineRule="exact"/>
        <w:rPr>
          <w:rFonts w:ascii="Times New Roman" w:cs="Times New Roman" w:eastAsia="Times New Roman" w:hAnsi="Times New Roman"/>
          <w:sz w:val="12"/>
          <w:szCs w:val="12"/>
          <w:b w:val="1"/>
          <w:bCs w:val="1"/>
          <w:color w:val="auto"/>
        </w:rPr>
      </w:pPr>
    </w:p>
    <w:p>
      <w:pPr>
        <w:ind w:left="666" w:hanging="446"/>
        <w:spacing w:after="0" w:line="27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7.3The Guarantor agrees, if and for so long as the Sponsored Party is in default of any of its obligations under the Act or Sponsorship Agreement, and to the extent that doing so might reasonably be expected to prejudice the Sponsored Party’s ability to discharge its relevant obligations under the Act or Sponsorship Agreement, not to claim or enforce payment (whether directly or by set-off, counterclaim or otherwise) of any amount which may be or has become due to the Guarantor from the Sponsored Party, until the full and final discharge of all obligations (whether actual or contingent) which are the subject of the guarantee and indemnity in this Deed.</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66" w:name="page67"/>
    <w:bookmarkEnd w:id="66"/>
    <w:p>
      <w:pPr>
        <w:ind w:left="226"/>
        <w:spacing w:after="0"/>
        <w:tabs>
          <w:tab w:leader="none" w:pos="645" w:val="left"/>
        </w:tabs>
        <w:rPr>
          <w:sz w:val="20"/>
          <w:szCs w:val="20"/>
          <w:color w:val="auto"/>
        </w:rPr>
      </w:pPr>
      <w:r>
        <w:rPr>
          <w:rFonts w:ascii="Times New Roman" w:cs="Times New Roman" w:eastAsia="Times New Roman" w:hAnsi="Times New Roman"/>
          <w:sz w:val="12"/>
          <w:szCs w:val="12"/>
          <w:color w:val="auto"/>
        </w:rPr>
        <w:t>7.4</w:t>
      </w:r>
      <w:r>
        <w:rPr>
          <w:sz w:val="20"/>
          <w:szCs w:val="20"/>
          <w:color w:val="auto"/>
        </w:rPr>
        <w:tab/>
      </w:r>
      <w:r>
        <w:rPr>
          <w:rFonts w:ascii="Times New Roman" w:cs="Times New Roman" w:eastAsia="Times New Roman" w:hAnsi="Times New Roman"/>
          <w:sz w:val="12"/>
          <w:szCs w:val="12"/>
          <w:color w:val="auto"/>
        </w:rPr>
        <w:t>Tonga may not pursue a claim against Guarantor under this Deed unless Tonga has first pursued remedies against the Sponsored Party pursuant to the procedures set forth in the Act or the Sponsorship Agreement.</w:t>
      </w:r>
    </w:p>
    <w:p>
      <w:pPr>
        <w:spacing w:after="0" w:line="159" w:lineRule="exact"/>
        <w:rPr>
          <w:sz w:val="20"/>
          <w:szCs w:val="20"/>
          <w:color w:val="auto"/>
        </w:rPr>
      </w:pPr>
    </w:p>
    <w:p>
      <w:pPr>
        <w:ind w:left="666" w:hanging="445"/>
        <w:spacing w:after="0" w:line="268" w:lineRule="auto"/>
        <w:tabs>
          <w:tab w:leader="none" w:pos="645" w:val="left"/>
        </w:tabs>
        <w:rPr>
          <w:sz w:val="20"/>
          <w:szCs w:val="20"/>
          <w:color w:val="auto"/>
        </w:rPr>
      </w:pPr>
      <w:r>
        <w:rPr>
          <w:rFonts w:ascii="Times New Roman" w:cs="Times New Roman" w:eastAsia="Times New Roman" w:hAnsi="Times New Roman"/>
          <w:sz w:val="12"/>
          <w:szCs w:val="12"/>
          <w:color w:val="auto"/>
        </w:rPr>
        <w:t>7.5</w:t>
      </w:r>
      <w:r>
        <w:rPr>
          <w:sz w:val="20"/>
          <w:szCs w:val="20"/>
          <w:color w:val="auto"/>
        </w:rPr>
        <w:tab/>
      </w:r>
      <w:r>
        <w:rPr>
          <w:rFonts w:ascii="Times New Roman" w:cs="Times New Roman" w:eastAsia="Times New Roman" w:hAnsi="Times New Roman"/>
          <w:sz w:val="12"/>
          <w:szCs w:val="12"/>
          <w:color w:val="auto"/>
        </w:rPr>
        <w:t>This Deed may be executed in any number of counterparts and by the Parties, each of which when so executed and delivered will be an original, but all the counterparts will together constitute one and the same instrument.</w:t>
      </w:r>
    </w:p>
    <w:p>
      <w:pPr>
        <w:spacing w:after="0" w:line="284" w:lineRule="exact"/>
        <w:rPr>
          <w:sz w:val="20"/>
          <w:szCs w:val="20"/>
          <w:color w:val="auto"/>
        </w:rPr>
      </w:pPr>
    </w:p>
    <w:p>
      <w:pPr>
        <w:ind w:left="226" w:hanging="226"/>
        <w:spacing w:after="0"/>
        <w:tabs>
          <w:tab w:leader="none" w:pos="226" w:val="left"/>
        </w:tabs>
        <w:numPr>
          <w:ilvl w:val="0"/>
          <w:numId w:val="1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w:t>
      </w:r>
    </w:p>
    <w:p>
      <w:pPr>
        <w:spacing w:after="0" w:line="159"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assignment by Guarantor</w:t>
      </w:r>
    </w:p>
    <w:p>
      <w:pPr>
        <w:spacing w:after="0" w:line="161" w:lineRule="exact"/>
        <w:rPr>
          <w:rFonts w:ascii="Times New Roman" w:cs="Times New Roman" w:eastAsia="Times New Roman" w:hAnsi="Times New Roman"/>
          <w:sz w:val="12"/>
          <w:szCs w:val="12"/>
          <w:b w:val="1"/>
          <w:bCs w:val="1"/>
          <w:color w:val="auto"/>
        </w:rPr>
      </w:pPr>
    </w:p>
    <w:p>
      <w:pPr>
        <w:ind w:left="666" w:hanging="446"/>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8.1The Guarantor must not assign, novate or otherwise deal with any rights, interests or obligations under this Deed without the prior written consent of Tonga. Such consent shall not be unreasonably withheld by Tonga and shall be provided within [***] days of the Guarantor’s request.</w:t>
      </w:r>
    </w:p>
    <w:p>
      <w:pPr>
        <w:spacing w:after="0" w:line="102"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by Tonga</w:t>
      </w:r>
    </w:p>
    <w:p>
      <w:pPr>
        <w:spacing w:after="0" w:line="161" w:lineRule="exact"/>
        <w:rPr>
          <w:rFonts w:ascii="Times New Roman" w:cs="Times New Roman" w:eastAsia="Times New Roman" w:hAnsi="Times New Roman"/>
          <w:sz w:val="12"/>
          <w:szCs w:val="12"/>
          <w:b w:val="1"/>
          <w:bCs w:val="1"/>
          <w:color w:val="auto"/>
        </w:rPr>
      </w:pPr>
    </w:p>
    <w:p>
      <w:pPr>
        <w:ind w:left="666" w:hanging="446"/>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8.2Tonga may, at any time and with the consent of the Guarantor, which consent shall not be unreasonably withheld, assign, novate and otherwise deal with any rights, interests or obligations under this Deed; provided that where such assignment or transfer is by written instrument, Tonga must provide advance notice to the Guarantor of any such assignment.</w:t>
      </w:r>
    </w:p>
    <w:p>
      <w:pPr>
        <w:spacing w:after="0" w:line="104" w:lineRule="exact"/>
        <w:rPr>
          <w:rFonts w:ascii="Times New Roman" w:cs="Times New Roman" w:eastAsia="Times New Roman" w:hAnsi="Times New Roman"/>
          <w:sz w:val="12"/>
          <w:szCs w:val="12"/>
          <w:b w:val="1"/>
          <w:bCs w:val="1"/>
          <w:color w:val="auto"/>
        </w:rPr>
      </w:pPr>
    </w:p>
    <w:p>
      <w:pPr>
        <w:ind w:left="666" w:right="20" w:hanging="446"/>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8.3Tonga may disclose, with the consent of the Guarantor, any information it sees fit to any person (a) to which it proposes to assign or novate (or has assigned or novated) any rights, interests or obligations under this Deed or (b) with which it proposes to enter into (or has entered into) any other dealings in relation to any such rights, interests or obligations.</w:t>
      </w:r>
    </w:p>
    <w:p>
      <w:pPr>
        <w:spacing w:after="0" w:line="102" w:lineRule="exact"/>
        <w:rPr>
          <w:rFonts w:ascii="Times New Roman" w:cs="Times New Roman" w:eastAsia="Times New Roman" w:hAnsi="Times New Roman"/>
          <w:sz w:val="12"/>
          <w:szCs w:val="12"/>
          <w:b w:val="1"/>
          <w:bCs w:val="1"/>
          <w:color w:val="auto"/>
        </w:rPr>
      </w:pPr>
    </w:p>
    <w:p>
      <w:pPr>
        <w:ind w:left="226" w:right="10300" w:hanging="226"/>
        <w:spacing w:after="0" w:line="517" w:lineRule="auto"/>
        <w:tabs>
          <w:tab w:leader="none" w:pos="226" w:val="left"/>
        </w:tabs>
        <w:numPr>
          <w:ilvl w:val="0"/>
          <w:numId w:val="1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 Form of notice</w:t>
      </w: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9.1A notice including any approval, consent, demand or other communication in connection with this Deed (</w:t>
      </w: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must be:</w:t>
      </w:r>
    </w:p>
    <w:p>
      <w:pPr>
        <w:spacing w:after="0" w:line="161" w:lineRule="exact"/>
        <w:rPr>
          <w:rFonts w:ascii="Times New Roman" w:cs="Times New Roman" w:eastAsia="Times New Roman" w:hAnsi="Times New Roman"/>
          <w:sz w:val="12"/>
          <w:szCs w:val="12"/>
          <w:b w:val="1"/>
          <w:bCs w:val="1"/>
          <w:color w:val="auto"/>
        </w:rPr>
      </w:pPr>
    </w:p>
    <w:p>
      <w:pPr>
        <w:ind w:left="1106" w:hanging="437"/>
        <w:spacing w:after="0"/>
        <w:tabs>
          <w:tab w:leader="none" w:pos="1106"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writing in the English language and signed by Tonga or the Guarantor or a person duly authorised by Tonga or the Guarantor;</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addressed and delivered by hand or by prepaid, registered or certified mail or courier to the address, or if sent electronically as an attachment to an email to the email or other internet address for each Party.</w:t>
      </w:r>
    </w:p>
    <w:p>
      <w:pPr>
        <w:spacing w:after="0" w:line="157" w:lineRule="exact"/>
        <w:rPr>
          <w:sz w:val="20"/>
          <w:szCs w:val="20"/>
          <w:color w:val="auto"/>
        </w:rPr>
      </w:pPr>
    </w:p>
    <w:p>
      <w:pPr>
        <w:ind w:left="226"/>
        <w:spacing w:after="0"/>
        <w:rPr>
          <w:sz w:val="20"/>
          <w:szCs w:val="20"/>
          <w:color w:val="auto"/>
        </w:rPr>
      </w:pPr>
      <w:r>
        <w:rPr>
          <w:rFonts w:ascii="Times New Roman" w:cs="Times New Roman" w:eastAsia="Times New Roman" w:hAnsi="Times New Roman"/>
          <w:sz w:val="12"/>
          <w:szCs w:val="12"/>
          <w:b w:val="1"/>
          <w:bCs w:val="1"/>
          <w:color w:val="auto"/>
        </w:rPr>
        <w:t>Delivery</w:t>
      </w:r>
    </w:p>
    <w:p>
      <w:pPr>
        <w:spacing w:after="0" w:line="161" w:lineRule="exact"/>
        <w:rPr>
          <w:sz w:val="20"/>
          <w:szCs w:val="20"/>
          <w:color w:val="auto"/>
        </w:rPr>
      </w:pPr>
    </w:p>
    <w:p>
      <w:pPr>
        <w:ind w:left="226"/>
        <w:spacing w:after="0"/>
        <w:tabs>
          <w:tab w:leader="none" w:pos="645" w:val="left"/>
        </w:tabs>
        <w:rPr>
          <w:sz w:val="20"/>
          <w:szCs w:val="20"/>
          <w:color w:val="auto"/>
        </w:rPr>
      </w:pPr>
      <w:r>
        <w:rPr>
          <w:rFonts w:ascii="Times New Roman" w:cs="Times New Roman" w:eastAsia="Times New Roman" w:hAnsi="Times New Roman"/>
          <w:sz w:val="12"/>
          <w:szCs w:val="12"/>
          <w:color w:val="auto"/>
        </w:rPr>
        <w:t>9.2</w:t>
      </w:r>
      <w:r>
        <w:rPr>
          <w:sz w:val="20"/>
          <w:szCs w:val="20"/>
          <w:color w:val="auto"/>
        </w:rPr>
        <w:tab/>
      </w:r>
      <w:r>
        <w:rPr>
          <w:rFonts w:ascii="Times New Roman" w:cs="Times New Roman" w:eastAsia="Times New Roman" w:hAnsi="Times New Roman"/>
          <w:sz w:val="12"/>
          <w:szCs w:val="12"/>
          <w:color w:val="auto"/>
        </w:rPr>
        <w:t>A Notice is effective:</w:t>
      </w:r>
    </w:p>
    <w:p>
      <w:pPr>
        <w:spacing w:after="0" w:line="159" w:lineRule="exact"/>
        <w:rPr>
          <w:sz w:val="20"/>
          <w:szCs w:val="20"/>
          <w:color w:val="auto"/>
        </w:rPr>
      </w:pPr>
    </w:p>
    <w:p>
      <w:pPr>
        <w:ind w:left="1106" w:hanging="437"/>
        <w:spacing w:after="0"/>
        <w:tabs>
          <w:tab w:leader="none" w:pos="1106"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delivered by hand, on the date it is delivered to the addressee;</w:t>
      </w:r>
    </w:p>
    <w:p>
      <w:pPr>
        <w:spacing w:after="0" w:line="159" w:lineRule="exact"/>
        <w:rPr>
          <w:rFonts w:ascii="Times New Roman" w:cs="Times New Roman" w:eastAsia="Times New Roman" w:hAnsi="Times New Roman"/>
          <w:sz w:val="12"/>
          <w:szCs w:val="12"/>
          <w:color w:val="auto"/>
        </w:rPr>
      </w:pPr>
    </w:p>
    <w:p>
      <w:pPr>
        <w:ind w:left="1106" w:hanging="437"/>
        <w:spacing w:after="0" w:line="297" w:lineRule="auto"/>
        <w:tabs>
          <w:tab w:leader="none" w:pos="1106"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delivery by mail, [***] Business Days after the date of posting (if posted to an address in the same country) or [***] Business Days after the date of posting (if posted to an address in another country);</w:t>
      </w:r>
    </w:p>
    <w:p>
      <w:pPr>
        <w:spacing w:after="0" w:line="104"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couriered, on the date on which the courier confirms delivery; or</w:t>
      </w: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sectPr>
      </w:pPr>
    </w:p>
    <w:bookmarkStart w:id="67" w:name="page68"/>
    <w:bookmarkEnd w:id="67"/>
    <w:p>
      <w:pPr>
        <w:ind w:left="1106" w:hanging="437"/>
        <w:spacing w:after="0"/>
        <w:tabs>
          <w:tab w:leader="none" w:pos="1106"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sent electronically at the time which is 12 hours from the time the email was sent, unless a later time is specified in the Notice or a notification of a delivery failure is received by the sender.</w:t>
      </w:r>
    </w:p>
    <w:p>
      <w:pPr>
        <w:spacing w:after="0" w:line="159" w:lineRule="exact"/>
        <w:rPr>
          <w:rFonts w:ascii="Times New Roman" w:cs="Times New Roman" w:eastAsia="Times New Roman" w:hAnsi="Times New Roman"/>
          <w:sz w:val="12"/>
          <w:szCs w:val="12"/>
          <w:color w:val="auto"/>
        </w:rPr>
      </w:pPr>
    </w:p>
    <w:p>
      <w:pPr>
        <w:ind w:left="22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9.3A Notice received after 5pm in the place of receipt is taken to be received on the [***] Business Day in the place of receipt.</w:t>
      </w:r>
    </w:p>
    <w:p>
      <w:pPr>
        <w:spacing w:after="0" w:line="159" w:lineRule="exact"/>
        <w:rPr>
          <w:rFonts w:ascii="Times New Roman" w:cs="Times New Roman" w:eastAsia="Times New Roman" w:hAnsi="Times New Roman"/>
          <w:sz w:val="12"/>
          <w:szCs w:val="12"/>
          <w:color w:val="auto"/>
        </w:rPr>
      </w:pPr>
    </w:p>
    <w:p>
      <w:pPr>
        <w:ind w:left="226"/>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9.4An email does not itself constitute a Notice but a Notice may be transmitted as an attachment to an email.</w:t>
      </w:r>
    </w:p>
    <w:p>
      <w:pPr>
        <w:spacing w:after="0" w:line="157" w:lineRule="exact"/>
        <w:rPr>
          <w:sz w:val="20"/>
          <w:szCs w:val="20"/>
          <w:color w:val="auto"/>
        </w:rPr>
      </w:pPr>
    </w:p>
    <w:p>
      <w:pPr>
        <w:ind w:left="226"/>
        <w:spacing w:after="0"/>
        <w:rPr>
          <w:sz w:val="20"/>
          <w:szCs w:val="20"/>
          <w:color w:val="auto"/>
        </w:rPr>
      </w:pPr>
      <w:r>
        <w:rPr>
          <w:rFonts w:ascii="Times New Roman" w:cs="Times New Roman" w:eastAsia="Times New Roman" w:hAnsi="Times New Roman"/>
          <w:sz w:val="12"/>
          <w:szCs w:val="12"/>
          <w:b w:val="1"/>
          <w:bCs w:val="1"/>
          <w:color w:val="auto"/>
        </w:rPr>
        <w:t>Address for Notice</w:t>
      </w:r>
    </w:p>
    <w:p>
      <w:pPr>
        <w:spacing w:after="0" w:line="159" w:lineRule="exact"/>
        <w:rPr>
          <w:sz w:val="20"/>
          <w:szCs w:val="20"/>
          <w:color w:val="auto"/>
        </w:rPr>
      </w:pPr>
    </w:p>
    <w:p>
      <w:pPr>
        <w:ind w:left="226"/>
        <w:spacing w:after="0"/>
        <w:tabs>
          <w:tab w:leader="none" w:pos="645" w:val="left"/>
        </w:tabs>
        <w:rPr>
          <w:sz w:val="20"/>
          <w:szCs w:val="20"/>
          <w:color w:val="auto"/>
        </w:rPr>
      </w:pPr>
      <w:r>
        <w:rPr>
          <w:rFonts w:ascii="Times New Roman" w:cs="Times New Roman" w:eastAsia="Times New Roman" w:hAnsi="Times New Roman"/>
          <w:sz w:val="12"/>
          <w:szCs w:val="12"/>
          <w:color w:val="auto"/>
        </w:rPr>
        <w:t>9.5</w:t>
      </w:r>
      <w:r>
        <w:rPr>
          <w:sz w:val="20"/>
          <w:szCs w:val="20"/>
          <w:color w:val="auto"/>
        </w:rPr>
        <w:tab/>
      </w:r>
      <w:r>
        <w:rPr>
          <w:rFonts w:ascii="Times New Roman" w:cs="Times New Roman" w:eastAsia="Times New Roman" w:hAnsi="Times New Roman"/>
          <w:sz w:val="12"/>
          <w:szCs w:val="12"/>
          <w:b w:val="1"/>
          <w:bCs w:val="1"/>
          <w:color w:val="auto"/>
        </w:rPr>
        <w:t>The Guarantor</w:t>
      </w:r>
    </w:p>
    <w:p>
      <w:pPr>
        <w:sectPr>
          <w:pgSz w:w="11900" w:h="16838" w:orient="portrait"/>
          <w:cols w:equalWidth="0" w:num="1">
            <w:col w:w="11306"/>
          </w:cols>
          <w:pgMar w:left="294" w:top="666" w:right="299" w:bottom="1440" w:gutter="0" w:footer="0" w:header="0"/>
        </w:sectPr>
      </w:pPr>
    </w:p>
    <w:p>
      <w:pPr>
        <w:spacing w:after="0" w:line="161" w:lineRule="exact"/>
        <w:rPr>
          <w:sz w:val="20"/>
          <w:szCs w:val="20"/>
          <w:color w:val="auto"/>
        </w:rPr>
      </w:pPr>
    </w:p>
    <w:p>
      <w:pPr>
        <w:ind w:left="666"/>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Metals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1111 West Hastings Street, 15th Floor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Vancouver, British Columbia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Canada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V6E 2J3</w:t>
      </w:r>
    </w:p>
    <w:p>
      <w:pPr>
        <w:spacing w:after="0" w:line="148" w:lineRule="exact"/>
        <w:rPr>
          <w:sz w:val="20"/>
          <w:szCs w:val="20"/>
          <w:color w:val="auto"/>
        </w:rPr>
      </w:pPr>
    </w:p>
    <w:p>
      <w:pPr>
        <w:sectPr>
          <w:pgSz w:w="11900" w:h="16838" w:orient="portrait"/>
          <w:cols w:equalWidth="0" w:num="2">
            <w:col w:w="1106" w:space="240"/>
            <w:col w:w="9960"/>
          </w:cols>
          <w:pgMar w:left="294" w:top="666" w:right="299" w:bottom="1440" w:gutter="0" w:footer="0" w:header="0"/>
          <w:type w:val="continuous"/>
        </w:sectPr>
      </w:pPr>
    </w:p>
    <w:p>
      <w:pPr>
        <w:ind w:left="1346"/>
        <w:spacing w:after="0"/>
        <w:rPr>
          <w:sz w:val="20"/>
          <w:szCs w:val="20"/>
          <w:color w:val="auto"/>
        </w:rPr>
      </w:pPr>
      <w:r>
        <w:rPr>
          <w:rFonts w:ascii="Times New Roman" w:cs="Times New Roman" w:eastAsia="Times New Roman" w:hAnsi="Times New Roman"/>
          <w:sz w:val="12"/>
          <w:szCs w:val="12"/>
          <w:color w:val="auto"/>
        </w:rPr>
        <w:t>[***]</w:t>
      </w:r>
    </w:p>
    <w:p>
      <w:pPr>
        <w:spacing w:after="0" w:line="22" w:lineRule="exact"/>
        <w:rPr>
          <w:sz w:val="20"/>
          <w:szCs w:val="20"/>
          <w:color w:val="auto"/>
        </w:rPr>
      </w:pPr>
    </w:p>
    <w:p>
      <w:pPr>
        <w:ind w:left="1346"/>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11306"/>
          </w:cols>
          <w:pgMar w:left="294" w:top="666" w:right="299" w:bottom="1440" w:gutter="0" w:footer="0" w:header="0"/>
          <w:type w:val="continuous"/>
        </w:sectPr>
      </w:pPr>
    </w:p>
    <w:p>
      <w:pPr>
        <w:spacing w:after="0" w:line="146" w:lineRule="exact"/>
        <w:rPr>
          <w:sz w:val="20"/>
          <w:szCs w:val="20"/>
          <w:color w:val="auto"/>
        </w:rPr>
      </w:pPr>
    </w:p>
    <w:p>
      <w:pPr>
        <w:ind w:left="666"/>
        <w:spacing w:after="0"/>
        <w:rPr>
          <w:sz w:val="20"/>
          <w:szCs w:val="20"/>
          <w:color w:val="auto"/>
        </w:rPr>
      </w:pPr>
      <w:r>
        <w:rPr>
          <w:rFonts w:ascii="Times New Roman" w:cs="Times New Roman" w:eastAsia="Times New Roman" w:hAnsi="Times New Roman"/>
          <w:sz w:val="12"/>
          <w:szCs w:val="12"/>
          <w:b w:val="1"/>
          <w:bCs w:val="1"/>
          <w:color w:val="auto"/>
        </w:rPr>
        <w:t>Tonga</w:t>
      </w:r>
    </w:p>
    <w:p>
      <w:pPr>
        <w:spacing w:after="0" w:line="161" w:lineRule="exact"/>
        <w:rPr>
          <w:sz w:val="20"/>
          <w:szCs w:val="20"/>
          <w:color w:val="auto"/>
        </w:rPr>
      </w:pPr>
    </w:p>
    <w:p>
      <w:pPr>
        <w:jc w:val="both"/>
        <w:ind w:left="666"/>
        <w:spacing w:after="0"/>
        <w:tabs>
          <w:tab w:leader="none" w:pos="1325" w:val="left"/>
        </w:tabs>
        <w:rPr>
          <w:sz w:val="20"/>
          <w:szCs w:val="20"/>
          <w:color w:val="auto"/>
        </w:rPr>
      </w:pPr>
      <w:r>
        <w:rPr>
          <w:rFonts w:ascii="Times New Roman" w:cs="Times New Roman" w:eastAsia="Times New Roman" w:hAnsi="Times New Roman"/>
          <w:sz w:val="12"/>
          <w:szCs w:val="12"/>
          <w:color w:val="auto"/>
        </w:rPr>
        <w:t>Address:</w:t>
      </w:r>
      <w:r>
        <w:rPr>
          <w:sz w:val="20"/>
          <w:szCs w:val="20"/>
          <w:color w:val="auto"/>
        </w:rPr>
        <w:tab/>
      </w:r>
      <w:r>
        <w:rPr>
          <w:rFonts w:ascii="Times New Roman" w:cs="Times New Roman" w:eastAsia="Times New Roman" w:hAnsi="Times New Roman"/>
          <w:sz w:val="12"/>
          <w:szCs w:val="12"/>
          <w:color w:val="auto"/>
        </w:rPr>
        <w:t>[***]</w:t>
      </w:r>
    </w:p>
    <w:p>
      <w:pPr>
        <w:spacing w:after="0" w:line="22" w:lineRule="exact"/>
        <w:rPr>
          <w:sz w:val="20"/>
          <w:szCs w:val="20"/>
          <w:color w:val="auto"/>
        </w:rPr>
      </w:pPr>
    </w:p>
    <w:p>
      <w:pPr>
        <w:jc w:val="right"/>
        <w:ind w:right="9700"/>
        <w:spacing w:after="0"/>
        <w:rPr>
          <w:sz w:val="20"/>
          <w:szCs w:val="20"/>
          <w:color w:val="auto"/>
        </w:rPr>
      </w:pPr>
      <w:r>
        <w:rPr>
          <w:rFonts w:ascii="Times New Roman" w:cs="Times New Roman" w:eastAsia="Times New Roman" w:hAnsi="Times New Roman"/>
          <w:sz w:val="12"/>
          <w:szCs w:val="12"/>
          <w:color w:val="auto"/>
        </w:rPr>
        <w:t>[***]</w:t>
      </w:r>
    </w:p>
    <w:p>
      <w:pPr>
        <w:spacing w:after="0" w:line="11" w:lineRule="exact"/>
        <w:rPr>
          <w:sz w:val="20"/>
          <w:szCs w:val="20"/>
          <w:color w:val="auto"/>
        </w:rPr>
      </w:pPr>
    </w:p>
    <w:p>
      <w:pPr>
        <w:jc w:val="both"/>
        <w:ind w:left="666"/>
        <w:spacing w:after="0"/>
        <w:tabs>
          <w:tab w:leader="none" w:pos="1325" w:val="left"/>
        </w:tabs>
        <w:rPr>
          <w:sz w:val="20"/>
          <w:szCs w:val="20"/>
          <w:color w:val="auto"/>
        </w:rPr>
      </w:pPr>
      <w:r>
        <w:rPr>
          <w:rFonts w:ascii="Times New Roman" w:cs="Times New Roman" w:eastAsia="Times New Roman" w:hAnsi="Times New Roman"/>
          <w:sz w:val="12"/>
          <w:szCs w:val="12"/>
          <w:color w:val="auto"/>
        </w:rPr>
        <w:t>Attention:</w:t>
        <w:tab/>
        <w:t>[***]</w:t>
      </w:r>
    </w:p>
    <w:p>
      <w:pPr>
        <w:spacing w:after="0" w:line="146" w:lineRule="exact"/>
        <w:rPr>
          <w:sz w:val="20"/>
          <w:szCs w:val="20"/>
          <w:color w:val="auto"/>
        </w:rPr>
      </w:pPr>
    </w:p>
    <w:p>
      <w:pPr>
        <w:ind w:left="226" w:right="9900" w:hanging="226"/>
        <w:spacing w:after="0" w:line="518" w:lineRule="auto"/>
        <w:tabs>
          <w:tab w:leader="none" w:pos="226" w:val="left"/>
        </w:tabs>
        <w:numPr>
          <w:ilvl w:val="0"/>
          <w:numId w:val="1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 Confidentiality</w:t>
      </w:r>
    </w:p>
    <w:p>
      <w:pPr>
        <w:spacing w:after="0" w:line="1" w:lineRule="exact"/>
        <w:rPr>
          <w:rFonts w:ascii="Times New Roman" w:cs="Times New Roman" w:eastAsia="Times New Roman" w:hAnsi="Times New Roman"/>
          <w:sz w:val="12"/>
          <w:szCs w:val="12"/>
          <w:b w:val="1"/>
          <w:bCs w:val="1"/>
          <w:color w:val="auto"/>
        </w:rPr>
      </w:pPr>
    </w:p>
    <w:p>
      <w:pPr>
        <w:ind w:left="666" w:hanging="446"/>
        <w:spacing w:after="0" w:line="27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10.1Each Party to this Deed undertakes to the other that (unless the prior written consent of the other Party has first been obtained) it will, and will procure that its officers, employees, advisers and agents will keep confidential and not by failure to exercise due care or otherwise by any act or omission disclose to any person whatever, or use or exploit commercially for its or their own purposes, any of the confidential information (whether in tangible, electronic or other form) of the other Party, including any information regarding the Guarantor’s Affiliates and Associates. For the purposes of this clause 10, </w:t>
      </w:r>
      <w:r>
        <w:rPr>
          <w:rFonts w:ascii="Times New Roman" w:cs="Times New Roman" w:eastAsia="Times New Roman" w:hAnsi="Times New Roman"/>
          <w:sz w:val="12"/>
          <w:szCs w:val="12"/>
          <w:b w:val="1"/>
          <w:bCs w:val="1"/>
          <w:color w:val="auto"/>
        </w:rPr>
        <w:t>“Confidential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Information” </w:t>
      </w:r>
      <w:r>
        <w:rPr>
          <w:rFonts w:ascii="Times New Roman" w:cs="Times New Roman" w:eastAsia="Times New Roman" w:hAnsi="Times New Roman"/>
          <w:sz w:val="12"/>
          <w:szCs w:val="12"/>
          <w:color w:val="auto"/>
        </w:rPr>
        <w:t>includes:</w:t>
      </w:r>
    </w:p>
    <w:p>
      <w:pPr>
        <w:spacing w:after="0" w:line="269" w:lineRule="exact"/>
        <w:rPr>
          <w:rFonts w:ascii="Times New Roman" w:cs="Times New Roman" w:eastAsia="Times New Roman" w:hAnsi="Times New Roman"/>
          <w:sz w:val="12"/>
          <w:szCs w:val="12"/>
          <w:b w:val="1"/>
          <w:bCs w:val="1"/>
          <w:color w:val="auto"/>
        </w:rPr>
      </w:pPr>
    </w:p>
    <w:p>
      <w:pPr>
        <w:ind w:left="1106" w:hanging="437"/>
        <w:spacing w:after="0"/>
        <w:tabs>
          <w:tab w:leader="none" w:pos="1106"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existence and contents of this Deed and any other agreement or arrangement contemplated by this Deed;</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of whatever nature concerning the business, finances, assets, liabilities, dealings, transactions, technology, know how, customers, suppliers, processes or affairs of the other Party;</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information which is expressly indicated to be confidential or is imparted by one Party to the other in circumstances importing an obligation of confidence; or</w:t>
      </w:r>
    </w:p>
    <w:p>
      <w:pPr>
        <w:spacing w:after="0" w:line="159" w:lineRule="exact"/>
        <w:rPr>
          <w:rFonts w:ascii="Times New Roman" w:cs="Times New Roman" w:eastAsia="Times New Roman" w:hAnsi="Times New Roman"/>
          <w:sz w:val="12"/>
          <w:szCs w:val="12"/>
          <w:color w:val="auto"/>
        </w:rPr>
      </w:pPr>
    </w:p>
    <w:p>
      <w:pPr>
        <w:ind w:left="1106" w:hanging="437"/>
        <w:spacing w:after="0"/>
        <w:tabs>
          <w:tab w:leader="none" w:pos="1106" w:val="left"/>
        </w:tabs>
        <w:numPr>
          <w:ilvl w:val="1"/>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any Party may from time to time receive or obtain (orally or in writing or in disk or electronic form) as a result of entering into, or performing its obligations pursuant to, this Deed or otherwise.</w:t>
      </w: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6" w:right="299" w:bottom="1440" w:gutter="0" w:footer="0" w:header="0"/>
          <w:type w:val="continuous"/>
        </w:sectPr>
      </w:pPr>
    </w:p>
    <w:bookmarkStart w:id="68" w:name="page69"/>
    <w:bookmarkEnd w:id="68"/>
    <w:p>
      <w:pPr>
        <w:spacing w:after="0"/>
        <w:tabs>
          <w:tab w:leader="none" w:pos="420" w:val="left"/>
        </w:tabs>
        <w:rPr>
          <w:sz w:val="20"/>
          <w:szCs w:val="20"/>
          <w:color w:val="auto"/>
        </w:rPr>
      </w:pPr>
      <w:r>
        <w:rPr>
          <w:rFonts w:ascii="Times New Roman" w:cs="Times New Roman" w:eastAsia="Times New Roman" w:hAnsi="Times New Roman"/>
          <w:sz w:val="12"/>
          <w:szCs w:val="12"/>
          <w:color w:val="auto"/>
        </w:rPr>
        <w:t>10.2</w:t>
      </w:r>
      <w:r>
        <w:rPr>
          <w:sz w:val="20"/>
          <w:szCs w:val="20"/>
          <w:color w:val="auto"/>
        </w:rPr>
        <w:tab/>
      </w:r>
      <w:r>
        <w:rPr>
          <w:rFonts w:ascii="Times New Roman" w:cs="Times New Roman" w:eastAsia="Times New Roman" w:hAnsi="Times New Roman"/>
          <w:sz w:val="12"/>
          <w:szCs w:val="12"/>
          <w:color w:val="auto"/>
        </w:rPr>
        <w:t>The consent referred to in clause 10.1 will not be required for disclosure by a Party of any Confidential Information:</w:t>
      </w:r>
    </w:p>
    <w:p>
      <w:pPr>
        <w:spacing w:after="0" w:line="159" w:lineRule="exact"/>
        <w:rPr>
          <w:sz w:val="20"/>
          <w:szCs w:val="20"/>
          <w:color w:val="auto"/>
        </w:rPr>
      </w:pPr>
    </w:p>
    <w:p>
      <w:pPr>
        <w:ind w:left="880" w:hanging="437"/>
        <w:spacing w:after="0"/>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disclosure is expressly permitted by this Deed;</w:t>
      </w:r>
    </w:p>
    <w:p>
      <w:pPr>
        <w:spacing w:after="0" w:line="159" w:lineRule="exact"/>
        <w:rPr>
          <w:rFonts w:ascii="Times New Roman" w:cs="Times New Roman" w:eastAsia="Times New Roman" w:hAnsi="Times New Roman"/>
          <w:sz w:val="12"/>
          <w:szCs w:val="12"/>
          <w:color w:val="auto"/>
        </w:rPr>
      </w:pPr>
    </w:p>
    <w:p>
      <w:pPr>
        <w:ind w:left="880" w:right="20" w:hanging="437"/>
        <w:spacing w:after="0" w:line="297" w:lineRule="auto"/>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its officers, employees and agents, in each case, to the extent required to enable such Party to carry out its obligations under this Deed and who must in each case be made aware by such Party of its obligations under this Deed and will be required by such Party to observe the same restrictions on the use of the relevant information as are contained in this clause 10.2;</w:t>
      </w:r>
    </w:p>
    <w:p>
      <w:pPr>
        <w:spacing w:after="0" w:line="104"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its professional advisers who are bound to such Party by a duty of confidence which applies to any information disclosed;</w:t>
      </w:r>
    </w:p>
    <w:p>
      <w:pPr>
        <w:spacing w:after="0" w:line="159"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required by applicable Law or pursuant to any order of court or other competent authority or tribunal;</w:t>
      </w:r>
    </w:p>
    <w:p>
      <w:pPr>
        <w:spacing w:after="0" w:line="159" w:lineRule="exact"/>
        <w:rPr>
          <w:rFonts w:ascii="Times New Roman" w:cs="Times New Roman" w:eastAsia="Times New Roman" w:hAnsi="Times New Roman"/>
          <w:sz w:val="12"/>
          <w:szCs w:val="12"/>
          <w:color w:val="auto"/>
        </w:rPr>
      </w:pPr>
    </w:p>
    <w:p>
      <w:pPr>
        <w:ind w:left="880" w:right="20" w:hanging="437"/>
        <w:spacing w:after="0" w:line="297" w:lineRule="auto"/>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disclosure is necessary for a Party, its Affiliates or Associates to comply with a directive or request of any governmental authority (including the ISA), any securities regulator or stock exchange (whether or not having the force of Law) so long as a responsible person in a similar position would comply;</w:t>
      </w:r>
    </w:p>
    <w:p>
      <w:pPr>
        <w:spacing w:after="0" w:line="104"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disclosure is necessary or desirable to obtain an authorisation from any governmental authority (including the ISA), securities regulator or stock exchange;</w:t>
      </w:r>
    </w:p>
    <w:p>
      <w:pPr>
        <w:spacing w:after="0" w:line="159"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disclosure is necessary in relation to any discovery of documents, or any proceedings before an arbitrator, court, tribunal, other governmental authority, securities regulator or stock exchange;</w:t>
      </w:r>
    </w:p>
    <w:p>
      <w:pPr>
        <w:spacing w:after="0" w:line="159" w:lineRule="exact"/>
        <w:rPr>
          <w:rFonts w:ascii="Times New Roman" w:cs="Times New Roman" w:eastAsia="Times New Roman" w:hAnsi="Times New Roman"/>
          <w:sz w:val="12"/>
          <w:szCs w:val="12"/>
          <w:color w:val="auto"/>
        </w:rPr>
      </w:pPr>
    </w:p>
    <w:p>
      <w:pPr>
        <w:ind w:left="880" w:hanging="437"/>
        <w:spacing w:after="0" w:line="268" w:lineRule="auto"/>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disclosure is required under the rules, regulations and procedures of the ISA including the exchange of information held by Tonga (through the Tonga Seabed Minerals Authority or otherwise) with the ISA to:</w:t>
      </w:r>
    </w:p>
    <w:p>
      <w:pPr>
        <w:spacing w:after="0" w:line="291" w:lineRule="exact"/>
        <w:rPr>
          <w:rFonts w:ascii="Times New Roman" w:cs="Times New Roman" w:eastAsia="Times New Roman" w:hAnsi="Times New Roman"/>
          <w:sz w:val="12"/>
          <w:szCs w:val="12"/>
          <w:color w:val="auto"/>
        </w:rPr>
      </w:pPr>
    </w:p>
    <w:p>
      <w:pPr>
        <w:ind w:left="1340" w:hanging="451"/>
        <w:spacing w:after="0"/>
        <w:tabs>
          <w:tab w:leader="none" w:pos="1340" w:val="left"/>
        </w:tabs>
        <w:numPr>
          <w:ilvl w:val="1"/>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promote the health and safety of life and property at sea and the protection of the marine environment; or</w:t>
      </w:r>
    </w:p>
    <w:p>
      <w:pPr>
        <w:spacing w:after="0" w:line="159" w:lineRule="exact"/>
        <w:rPr>
          <w:rFonts w:ascii="Times New Roman" w:cs="Times New Roman" w:eastAsia="Times New Roman" w:hAnsi="Times New Roman"/>
          <w:sz w:val="12"/>
          <w:szCs w:val="12"/>
          <w:color w:val="auto"/>
        </w:rPr>
      </w:pPr>
    </w:p>
    <w:p>
      <w:pPr>
        <w:ind w:left="1340" w:hanging="451"/>
        <w:spacing w:after="0"/>
        <w:tabs>
          <w:tab w:leader="none" w:pos="1340" w:val="left"/>
        </w:tabs>
        <w:numPr>
          <w:ilvl w:val="1"/>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facilitate compliance with and enforcement of applicable Laws, including compliance by the Sponsored Party with the applicable ISA Contract;</w:t>
      </w:r>
    </w:p>
    <w:p>
      <w:pPr>
        <w:spacing w:after="0" w:line="159" w:lineRule="exact"/>
        <w:rPr>
          <w:rFonts w:ascii="Times New Roman" w:cs="Times New Roman" w:eastAsia="Times New Roman" w:hAnsi="Times New Roman"/>
          <w:sz w:val="12"/>
          <w:szCs w:val="12"/>
          <w:color w:val="auto"/>
        </w:rPr>
      </w:pPr>
    </w:p>
    <w:p>
      <w:pPr>
        <w:ind w:left="880" w:right="20" w:hanging="437"/>
        <w:spacing w:after="0" w:line="297" w:lineRule="auto"/>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disclosure is made on a confidential basis to a prospective assignee, purchaser, acquiror or financier of the Guarantor or Sponsored Party, or to any other person who proposes to enter into contractual relations with the Guarantor or Sponsored Party;</w:t>
      </w:r>
    </w:p>
    <w:p>
      <w:pPr>
        <w:spacing w:after="0" w:line="104"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the relevant confidential information is in the public domain otherwise than by breach of this Deed by such Party;</w:t>
      </w:r>
    </w:p>
    <w:p>
      <w:pPr>
        <w:spacing w:after="0" w:line="159"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disclosed to such Party by a third party who is not in breach of any undertaking or duty as to confidentiality whether express or implied; or</w:t>
      </w:r>
    </w:p>
    <w:p>
      <w:pPr>
        <w:spacing w:after="0" w:line="159"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that Party can prove that it lawfully possessed prior to obtaining it from the other.</w:t>
      </w:r>
    </w:p>
    <w:p>
      <w:pPr>
        <w:spacing w:after="0" w:line="159" w:lineRule="exact"/>
        <w:rPr>
          <w:sz w:val="20"/>
          <w:szCs w:val="20"/>
          <w:color w:val="auto"/>
        </w:rPr>
      </w:pPr>
    </w:p>
    <w:p>
      <w:pPr>
        <w:jc w:val="both"/>
        <w:ind w:left="440" w:right="20" w:hanging="445"/>
        <w:spacing w:after="0" w:line="278" w:lineRule="auto"/>
        <w:tabs>
          <w:tab w:leader="none" w:pos="420" w:val="left"/>
        </w:tabs>
        <w:rPr>
          <w:sz w:val="20"/>
          <w:szCs w:val="20"/>
          <w:color w:val="auto"/>
        </w:rPr>
      </w:pPr>
      <w:r>
        <w:rPr>
          <w:rFonts w:ascii="Times New Roman" w:cs="Times New Roman" w:eastAsia="Times New Roman" w:hAnsi="Times New Roman"/>
          <w:sz w:val="12"/>
          <w:szCs w:val="12"/>
          <w:color w:val="auto"/>
        </w:rPr>
        <w:t>10.3</w:t>
      </w:r>
      <w:r>
        <w:rPr>
          <w:sz w:val="20"/>
          <w:szCs w:val="20"/>
          <w:color w:val="auto"/>
        </w:rPr>
        <w:tab/>
      </w:r>
      <w:r>
        <w:rPr>
          <w:rFonts w:ascii="Times New Roman" w:cs="Times New Roman" w:eastAsia="Times New Roman" w:hAnsi="Times New Roman"/>
          <w:sz w:val="12"/>
          <w:szCs w:val="12"/>
          <w:color w:val="auto"/>
        </w:rPr>
        <w:t>If a Party becomes required, in circumstances contemplated by clause 10.2, to disclose any information such Party must, to the extent permitted by applicable Law, give to the other Party such notice as is practical in the circumstances of such disclosure and must co-operate with the other Party, having due regard to the other Party's views, and take such steps as the other Party may reasonably require in order to enable it to mitigate the effects of, or avoid the requirements for, any such disclosure.</w:t>
      </w: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15240</wp:posOffset>
            </wp:positionV>
            <wp:extent cx="717486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080"/>
          </w:cols>
          <w:pgMar w:left="520" w:top="666" w:right="299" w:bottom="1440" w:gutter="0" w:footer="0" w:header="0"/>
        </w:sectPr>
      </w:pPr>
    </w:p>
    <w:bookmarkStart w:id="69" w:name="page70"/>
    <w:bookmarkEnd w:id="69"/>
    <w:p>
      <w:pPr>
        <w:ind w:left="226"/>
        <w:spacing w:after="0"/>
        <w:rPr>
          <w:sz w:val="20"/>
          <w:szCs w:val="20"/>
          <w:color w:val="auto"/>
        </w:rPr>
      </w:pPr>
      <w:r>
        <w:rPr>
          <w:rFonts w:ascii="Times New Roman" w:cs="Times New Roman" w:eastAsia="Times New Roman" w:hAnsi="Times New Roman"/>
          <w:sz w:val="12"/>
          <w:szCs w:val="12"/>
          <w:b w:val="1"/>
          <w:bCs w:val="1"/>
          <w:color w:val="auto"/>
        </w:rPr>
        <w:t>Filing of Deed</w:t>
      </w:r>
    </w:p>
    <w:p>
      <w:pPr>
        <w:spacing w:after="0" w:line="161" w:lineRule="exact"/>
        <w:rPr>
          <w:sz w:val="20"/>
          <w:szCs w:val="20"/>
          <w:color w:val="auto"/>
        </w:rPr>
      </w:pPr>
    </w:p>
    <w:p>
      <w:pPr>
        <w:jc w:val="both"/>
        <w:ind w:left="666" w:right="20" w:hanging="445"/>
        <w:spacing w:after="0" w:line="271" w:lineRule="auto"/>
        <w:tabs>
          <w:tab w:leader="none" w:pos="645"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Each Party agrees that if a Party or any of its Affiliates is required to file a copy of this Deed in any public registry, filing system or depository, including, in order to comply with applicable Law, it must notify the other Party of such requirement promptly and the Parties must consult with each other with respect to any proposed redactions to this Deed in compliance with such applicable Law before it is filed in any such registry, filing system or depository. Tonga acknowledges that a copy of this Deed may be publicly filed by the Guarantor under its profile on Electronic Data Gathering, Analysis, and Retrieval Database (“</w:t>
      </w:r>
      <w:r>
        <w:rPr>
          <w:rFonts w:ascii="Times New Roman" w:cs="Times New Roman" w:eastAsia="Times New Roman" w:hAnsi="Times New Roman"/>
          <w:sz w:val="12"/>
          <w:szCs w:val="12"/>
          <w:b w:val="1"/>
          <w:bCs w:val="1"/>
          <w:color w:val="auto"/>
        </w:rPr>
        <w:t>EDGAR</w:t>
      </w:r>
      <w:r>
        <w:rPr>
          <w:rFonts w:ascii="Times New Roman" w:cs="Times New Roman" w:eastAsia="Times New Roman" w:hAnsi="Times New Roman"/>
          <w:sz w:val="12"/>
          <w:szCs w:val="12"/>
          <w:color w:val="auto"/>
        </w:rPr>
        <w:t>”), where required to do so.</w:t>
      </w:r>
    </w:p>
    <w:p>
      <w:pPr>
        <w:spacing w:after="0" w:line="118" w:lineRule="exact"/>
        <w:rPr>
          <w:sz w:val="20"/>
          <w:szCs w:val="20"/>
          <w:color w:val="auto"/>
        </w:rPr>
      </w:pPr>
    </w:p>
    <w:p>
      <w:pPr>
        <w:ind w:left="226" w:hanging="226"/>
        <w:spacing w:after="0"/>
        <w:tabs>
          <w:tab w:leader="none" w:pos="226" w:val="left"/>
        </w:tabs>
        <w:numPr>
          <w:ilvl w:val="0"/>
          <w:numId w:val="1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GOVERNING LAW</w:t>
      </w:r>
    </w:p>
    <w:p>
      <w:pPr>
        <w:spacing w:after="0" w:line="159"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11.1This Deed and any non-contractual obligations arising out of or in connection with it will be governed by and construed in accordance with the laws of Republic of Singapore (“</w:t>
      </w:r>
      <w:r>
        <w:rPr>
          <w:rFonts w:ascii="Times New Roman" w:cs="Times New Roman" w:eastAsia="Times New Roman" w:hAnsi="Times New Roman"/>
          <w:sz w:val="12"/>
          <w:szCs w:val="12"/>
          <w:b w:val="1"/>
          <w:bCs w:val="1"/>
          <w:color w:val="auto"/>
        </w:rPr>
        <w:t>Singapore</w:t>
      </w:r>
      <w:r>
        <w:rPr>
          <w:rFonts w:ascii="Times New Roman" w:cs="Times New Roman" w:eastAsia="Times New Roman" w:hAnsi="Times New Roman"/>
          <w:sz w:val="12"/>
          <w:szCs w:val="12"/>
          <w:color w:val="auto"/>
        </w:rPr>
        <w:t>”).</w:t>
      </w:r>
    </w:p>
    <w:p>
      <w:pPr>
        <w:spacing w:after="0" w:line="159" w:lineRule="exact"/>
        <w:rPr>
          <w:rFonts w:ascii="Times New Roman" w:cs="Times New Roman" w:eastAsia="Times New Roman" w:hAnsi="Times New Roman"/>
          <w:sz w:val="12"/>
          <w:szCs w:val="12"/>
          <w:b w:val="1"/>
          <w:bCs w:val="1"/>
          <w:color w:val="auto"/>
        </w:rPr>
      </w:pPr>
    </w:p>
    <w:p>
      <w:pPr>
        <w:ind w:left="226" w:right="9680" w:hanging="226"/>
        <w:spacing w:after="0" w:line="518" w:lineRule="auto"/>
        <w:tabs>
          <w:tab w:leader="none" w:pos="226" w:val="left"/>
        </w:tabs>
        <w:numPr>
          <w:ilvl w:val="0"/>
          <w:numId w:val="1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DISPUTE RESOLUTION Disputes</w:t>
      </w:r>
    </w:p>
    <w:p>
      <w:pPr>
        <w:spacing w:after="0" w:line="1" w:lineRule="exact"/>
        <w:rPr>
          <w:rFonts w:ascii="Times New Roman" w:cs="Times New Roman" w:eastAsia="Times New Roman" w:hAnsi="Times New Roman"/>
          <w:sz w:val="12"/>
          <w:szCs w:val="12"/>
          <w:b w:val="1"/>
          <w:bCs w:val="1"/>
          <w:color w:val="auto"/>
        </w:rPr>
      </w:pPr>
    </w:p>
    <w:p>
      <w:pPr>
        <w:ind w:left="666" w:hanging="446"/>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12.1If at any time any dispute, difference of opinion or other question arises between Tonga and the Guarantor as to any matter arising under or by virtue of this Deed or as to their respective rights and liabilities in respect thereof then the question must, including whether any matter is subject to arbitration under this clause 12 (</w:t>
      </w:r>
      <w:r>
        <w:rPr>
          <w:rFonts w:ascii="Times New Roman" w:cs="Times New Roman" w:eastAsia="Times New Roman" w:hAnsi="Times New Roman"/>
          <w:sz w:val="12"/>
          <w:szCs w:val="12"/>
          <w:b w:val="1"/>
          <w:bCs w:val="1"/>
          <w:color w:val="auto"/>
        </w:rPr>
        <w:t>“Dispute”</w:t>
      </w:r>
      <w:r>
        <w:rPr>
          <w:rFonts w:ascii="Times New Roman" w:cs="Times New Roman" w:eastAsia="Times New Roman" w:hAnsi="Times New Roman"/>
          <w:sz w:val="12"/>
          <w:szCs w:val="12"/>
          <w:color w:val="auto"/>
        </w:rPr>
        <w:t>), be resolved in accordance with the provisions of this clause 12.</w:t>
      </w:r>
    </w:p>
    <w:p>
      <w:pPr>
        <w:spacing w:after="0" w:line="102"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Dispute Notices and Dispute Representatives</w:t>
      </w:r>
    </w:p>
    <w:p>
      <w:pPr>
        <w:spacing w:after="0" w:line="161" w:lineRule="exact"/>
        <w:rPr>
          <w:rFonts w:ascii="Times New Roman" w:cs="Times New Roman" w:eastAsia="Times New Roman" w:hAnsi="Times New Roman"/>
          <w:sz w:val="12"/>
          <w:szCs w:val="12"/>
          <w:b w:val="1"/>
          <w:bCs w:val="1"/>
          <w:color w:val="auto"/>
        </w:rPr>
      </w:pPr>
    </w:p>
    <w:p>
      <w:pPr>
        <w:ind w:left="666" w:right="20" w:hanging="446"/>
        <w:spacing w:after="0" w:line="27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12.2In the event of any Dispute between the Parties, a Party may give to the other Party a Notice of dispute in writing adequately identifying the matters and the subject of the dispute together with detailed particulars of the dispute. </w:t>
      </w:r>
      <w:r>
        <w:rPr>
          <w:rFonts w:ascii="Times New Roman" w:cs="Times New Roman" w:eastAsia="Times New Roman" w:hAnsi="Times New Roman"/>
          <w:sz w:val="12"/>
          <w:szCs w:val="12"/>
          <w:b w:val="1"/>
          <w:bCs w:val="1"/>
          <w:color w:val="auto"/>
        </w:rPr>
        <w:t>(“Dispute Notice”</w:t>
      </w:r>
      <w:r>
        <w:rPr>
          <w:rFonts w:ascii="Times New Roman" w:cs="Times New Roman" w:eastAsia="Times New Roman" w:hAnsi="Times New Roman"/>
          <w:sz w:val="12"/>
          <w:szCs w:val="12"/>
          <w:color w:val="auto"/>
        </w:rPr>
        <w:t>). Notwithstanding anything in this clause 12 the Parties may, by mutual agreement in writing, conduct dispute resolution in any other way or vary the following dispute resolution procedures as they see fit.</w:t>
      </w:r>
    </w:p>
    <w:p>
      <w:pPr>
        <w:spacing w:after="0" w:line="115"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12.3Within [***] days after the service of a Dispute Notice, the Parties must make best efforts to meet at least once, to attempt to resolve the dispute.</w:t>
      </w:r>
    </w:p>
    <w:p>
      <w:pPr>
        <w:spacing w:after="0" w:line="157" w:lineRule="exact"/>
        <w:rPr>
          <w:rFonts w:ascii="Times New Roman" w:cs="Times New Roman" w:eastAsia="Times New Roman" w:hAnsi="Times New Roman"/>
          <w:sz w:val="12"/>
          <w:szCs w:val="12"/>
          <w:b w:val="1"/>
          <w:bCs w:val="1"/>
          <w:color w:val="auto"/>
        </w:rPr>
      </w:pPr>
    </w:p>
    <w:p>
      <w:pPr>
        <w:ind w:left="666" w:right="20" w:hanging="446"/>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12.4If the Dispute is not resolved within [***] Business Days after service of a Dispute Notice, then each Party must nominate one representative to resolve the Dispute (each, a </w:t>
      </w:r>
      <w:r>
        <w:rPr>
          <w:rFonts w:ascii="Times New Roman" w:cs="Times New Roman" w:eastAsia="Times New Roman" w:hAnsi="Times New Roman"/>
          <w:sz w:val="12"/>
          <w:szCs w:val="12"/>
          <w:b w:val="1"/>
          <w:bCs w:val="1"/>
          <w:color w:val="auto"/>
        </w:rPr>
        <w:t>“Dispute Representative”</w:t>
      </w:r>
      <w:r>
        <w:rPr>
          <w:rFonts w:ascii="Times New Roman" w:cs="Times New Roman" w:eastAsia="Times New Roman" w:hAnsi="Times New Roman"/>
          <w:sz w:val="12"/>
          <w:szCs w:val="12"/>
          <w:color w:val="auto"/>
        </w:rPr>
        <w:t>) who must negotiate and use their best endeavours to attain a resolution of the Dispute. If the dispute is resolved at the meeting referred to in this clause then any such resolution must be reduced to writing and will be contractually binding on the Parties.</w:t>
      </w:r>
    </w:p>
    <w:p>
      <w:pPr>
        <w:spacing w:after="0" w:line="113" w:lineRule="exact"/>
        <w:rPr>
          <w:rFonts w:ascii="Times New Roman" w:cs="Times New Roman" w:eastAsia="Times New Roman" w:hAnsi="Times New Roman"/>
          <w:sz w:val="12"/>
          <w:szCs w:val="12"/>
          <w:b w:val="1"/>
          <w:bCs w:val="1"/>
          <w:color w:val="auto"/>
        </w:rPr>
      </w:pPr>
    </w:p>
    <w:p>
      <w:pPr>
        <w:ind w:left="22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Arbitration</w:t>
      </w:r>
    </w:p>
    <w:p>
      <w:pPr>
        <w:spacing w:after="0" w:line="161" w:lineRule="exact"/>
        <w:rPr>
          <w:rFonts w:ascii="Times New Roman" w:cs="Times New Roman" w:eastAsia="Times New Roman" w:hAnsi="Times New Roman"/>
          <w:sz w:val="12"/>
          <w:szCs w:val="12"/>
          <w:b w:val="1"/>
          <w:bCs w:val="1"/>
          <w:color w:val="auto"/>
        </w:rPr>
      </w:pPr>
    </w:p>
    <w:p>
      <w:pPr>
        <w:ind w:left="666" w:right="20" w:hanging="446"/>
        <w:spacing w:after="0" w:line="29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12.5If a Dispute has not been resolved by the Dispute Representatives under clause 12.4 within [***] Business Days of the date of referral of the Dispute to the Dispute Representatives or such longer period of time as agreed by the Parties, then the Dispute shall be submitted to arbitration for final resolution in accordance with the remaining provisions of this clause.</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486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6"/>
          </w:cols>
          <w:pgMar w:left="294" w:top="664" w:right="299" w:bottom="1440" w:gutter="0" w:footer="0" w:header="0"/>
        </w:sectPr>
      </w:pPr>
    </w:p>
    <w:bookmarkStart w:id="70" w:name="page71"/>
    <w:bookmarkEnd w:id="70"/>
    <w:p>
      <w:pPr>
        <w:spacing w:after="0"/>
        <w:tabs>
          <w:tab w:leader="none" w:pos="420" w:val="left"/>
        </w:tabs>
        <w:rPr>
          <w:sz w:val="20"/>
          <w:szCs w:val="20"/>
          <w:color w:val="auto"/>
        </w:rPr>
      </w:pPr>
      <w:r>
        <w:rPr>
          <w:rFonts w:ascii="Times New Roman" w:cs="Times New Roman" w:eastAsia="Times New Roman" w:hAnsi="Times New Roman"/>
          <w:sz w:val="12"/>
          <w:szCs w:val="12"/>
          <w:color w:val="auto"/>
        </w:rPr>
        <w:t>12.6</w:t>
      </w:r>
      <w:r>
        <w:rPr>
          <w:sz w:val="20"/>
          <w:szCs w:val="20"/>
          <w:color w:val="auto"/>
        </w:rPr>
        <w:tab/>
      </w:r>
      <w:r>
        <w:rPr>
          <w:rFonts w:ascii="Times New Roman" w:cs="Times New Roman" w:eastAsia="Times New Roman" w:hAnsi="Times New Roman"/>
          <w:sz w:val="12"/>
          <w:szCs w:val="12"/>
          <w:color w:val="auto"/>
        </w:rPr>
        <w:t>The Parties consent and agree that:</w:t>
      </w:r>
    </w:p>
    <w:p>
      <w:pPr>
        <w:spacing w:after="0" w:line="159" w:lineRule="exact"/>
        <w:rPr>
          <w:sz w:val="20"/>
          <w:szCs w:val="20"/>
          <w:color w:val="auto"/>
        </w:rPr>
      </w:pPr>
    </w:p>
    <w:p>
      <w:pPr>
        <w:ind w:left="880" w:hanging="437"/>
        <w:spacing w:after="0"/>
        <w:tabs>
          <w:tab w:leader="none" w:pos="8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Dispute will be finally resolved by arbitration conducted in accordance with the then current UNCITRAL Arbitration Rules;</w:t>
      </w:r>
    </w:p>
    <w:p>
      <w:pPr>
        <w:spacing w:after="0" w:line="159"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seat of the arbitration will be Singapore, Singapore, and the language of the arbitration will be English;</w:t>
      </w:r>
    </w:p>
    <w:p>
      <w:pPr>
        <w:spacing w:after="0" w:line="159" w:lineRule="exact"/>
        <w:rPr>
          <w:rFonts w:ascii="Times New Roman" w:cs="Times New Roman" w:eastAsia="Times New Roman" w:hAnsi="Times New Roman"/>
          <w:sz w:val="12"/>
          <w:szCs w:val="12"/>
          <w:color w:val="auto"/>
        </w:rPr>
      </w:pPr>
    </w:p>
    <w:p>
      <w:pPr>
        <w:ind w:left="880" w:right="20" w:hanging="437"/>
        <w:spacing w:after="0" w:line="297" w:lineRule="auto"/>
        <w:tabs>
          <w:tab w:leader="none" w:pos="8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arbitral proceedings and any arbitral award will be private and confidential and may be attended only by the arbitrators, the Parties and their representatives, and witnesses to the extent they are testifying in the proceedings;</w:t>
      </w:r>
    </w:p>
    <w:p>
      <w:pPr>
        <w:spacing w:after="0" w:line="104" w:lineRule="exact"/>
        <w:rPr>
          <w:rFonts w:ascii="Times New Roman" w:cs="Times New Roman" w:eastAsia="Times New Roman" w:hAnsi="Times New Roman"/>
          <w:sz w:val="12"/>
          <w:szCs w:val="12"/>
          <w:color w:val="auto"/>
        </w:rPr>
      </w:pPr>
    </w:p>
    <w:p>
      <w:pPr>
        <w:jc w:val="both"/>
        <w:ind w:left="880" w:hanging="437"/>
        <w:spacing w:after="0" w:line="278" w:lineRule="auto"/>
        <w:tabs>
          <w:tab w:leader="none" w:pos="8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Dispute will be heard and determined by three (3) arbitrators, with each of the Parties selecting one arbitrator, and the third arbitrator being appointed by the arbitral tribunal’s president. The selected arbitrators must be impartial and a disinterested person who has no connection with either Party or the performance of this Deed or the Sponsorship Agreement, must be qualified by education, training and experience to hear and determine matters in the nature of the Dispute;</w:t>
      </w:r>
    </w:p>
    <w:p>
      <w:pPr>
        <w:spacing w:after="0" w:line="113" w:lineRule="exact"/>
        <w:rPr>
          <w:rFonts w:ascii="Times New Roman" w:cs="Times New Roman" w:eastAsia="Times New Roman" w:hAnsi="Times New Roman"/>
          <w:sz w:val="12"/>
          <w:szCs w:val="12"/>
          <w:color w:val="auto"/>
        </w:rPr>
      </w:pPr>
    </w:p>
    <w:p>
      <w:pPr>
        <w:ind w:left="880" w:right="20" w:hanging="437"/>
        <w:spacing w:after="0" w:line="300" w:lineRule="auto"/>
        <w:tabs>
          <w:tab w:leader="none" w:pos="8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does not select an arbitrator, that arbitrator will be selected and appointed by the International Chamber of Commerce (“</w:t>
      </w:r>
      <w:r>
        <w:rPr>
          <w:rFonts w:ascii="Times New Roman" w:cs="Times New Roman" w:eastAsia="Times New Roman" w:hAnsi="Times New Roman"/>
          <w:sz w:val="12"/>
          <w:szCs w:val="12"/>
          <w:b w:val="1"/>
          <w:bCs w:val="1"/>
          <w:color w:val="auto"/>
        </w:rPr>
        <w:t>ICC</w:t>
      </w:r>
      <w:r>
        <w:rPr>
          <w:rFonts w:ascii="Times New Roman" w:cs="Times New Roman" w:eastAsia="Times New Roman" w:hAnsi="Times New Roman"/>
          <w:sz w:val="12"/>
          <w:szCs w:val="12"/>
          <w:color w:val="auto"/>
        </w:rPr>
        <w:t>”) as the appointing authority in accordance with the then current ICC Rules for this purpose;</w:t>
      </w:r>
    </w:p>
    <w:p>
      <w:pPr>
        <w:spacing w:after="0" w:line="103"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arbitrators may determine all questions of law and jurisdiction (including questions as to whether or not a Dispute is arbitrable) and all matters of procedure relating to the arbitration;</w:t>
      </w:r>
    </w:p>
    <w:p>
      <w:pPr>
        <w:spacing w:after="0" w:line="159" w:lineRule="exact"/>
        <w:rPr>
          <w:rFonts w:ascii="Times New Roman" w:cs="Times New Roman" w:eastAsia="Times New Roman" w:hAnsi="Times New Roman"/>
          <w:sz w:val="12"/>
          <w:szCs w:val="12"/>
          <w:color w:val="auto"/>
        </w:rPr>
      </w:pPr>
    </w:p>
    <w:p>
      <w:pPr>
        <w:ind w:left="880" w:right="20" w:hanging="437"/>
        <w:spacing w:after="0" w:line="297" w:lineRule="auto"/>
        <w:tabs>
          <w:tab w:leader="none" w:pos="8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award or determination of the arbitrators will be final and binding upon the Parties in respect of all matters relating to the arbitration, the procedure, the conduct of the Parties during the proceedings and the final determination of the issues in the arbitration;</w:t>
      </w:r>
    </w:p>
    <w:p>
      <w:pPr>
        <w:spacing w:after="0" w:line="104" w:lineRule="exact"/>
        <w:rPr>
          <w:rFonts w:ascii="Times New Roman" w:cs="Times New Roman" w:eastAsia="Times New Roman" w:hAnsi="Times New Roman"/>
          <w:sz w:val="12"/>
          <w:szCs w:val="12"/>
          <w:color w:val="auto"/>
        </w:rPr>
      </w:pPr>
    </w:p>
    <w:p>
      <w:pPr>
        <w:ind w:left="880" w:hanging="437"/>
        <w:spacing w:after="0"/>
        <w:tabs>
          <w:tab w:leader="none" w:pos="8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will be no appeal from any award or determination of the arbitrators to any court and judgment on any arbitral award may be entered in any court of competent jurisdiction.</w:t>
      </w:r>
    </w:p>
    <w:p>
      <w:pPr>
        <w:spacing w:after="0" w:line="157" w:lineRule="exact"/>
        <w:rPr>
          <w:sz w:val="20"/>
          <w:szCs w:val="20"/>
          <w:color w:val="auto"/>
        </w:rPr>
      </w:pPr>
    </w:p>
    <w:p>
      <w:pPr>
        <w:jc w:val="both"/>
        <w:ind w:left="440" w:hanging="445"/>
        <w:spacing w:after="0" w:line="272" w:lineRule="auto"/>
        <w:tabs>
          <w:tab w:leader="none" w:pos="420" w:val="left"/>
        </w:tabs>
        <w:rPr>
          <w:sz w:val="20"/>
          <w:szCs w:val="20"/>
          <w:color w:val="auto"/>
        </w:rPr>
      </w:pPr>
      <w:r>
        <w:rPr>
          <w:rFonts w:ascii="Times New Roman" w:cs="Times New Roman" w:eastAsia="Times New Roman" w:hAnsi="Times New Roman"/>
          <w:sz w:val="12"/>
          <w:szCs w:val="12"/>
          <w:color w:val="auto"/>
        </w:rPr>
        <w:t>12.7</w:t>
      </w:r>
      <w:r>
        <w:rPr>
          <w:sz w:val="20"/>
          <w:szCs w:val="20"/>
          <w:color w:val="auto"/>
        </w:rPr>
        <w:tab/>
      </w:r>
      <w:r>
        <w:rPr>
          <w:rFonts w:ascii="Times New Roman" w:cs="Times New Roman" w:eastAsia="Times New Roman" w:hAnsi="Times New Roman"/>
          <w:sz w:val="12"/>
          <w:szCs w:val="12"/>
          <w:color w:val="auto"/>
        </w:rPr>
        <w:t>If any arbitral proceedings have already been commenced under this Deed or the Act or the applicable Sponsorship Agreement (a "</w:t>
      </w:r>
      <w:r>
        <w:rPr>
          <w:rFonts w:ascii="Times New Roman" w:cs="Times New Roman" w:eastAsia="Times New Roman" w:hAnsi="Times New Roman"/>
          <w:sz w:val="12"/>
          <w:szCs w:val="12"/>
          <w:b w:val="1"/>
          <w:bCs w:val="1"/>
          <w:color w:val="auto"/>
        </w:rPr>
        <w:t>Pre-Existing Arbitration"</w:t>
      </w:r>
      <w:r>
        <w:rPr>
          <w:rFonts w:ascii="Times New Roman" w:cs="Times New Roman" w:eastAsia="Times New Roman" w:hAnsi="Times New Roman"/>
          <w:sz w:val="12"/>
          <w:szCs w:val="12"/>
          <w:color w:val="auto"/>
        </w:rPr>
        <w:t>), and a Party to this Deed contends that a dispute has arisen relating to issues which are substantially related to or involve the same parties as issues to be determined in a Pre-Existing Arbitration, then that Party may seek to refer the dispute to the arbitral tribunal in the Pre-Existing Arbitration. The Parties agree that the arbitral tribunal in the Pre-Existing Arbitration will have the discretion, taking into account the interests of justice and efficiency, the stage of the proceedings and all other relevant circumstances, to determine the dispute in the Pre-Existing Arbitration upon such terms and conditions as the arbitral tribunal thinks fit.</w:t>
      </w:r>
    </w:p>
    <w:p>
      <w:pPr>
        <w:spacing w:after="0" w:line="120" w:lineRule="exact"/>
        <w:rPr>
          <w:sz w:val="20"/>
          <w:szCs w:val="20"/>
          <w:color w:val="auto"/>
        </w:rPr>
      </w:pPr>
    </w:p>
    <w:p>
      <w:pPr>
        <w:jc w:val="both"/>
        <w:ind w:left="440" w:right="2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12.8</w:t>
      </w:r>
      <w:r>
        <w:rPr>
          <w:sz w:val="20"/>
          <w:szCs w:val="20"/>
          <w:color w:val="auto"/>
        </w:rPr>
        <w:tab/>
      </w:r>
      <w:r>
        <w:rPr>
          <w:rFonts w:ascii="Times New Roman" w:cs="Times New Roman" w:eastAsia="Times New Roman" w:hAnsi="Times New Roman"/>
          <w:sz w:val="12"/>
          <w:szCs w:val="12"/>
          <w:color w:val="auto"/>
        </w:rPr>
        <w:t>Notwithstanding anything in this clause 12, either Party may apply to a court of competent jurisdiction for an interim measure of protection, or for any order for equitable relief explicitly provided for in this Deed which the arbitrator does not have the jurisdiction to grant.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Performance of Obligations During Dispute</w:t>
      </w:r>
    </w:p>
    <w:p>
      <w:pPr>
        <w:spacing w:after="0" w:line="161" w:lineRule="exact"/>
        <w:rPr>
          <w:sz w:val="20"/>
          <w:szCs w:val="20"/>
          <w:color w:val="auto"/>
        </w:rPr>
      </w:pPr>
    </w:p>
    <w:p>
      <w:pPr>
        <w:jc w:val="both"/>
        <w:ind w:left="440" w:right="20" w:hanging="445"/>
        <w:spacing w:after="0" w:line="297" w:lineRule="auto"/>
        <w:tabs>
          <w:tab w:leader="none" w:pos="420" w:val="left"/>
        </w:tabs>
        <w:rPr>
          <w:sz w:val="20"/>
          <w:szCs w:val="20"/>
          <w:color w:val="auto"/>
        </w:rPr>
      </w:pPr>
      <w:r>
        <w:rPr>
          <w:rFonts w:ascii="Times New Roman" w:cs="Times New Roman" w:eastAsia="Times New Roman" w:hAnsi="Times New Roman"/>
          <w:sz w:val="12"/>
          <w:szCs w:val="12"/>
          <w:color w:val="auto"/>
        </w:rPr>
        <w:t>12.9</w:t>
      </w:r>
      <w:r>
        <w:rPr>
          <w:sz w:val="20"/>
          <w:szCs w:val="20"/>
          <w:color w:val="auto"/>
        </w:rPr>
        <w:tab/>
      </w:r>
      <w:r>
        <w:rPr>
          <w:rFonts w:ascii="Times New Roman" w:cs="Times New Roman" w:eastAsia="Times New Roman" w:hAnsi="Times New Roman"/>
          <w:sz w:val="12"/>
          <w:szCs w:val="12"/>
          <w:color w:val="auto"/>
        </w:rPr>
        <w:t>To the extent permitted by the nature of the Dispute, during the existence of any Dispute the Parties must continue to perform their respective obligations under the Act or terms of the Sponsorship Agreement without prejudice to their position in respect of such Dispute, unless the Parties otherwise agree.</w:t>
      </w:r>
    </w:p>
    <w:p>
      <w:pPr>
        <w:spacing w:after="0" w:line="10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[Signature Page Follows]</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15240</wp:posOffset>
            </wp:positionV>
            <wp:extent cx="717486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080"/>
          </w:cols>
          <w:pgMar w:left="520" w:top="666"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b w:val="1"/>
          <w:bCs w:val="1"/>
          <w:color w:val="auto"/>
        </w:rPr>
        <w:t xml:space="preserve">IN WITNESS WHEREOF </w:t>
      </w:r>
      <w:r>
        <w:rPr>
          <w:rFonts w:ascii="Times New Roman" w:cs="Times New Roman" w:eastAsia="Times New Roman" w:hAnsi="Times New Roman"/>
          <w:sz w:val="12"/>
          <w:szCs w:val="12"/>
          <w:color w:val="auto"/>
        </w:rPr>
        <w:t>this Deed of Guarantee has been executed as a</w:t>
      </w:r>
      <w:r>
        <w:rPr>
          <w:rFonts w:ascii="Times New Roman" w:cs="Times New Roman" w:eastAsia="Times New Roman" w:hAnsi="Times New Roman"/>
          <w:sz w:val="12"/>
          <w:szCs w:val="12"/>
          <w:b w:val="1"/>
          <w:bCs w:val="1"/>
          <w:color w:val="auto"/>
        </w:rPr>
        <w:t xml:space="preserve"> DEED </w:t>
      </w:r>
      <w:r>
        <w:rPr>
          <w:rFonts w:ascii="Times New Roman" w:cs="Times New Roman" w:eastAsia="Times New Roman" w:hAnsi="Times New Roman"/>
          <w:sz w:val="12"/>
          <w:szCs w:val="12"/>
          <w:color w:val="auto"/>
        </w:rPr>
        <w:t>and delivered on the date first above written.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EXECUTED </w:t>
      </w:r>
      <w:r>
        <w:rPr>
          <w:rFonts w:ascii="Times New Roman" w:cs="Times New Roman" w:eastAsia="Times New Roman" w:hAnsi="Times New Roman"/>
          <w:sz w:val="12"/>
          <w:szCs w:val="12"/>
          <w:color w:val="auto"/>
        </w:rPr>
        <w:t>as a</w:t>
      </w:r>
      <w:r>
        <w:rPr>
          <w:rFonts w:ascii="Times New Roman" w:cs="Times New Roman" w:eastAsia="Times New Roman" w:hAnsi="Times New Roman"/>
          <w:sz w:val="12"/>
          <w:szCs w:val="12"/>
          <w:b w:val="1"/>
          <w:bCs w:val="1"/>
          <w:color w:val="auto"/>
        </w:rPr>
        <w:t xml:space="preserve"> DEED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and on behalf of</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METALS COMPANY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acting by a director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337502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75025" cy="57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the presence 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Witness: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Witness: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 of Witness: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Occupation of Witness:</w:t>
      </w:r>
    </w:p>
    <w:p>
      <w:pPr>
        <w:spacing w:after="0" w:line="157"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2"/>
          <w:szCs w:val="12"/>
          <w:b w:val="1"/>
          <w:bCs w:val="1"/>
          <w:color w:val="auto"/>
        </w:rPr>
        <w:t xml:space="preserve">THE SEAL of THE KINGDOM OF TONGA </w:t>
      </w:r>
      <w:r>
        <w:rPr>
          <w:rFonts w:ascii="Times New Roman" w:cs="Times New Roman" w:eastAsia="Times New Roman" w:hAnsi="Times New Roman"/>
          <w:sz w:val="12"/>
          <w:szCs w:val="12"/>
          <w:color w:val="auto"/>
        </w:rPr>
        <w:t>hereunto affixed is authenticated by the Hon. Dr. ‘Uhilamoelangi Fasi, Minister responsible for Seabed Minerals, acting for and on behalf of the Government of the Kingdom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Tonga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'Uhilamoelangi Fasi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337502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75025" cy="5715"/>
                    </a:xfrm>
                    <a:prstGeom prst="rect">
                      <a:avLst/>
                    </a:prstGeom>
                    <a:noFill/>
                  </pic:spPr>
                </pic:pic>
              </a:graphicData>
            </a:graphic>
          </wp:anchor>
        </w:drawing>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15240</wp:posOffset>
            </wp:positionV>
            <wp:extent cx="717486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080"/>
          </w:cols>
          <w:pgMar w:left="520" w:top="664" w:right="299" w:bottom="1440" w:gutter="0" w:footer="0" w:header="0"/>
        </w:sectPr>
      </w:pPr>
    </w:p>
    <w:bookmarkStart w:id="72" w:name="page73"/>
    <w:bookmarkEnd w:id="72"/>
    <w:p>
      <w:pPr>
        <w:ind w:left="95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16510</wp:posOffset>
            </wp:positionV>
            <wp:extent cx="6939280" cy="512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39280" cy="512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234315</wp:posOffset>
            </wp:positionH>
            <wp:positionV relativeFrom="page">
              <wp:posOffset>88900</wp:posOffset>
            </wp:positionV>
            <wp:extent cx="6939280" cy="512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39280" cy="512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375920</wp:posOffset>
            </wp:positionH>
            <wp:positionV relativeFrom="page">
              <wp:posOffset>88900</wp:posOffset>
            </wp:positionV>
            <wp:extent cx="6797675" cy="4973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97675" cy="4973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decimal"/>
      <w:start w:val="1"/>
    </w:lvl>
    <w:lvl w:ilvl="1">
      <w:lvlJc w:val="left"/>
      <w:lvlText w:val="%2)"/>
      <w:numFmt w:val="lowerLetter"/>
      <w:start w:val="1"/>
    </w:lvl>
  </w:abstractNum>
  <w:abstractNum w:abstractNumId="3">
    <w:nsid w:val="799D0247"/>
    <w:multiLevelType w:val="hybridMultilevel"/>
    <w:lvl w:ilvl="0">
      <w:lvlJc w:val="left"/>
      <w:lvlText w:val="(%1)"/>
      <w:numFmt w:val="decimal"/>
      <w:start w:val="3"/>
    </w:lvl>
    <w:lvl w:ilvl="1">
      <w:lvlJc w:val="left"/>
      <w:lvlText w:val="%2)"/>
      <w:numFmt w:val="lowerLetter"/>
      <w:start w:val="2"/>
    </w:lvl>
  </w:abstractNum>
  <w:abstractNum w:abstractNumId="4">
    <w:nsid w:val="6B94764"/>
    <w:multiLevelType w:val="hybridMultilevel"/>
    <w:lvl w:ilvl="0">
      <w:lvlJc w:val="left"/>
      <w:lvlText w:val="%1)"/>
      <w:numFmt w:val="lowerLetter"/>
      <w:start w:val="3"/>
    </w:lvl>
  </w:abstractNum>
  <w:abstractNum w:abstractNumId="5">
    <w:nsid w:val="42C296BD"/>
    <w:multiLevelType w:val="hybridMultilevel"/>
    <w:lvl w:ilvl="0">
      <w:lvlJc w:val="left"/>
      <w:lvlText w:val="%1)"/>
      <w:numFmt w:val="lowerLetter"/>
      <w:start w:val="1"/>
    </w:lvl>
  </w:abstractNum>
  <w:abstractNum w:abstractNumId="6">
    <w:nsid w:val="168E121F"/>
    <w:multiLevelType w:val="hybridMultilevel"/>
    <w:lvl w:ilvl="0">
      <w:lvlJc w:val="left"/>
      <w:lvlText w:val="%1)"/>
      <w:numFmt w:val="lowerLetter"/>
      <w:start w:val="4"/>
    </w:lvl>
    <w:lvl w:ilvl="1">
      <w:lvlJc w:val="left"/>
      <w:lvlText w:val="(%2)"/>
      <w:numFmt w:val="upperLetter"/>
      <w:start w:val="4"/>
    </w:lvl>
    <w:lvl w:ilvl="2">
      <w:lvlJc w:val="left"/>
      <w:lvlText w:val="%3."/>
      <w:numFmt w:val="lowerRoman"/>
      <w:start w:val="1"/>
    </w:lvl>
  </w:abstractNum>
  <w:abstractNum w:abstractNumId="7">
    <w:nsid w:val="1EBA5D23"/>
    <w:multiLevelType w:val="hybridMultilevel"/>
    <w:lvl w:ilvl="0">
      <w:lvlJc w:val="left"/>
      <w:lvlText w:val="%1)"/>
      <w:numFmt w:val="lowerLetter"/>
      <w:start w:val="1"/>
    </w:lvl>
  </w:abstractNum>
  <w:abstractNum w:abstractNumId="8">
    <w:nsid w:val="661E3F1E"/>
    <w:multiLevelType w:val="hybridMultilevel"/>
    <w:lvl w:ilvl="0">
      <w:lvlJc w:val="left"/>
      <w:lvlText w:val="%1)"/>
      <w:numFmt w:val="lowerLetter"/>
      <w:start w:val="5"/>
    </w:lvl>
  </w:abstractNum>
  <w:abstractNum w:abstractNumId="9">
    <w:nsid w:val="5DC79EA8"/>
    <w:multiLevelType w:val="hybridMultilevel"/>
    <w:lvl w:ilvl="0">
      <w:lvlJc w:val="left"/>
      <w:lvlText w:val="%1)"/>
      <w:numFmt w:val="lowerLetter"/>
      <w:start w:val="1"/>
    </w:lvl>
  </w:abstractNum>
  <w:abstractNum w:abstractNumId="10">
    <w:nsid w:val="540A471C"/>
    <w:multiLevelType w:val="hybridMultilevel"/>
    <w:lvl w:ilvl="0">
      <w:lvlJc w:val="left"/>
      <w:lvlText w:val="%1)"/>
      <w:numFmt w:val="lowerLetter"/>
      <w:start w:val="2"/>
    </w:lvl>
  </w:abstractNum>
  <w:abstractNum w:abstractNumId="11">
    <w:nsid w:val="7BD3EE7B"/>
    <w:multiLevelType w:val="hybridMultilevel"/>
    <w:lvl w:ilvl="0">
      <w:lvlJc w:val="left"/>
      <w:lvlText w:val="%1)"/>
      <w:numFmt w:val="lowerLetter"/>
      <w:start w:val="5"/>
    </w:lvl>
  </w:abstractNum>
  <w:abstractNum w:abstractNumId="12">
    <w:nsid w:val="51D9C564"/>
    <w:multiLevelType w:val="hybridMultilevel"/>
    <w:lvl w:ilvl="0">
      <w:lvlJc w:val="left"/>
      <w:lvlText w:val="%1)"/>
      <w:numFmt w:val="lowerLetter"/>
      <w:start w:val="9"/>
    </w:lvl>
  </w:abstractNum>
  <w:abstractNum w:abstractNumId="13">
    <w:nsid w:val="613EFDC5"/>
    <w:multiLevelType w:val="hybridMultilevel"/>
    <w:lvl w:ilvl="0">
      <w:lvlJc w:val="left"/>
      <w:lvlText w:val="(%1)"/>
      <w:numFmt w:val="decimal"/>
      <w:start w:val="1"/>
    </w:lvl>
  </w:abstractNum>
  <w:abstractNum w:abstractNumId="14">
    <w:nsid w:val="BF72B14"/>
    <w:multiLevelType w:val="hybridMultilevel"/>
    <w:lvl w:ilvl="0">
      <w:lvlJc w:val="left"/>
      <w:lvlText w:val="H"/>
      <w:numFmt w:val="bullet"/>
      <w:start w:val="1"/>
    </w:lvl>
  </w:abstractNum>
  <w:abstractNum w:abstractNumId="15">
    <w:nsid w:val="11447B73"/>
    <w:multiLevelType w:val="hybridMultilevel"/>
    <w:lvl w:ilvl="0">
      <w:lvlJc w:val="left"/>
      <w:lvlText w:val="I"/>
      <w:numFmt w:val="bullet"/>
      <w:start w:val="1"/>
    </w:lvl>
  </w:abstractNum>
  <w:abstractNum w:abstractNumId="16">
    <w:nsid w:val="42963E5A"/>
    <w:multiLevelType w:val="hybridMultilevel"/>
    <w:lvl w:ilvl="0">
      <w:lvlJc w:val="left"/>
      <w:lvlText w:val="J"/>
      <w:numFmt w:val="bullet"/>
      <w:start w:val="1"/>
    </w:lvl>
  </w:abstractNum>
  <w:abstractNum w:abstractNumId="17">
    <w:nsid w:val="A0382C5"/>
    <w:multiLevelType w:val="hybridMultilevel"/>
    <w:lvl w:ilvl="0">
      <w:lvlJc w:val="left"/>
      <w:lvlText w:val="%1."/>
      <w:numFmt w:val="decimal"/>
      <w:start w:val="1"/>
    </w:lvl>
  </w:abstractNum>
  <w:abstractNum w:abstractNumId="18">
    <w:nsid w:val="8F2B15E"/>
    <w:multiLevelType w:val="hybridMultilevel"/>
    <w:lvl w:ilvl="0">
      <w:lvlJc w:val="left"/>
      <w:lvlText w:val="%1."/>
      <w:numFmt w:val="decimal"/>
      <w:start w:val="2"/>
    </w:lvl>
  </w:abstractNum>
  <w:abstractNum w:abstractNumId="19">
    <w:nsid w:val="1A32234B"/>
    <w:multiLevelType w:val="hybridMultilevel"/>
    <w:lvl w:ilvl="0">
      <w:lvlJc w:val="left"/>
      <w:lvlText w:val="(%1)"/>
      <w:numFmt w:val="lowerLetter"/>
      <w:start w:val="1"/>
    </w:lvl>
  </w:abstractNum>
  <w:abstractNum w:abstractNumId="20">
    <w:nsid w:val="3B0FD379"/>
    <w:multiLevelType w:val="hybridMultilevel"/>
    <w:lvl w:ilvl="0">
      <w:lvlJc w:val="left"/>
      <w:lvlText w:val="%1."/>
      <w:numFmt w:val="decimal"/>
      <w:start w:val="3"/>
    </w:lvl>
  </w:abstractNum>
  <w:abstractNum w:abstractNumId="21">
    <w:nsid w:val="68EB2F63"/>
    <w:multiLevelType w:val="hybridMultilevel"/>
    <w:lvl w:ilvl="0">
      <w:lvlJc w:val="left"/>
      <w:lvlText w:val="(%1)"/>
      <w:numFmt w:val="lowerLetter"/>
      <w:start w:val="1"/>
    </w:lvl>
  </w:abstractNum>
  <w:abstractNum w:abstractNumId="22">
    <w:nsid w:val="4962813B"/>
    <w:multiLevelType w:val="hybridMultilevel"/>
    <w:lvl w:ilvl="0">
      <w:lvlJc w:val="left"/>
      <w:lvlText w:val="(%1)"/>
      <w:numFmt w:val="lowerLetter"/>
      <w:start w:val="1"/>
    </w:lvl>
  </w:abstractNum>
  <w:abstractNum w:abstractNumId="23">
    <w:nsid w:val="60B6DF70"/>
    <w:multiLevelType w:val="hybridMultilevel"/>
    <w:lvl w:ilvl="0">
      <w:lvlJc w:val="left"/>
      <w:lvlText w:val="%1."/>
      <w:numFmt w:val="decimal"/>
      <w:start w:val="4"/>
    </w:lvl>
  </w:abstractNum>
  <w:abstractNum w:abstractNumId="24">
    <w:nsid w:val="6A5EE64"/>
    <w:multiLevelType w:val="hybridMultilevel"/>
    <w:lvl w:ilvl="0">
      <w:lvlJc w:val="left"/>
      <w:lvlText w:val="(%1)"/>
      <w:numFmt w:val="lowerLetter"/>
      <w:start w:val="1"/>
    </w:lvl>
  </w:abstractNum>
  <w:abstractNum w:abstractNumId="25">
    <w:nsid w:val="14330624"/>
    <w:multiLevelType w:val="hybridMultilevel"/>
    <w:lvl w:ilvl="0">
      <w:lvlJc w:val="left"/>
      <w:lvlText w:val="%1."/>
      <w:numFmt w:val="decimal"/>
      <w:start w:val="5"/>
    </w:lvl>
  </w:abstractNum>
  <w:abstractNum w:abstractNumId="26">
    <w:nsid w:val="7FFFCA11"/>
    <w:multiLevelType w:val="hybridMultilevel"/>
    <w:lvl w:ilvl="0">
      <w:lvlJc w:val="left"/>
      <w:lvlText w:val="%1."/>
      <w:numFmt w:val="decimal"/>
      <w:start w:val="6"/>
    </w:lvl>
  </w:abstractNum>
  <w:abstractNum w:abstractNumId="27">
    <w:nsid w:val="1A27709E"/>
    <w:multiLevelType w:val="hybridMultilevel"/>
    <w:lvl w:ilvl="0">
      <w:lvlJc w:val="left"/>
      <w:lvlText w:val="(%1)"/>
      <w:numFmt w:val="lowerRoman"/>
      <w:start w:val="1"/>
    </w:lvl>
  </w:abstractNum>
  <w:abstractNum w:abstractNumId="28">
    <w:nsid w:val="71EA1109"/>
    <w:multiLevelType w:val="hybridMultilevel"/>
    <w:lvl w:ilvl="0">
      <w:lvlJc w:val="left"/>
      <w:lvlText w:val="%1."/>
      <w:numFmt w:val="decimal"/>
      <w:start w:val="7"/>
    </w:lvl>
  </w:abstractNum>
  <w:abstractNum w:abstractNumId="29">
    <w:nsid w:val="100F59DC"/>
    <w:multiLevelType w:val="hybridMultilevel"/>
    <w:lvl w:ilvl="0">
      <w:lvlJc w:val="left"/>
      <w:lvlText w:val="(%1)"/>
      <w:numFmt w:val="lowerLetter"/>
      <w:start w:val="1"/>
    </w:lvl>
  </w:abstractNum>
  <w:abstractNum w:abstractNumId="30">
    <w:nsid w:val="7FB7E0AA"/>
    <w:multiLevelType w:val="hybridMultilevel"/>
    <w:lvl w:ilvl="0">
      <w:lvlJc w:val="left"/>
      <w:lvlText w:val="%1."/>
      <w:numFmt w:val="decimal"/>
      <w:start w:val="8"/>
    </w:lvl>
  </w:abstractNum>
  <w:abstractNum w:abstractNumId="31">
    <w:nsid w:val="6EB5BD4"/>
    <w:multiLevelType w:val="hybridMultilevel"/>
    <w:lvl w:ilvl="0">
      <w:lvlJc w:val="left"/>
      <w:lvlText w:val="%1."/>
      <w:numFmt w:val="decimal"/>
      <w:start w:val="9"/>
    </w:lvl>
  </w:abstractNum>
  <w:abstractNum w:abstractNumId="32">
    <w:nsid w:val="6F6DD9AC"/>
    <w:multiLevelType w:val="hybridMultilevel"/>
    <w:lvl w:ilvl="0">
      <w:lvlJc w:val="left"/>
      <w:lvlText w:val="(%1)"/>
      <w:numFmt w:val="lowerLetter"/>
      <w:start w:val="1"/>
    </w:lvl>
  </w:abstractNum>
  <w:abstractNum w:abstractNumId="33">
    <w:nsid w:val="94211F2"/>
    <w:multiLevelType w:val="hybridMultilevel"/>
    <w:lvl w:ilvl="0">
      <w:lvlJc w:val="left"/>
      <w:lvlText w:val="(%1)"/>
      <w:numFmt w:val="lowerLetter"/>
      <w:start w:val="7"/>
    </w:lvl>
  </w:abstractNum>
  <w:abstractNum w:abstractNumId="34">
    <w:nsid w:val="885E1B"/>
    <w:multiLevelType w:val="hybridMultilevel"/>
    <w:lvl w:ilvl="0">
      <w:lvlJc w:val="left"/>
      <w:lvlText w:val="%1."/>
      <w:numFmt w:val="decimal"/>
      <w:start w:val="10"/>
    </w:lvl>
  </w:abstractNum>
  <w:abstractNum w:abstractNumId="35">
    <w:nsid w:val="76272110"/>
    <w:multiLevelType w:val="hybridMultilevel"/>
    <w:lvl w:ilvl="0">
      <w:lvlJc w:val="left"/>
      <w:lvlText w:val="(%1)"/>
      <w:numFmt w:val="lowerLetter"/>
      <w:start w:val="1"/>
    </w:lvl>
  </w:abstractNum>
  <w:abstractNum w:abstractNumId="36">
    <w:nsid w:val="4C04A8AF"/>
    <w:multiLevelType w:val="hybridMultilevel"/>
    <w:lvl w:ilvl="0">
      <w:lvlJc w:val="left"/>
      <w:lvlText w:val="%1."/>
      <w:numFmt w:val="decimal"/>
      <w:start w:val="11"/>
    </w:lvl>
  </w:abstractNum>
  <w:abstractNum w:abstractNumId="37">
    <w:nsid w:val="1716703B"/>
    <w:multiLevelType w:val="hybridMultilevel"/>
    <w:lvl w:ilvl="0">
      <w:lvlJc w:val="left"/>
      <w:lvlText w:val="(%1)"/>
      <w:numFmt w:val="lowerLetter"/>
      <w:start w:val="1"/>
    </w:lvl>
  </w:abstractNum>
  <w:abstractNum w:abstractNumId="38">
    <w:nsid w:val="14E17E33"/>
    <w:multiLevelType w:val="hybridMultilevel"/>
    <w:lvl w:ilvl="0">
      <w:lvlJc w:val="left"/>
      <w:lvlText w:val="(%1)"/>
      <w:numFmt w:val="lowerLetter"/>
      <w:start w:val="3"/>
    </w:lvl>
    <w:lvl w:ilvl="1">
      <w:lvlJc w:val="left"/>
      <w:lvlText w:val="(%2)"/>
      <w:numFmt w:val="lowerLetter"/>
      <w:start w:val="9"/>
    </w:lvl>
  </w:abstractNum>
  <w:abstractNum w:abstractNumId="39">
    <w:nsid w:val="3222E7CD"/>
    <w:multiLevelType w:val="hybridMultilevel"/>
    <w:lvl w:ilvl="0">
      <w:lvlJc w:val="left"/>
      <w:lvlText w:val="%1"/>
      <w:numFmt w:val="lowerLetter"/>
      <w:start w:val="1"/>
    </w:lvl>
    <w:lvl w:ilvl="1">
      <w:lvlJc w:val="left"/>
      <w:lvlText w:val="(%2)"/>
      <w:numFmt w:val="lowerLetter"/>
      <w:start w:val="35"/>
    </w:lvl>
  </w:abstractNum>
  <w:abstractNum w:abstractNumId="40">
    <w:nsid w:val="74DE0EE3"/>
    <w:multiLevelType w:val="hybridMultilevel"/>
    <w:lvl w:ilvl="0">
      <w:lvlJc w:val="left"/>
      <w:lvlText w:val="(%1)"/>
      <w:numFmt w:val="lowerLetter"/>
      <w:start w:val="4"/>
    </w:lvl>
    <w:lvl w:ilvl="1">
      <w:lvlJc w:val="left"/>
      <w:lvlText w:val="%2"/>
      <w:numFmt w:val="lowerLetter"/>
      <w:start w:val="1"/>
    </w:lvl>
  </w:abstractNum>
  <w:abstractNum w:abstractNumId="41">
    <w:nsid w:val="68EBC550"/>
    <w:multiLevelType w:val="hybridMultilevel"/>
    <w:lvl w:ilvl="0">
      <w:lvlJc w:val="left"/>
      <w:lvlText w:val="(%1)"/>
      <w:numFmt w:val="lowerLetter"/>
      <w:start w:val="1"/>
    </w:lvl>
  </w:abstractNum>
  <w:abstractNum w:abstractNumId="42">
    <w:nsid w:val="2DF6D648"/>
    <w:multiLevelType w:val="hybridMultilevel"/>
    <w:lvl w:ilvl="0">
      <w:lvlJc w:val="left"/>
      <w:lvlText w:val="%1."/>
      <w:numFmt w:val="decimal"/>
      <w:start w:val="12"/>
    </w:lvl>
  </w:abstractNum>
  <w:abstractNum w:abstractNumId="43">
    <w:nsid w:val="46B7D447"/>
    <w:multiLevelType w:val="hybridMultilevel"/>
    <w:lvl w:ilvl="0">
      <w:lvlJc w:val="left"/>
      <w:lvlText w:val="(%1)"/>
      <w:numFmt w:val="lowerLetter"/>
      <w:start w:val="1"/>
    </w:lvl>
  </w:abstractNum>
  <w:abstractNum w:abstractNumId="44">
    <w:nsid w:val="4A2AC315"/>
    <w:multiLevelType w:val="hybridMultilevel"/>
    <w:lvl w:ilvl="0">
      <w:lvlJc w:val="left"/>
      <w:lvlText w:val="(%1)"/>
      <w:numFmt w:val="lowerLetter"/>
      <w:start w:val="3"/>
    </w:lvl>
    <w:lvl w:ilvl="1">
      <w:lvlJc w:val="left"/>
      <w:lvlText w:val="(%2)"/>
      <w:numFmt w:val="lowerRoman"/>
      <w:start w:val="1"/>
    </w:lvl>
  </w:abstractNum>
  <w:abstractNum w:abstractNumId="45">
    <w:nsid w:val="39EE015C"/>
    <w:multiLevelType w:val="hybridMultilevel"/>
    <w:lvl w:ilvl="0">
      <w:lvlJc w:val="left"/>
      <w:lvlText w:val="%1"/>
      <w:numFmt w:val="lowerLetter"/>
      <w:start w:val="1"/>
    </w:lvl>
    <w:lvl w:ilvl="1">
      <w:lvlJc w:val="left"/>
      <w:lvlText w:val="(%2)"/>
      <w:numFmt w:val="lowerRoman"/>
      <w:start w:val="3"/>
    </w:lvl>
  </w:abstractNum>
  <w:abstractNum w:abstractNumId="46">
    <w:nsid w:val="57FC4FBB"/>
    <w:multiLevelType w:val="hybridMultilevel"/>
    <w:lvl w:ilvl="0">
      <w:lvlJc w:val="left"/>
      <w:lvlText w:val="(%1)"/>
      <w:numFmt w:val="lowerLetter"/>
      <w:start w:val="1"/>
    </w:lvl>
  </w:abstractNum>
  <w:abstractNum w:abstractNumId="47">
    <w:nsid w:val="CC1016F"/>
    <w:multiLevelType w:val="hybridMultilevel"/>
    <w:lvl w:ilvl="0">
      <w:lvlJc w:val="left"/>
      <w:lvlText w:val="%1."/>
      <w:numFmt w:val="decimal"/>
      <w:start w:val="13"/>
    </w:lvl>
  </w:abstractNum>
  <w:abstractNum w:abstractNumId="48">
    <w:nsid w:val="43F18422"/>
    <w:multiLevelType w:val="hybridMultilevel"/>
    <w:lvl w:ilvl="0">
      <w:lvlJc w:val="left"/>
      <w:lvlText w:val="(%1)"/>
      <w:numFmt w:val="lowerLetter"/>
      <w:start w:val="1"/>
    </w:lvl>
  </w:abstractNum>
  <w:abstractNum w:abstractNumId="49">
    <w:nsid w:val="60EF0119"/>
    <w:multiLevelType w:val="hybridMultilevel"/>
    <w:lvl w:ilvl="0">
      <w:lvlJc w:val="left"/>
      <w:lvlText w:val="%1."/>
      <w:numFmt w:val="decimal"/>
      <w:start w:val="14"/>
    </w:lvl>
  </w:abstractNum>
  <w:abstractNum w:abstractNumId="50">
    <w:nsid w:val="26F324BA"/>
    <w:multiLevelType w:val="hybridMultilevel"/>
    <w:lvl w:ilvl="0">
      <w:lvlJc w:val="left"/>
      <w:lvlText w:val="(%1)"/>
      <w:numFmt w:val="lowerRoman"/>
      <w:start w:val="1"/>
    </w:lvl>
  </w:abstractNum>
  <w:abstractNum w:abstractNumId="51">
    <w:nsid w:val="7F01579B"/>
    <w:multiLevelType w:val="hybridMultilevel"/>
    <w:lvl w:ilvl="0">
      <w:lvlJc w:val="left"/>
      <w:lvlText w:val="(%1)"/>
      <w:numFmt w:val="lowerRoman"/>
      <w:start w:val="2"/>
    </w:lvl>
  </w:abstractNum>
  <w:abstractNum w:abstractNumId="52">
    <w:nsid w:val="49DA307D"/>
    <w:multiLevelType w:val="hybridMultilevel"/>
    <w:lvl w:ilvl="0">
      <w:lvlJc w:val="left"/>
      <w:lvlText w:val="%1."/>
      <w:numFmt w:val="decimal"/>
      <w:start w:val="15"/>
    </w:lvl>
  </w:abstractNum>
  <w:abstractNum w:abstractNumId="53">
    <w:nsid w:val="7055A5F5"/>
    <w:multiLevelType w:val="hybridMultilevel"/>
    <w:lvl w:ilvl="0">
      <w:lvlJc w:val="left"/>
      <w:lvlText w:val="(%1)"/>
      <w:numFmt w:val="lowerLetter"/>
      <w:start w:val="1"/>
    </w:lvl>
  </w:abstractNum>
  <w:abstractNum w:abstractNumId="54">
    <w:nsid w:val="5FB8370B"/>
    <w:multiLevelType w:val="hybridMultilevel"/>
    <w:lvl w:ilvl="0">
      <w:lvlJc w:val="left"/>
      <w:lvlText w:val="(%1)"/>
      <w:numFmt w:val="lowerLetter"/>
      <w:start w:val="1"/>
    </w:lvl>
    <w:lvl w:ilvl="1">
      <w:lvlJc w:val="left"/>
      <w:lvlText w:val="(%2)"/>
      <w:numFmt w:val="lowerRoman"/>
      <w:start w:val="1"/>
    </w:lvl>
  </w:abstractNum>
  <w:abstractNum w:abstractNumId="55">
    <w:nsid w:val="50801EE1"/>
    <w:multiLevelType w:val="hybridMultilevel"/>
    <w:lvl w:ilvl="0">
      <w:lvlJc w:val="left"/>
      <w:lvlText w:val="%1."/>
      <w:numFmt w:val="decimal"/>
      <w:start w:val="16"/>
    </w:lvl>
  </w:abstractNum>
  <w:abstractNum w:abstractNumId="56">
    <w:nsid w:val="488AC1A"/>
    <w:multiLevelType w:val="hybridMultilevel"/>
    <w:lvl w:ilvl="0">
      <w:lvlJc w:val="left"/>
      <w:lvlText w:val="(%1)"/>
      <w:numFmt w:val="lowerLetter"/>
      <w:start w:val="1"/>
    </w:lvl>
    <w:lvl w:ilvl="1">
      <w:lvlJc w:val="left"/>
      <w:lvlText w:val="(%2)"/>
      <w:numFmt w:val="lowerRoman"/>
      <w:start w:val="1"/>
    </w:lvl>
  </w:abstractNum>
  <w:abstractNum w:abstractNumId="57">
    <w:nsid w:val="5FB8011C"/>
    <w:multiLevelType w:val="hybridMultilevel"/>
    <w:lvl w:ilvl="0">
      <w:lvlJc w:val="left"/>
      <w:lvlText w:val="%1."/>
      <w:numFmt w:val="decimal"/>
      <w:start w:val="17"/>
    </w:lvl>
  </w:abstractNum>
  <w:abstractNum w:abstractNumId="58">
    <w:nsid w:val="6AA78F7F"/>
    <w:multiLevelType w:val="hybridMultilevel"/>
    <w:lvl w:ilvl="0">
      <w:lvlJc w:val="left"/>
      <w:lvlText w:val="(%1)"/>
      <w:numFmt w:val="lowerLetter"/>
      <w:start w:val="1"/>
    </w:lvl>
  </w:abstractNum>
  <w:abstractNum w:abstractNumId="59">
    <w:nsid w:val="7672BD23"/>
    <w:multiLevelType w:val="hybridMultilevel"/>
    <w:lvl w:ilvl="0">
      <w:lvlJc w:val="left"/>
      <w:lvlText w:val="%1."/>
      <w:numFmt w:val="decimal"/>
      <w:start w:val="19"/>
    </w:lvl>
  </w:abstractNum>
  <w:abstractNum w:abstractNumId="60">
    <w:nsid w:val="6FC75AF8"/>
    <w:multiLevelType w:val="hybridMultilevel"/>
    <w:lvl w:ilvl="0">
      <w:lvlJc w:val="left"/>
      <w:lvlText w:val="%1."/>
      <w:numFmt w:val="decimal"/>
      <w:start w:val="20"/>
    </w:lvl>
  </w:abstractNum>
  <w:abstractNum w:abstractNumId="61">
    <w:nsid w:val="6A5F7029"/>
    <w:multiLevelType w:val="hybridMultilevel"/>
    <w:lvl w:ilvl="0">
      <w:lvlJc w:val="left"/>
      <w:lvlText w:val="(%1)"/>
      <w:numFmt w:val="lowerLetter"/>
      <w:start w:val="1"/>
    </w:lvl>
  </w:abstractNum>
  <w:abstractNum w:abstractNumId="62">
    <w:nsid w:val="7D5E18F8"/>
    <w:multiLevelType w:val="hybridMultilevel"/>
    <w:lvl w:ilvl="0">
      <w:lvlJc w:val="left"/>
      <w:lvlText w:val="(%1)"/>
      <w:numFmt w:val="lowerLetter"/>
      <w:start w:val="1"/>
    </w:lvl>
  </w:abstractNum>
  <w:abstractNum w:abstractNumId="63">
    <w:nsid w:val="5F3534A4"/>
    <w:multiLevelType w:val="hybridMultilevel"/>
    <w:lvl w:ilvl="0">
      <w:lvlJc w:val="left"/>
      <w:lvlText w:val="(%1)"/>
      <w:numFmt w:val="lowerLetter"/>
      <w:start w:val="4"/>
    </w:lvl>
  </w:abstractNum>
  <w:abstractNum w:abstractNumId="64">
    <w:nsid w:val="73A1821B"/>
    <w:multiLevelType w:val="hybridMultilevel"/>
    <w:lvl w:ilvl="0">
      <w:lvlJc w:val="left"/>
      <w:lvlText w:val="%1."/>
      <w:numFmt w:val="decimal"/>
      <w:start w:val="21"/>
    </w:lvl>
  </w:abstractNum>
  <w:abstractNum w:abstractNumId="65">
    <w:nsid w:val="7DE67713"/>
    <w:multiLevelType w:val="hybridMultilevel"/>
    <w:lvl w:ilvl="0">
      <w:lvlJc w:val="left"/>
      <w:lvlText w:val="(%1)"/>
      <w:numFmt w:val="lowerLetter"/>
      <w:start w:val="1"/>
    </w:lvl>
    <w:lvl w:ilvl="1">
      <w:lvlJc w:val="left"/>
      <w:lvlText w:val="(%2)"/>
      <w:numFmt w:val="lowerRoman"/>
      <w:start w:val="1"/>
    </w:lvl>
  </w:abstractNum>
  <w:abstractNum w:abstractNumId="66">
    <w:nsid w:val="555C55B5"/>
    <w:multiLevelType w:val="hybridMultilevel"/>
    <w:lvl w:ilvl="0">
      <w:lvlJc w:val="left"/>
      <w:lvlText w:val="(%1)"/>
      <w:numFmt w:val="lowerLetter"/>
      <w:start w:val="3"/>
    </w:lvl>
    <w:lvl w:ilvl="1">
      <w:lvlJc w:val="left"/>
      <w:lvlText w:val="(%2)"/>
      <w:numFmt w:val="lowerRoman"/>
      <w:start w:val="1"/>
    </w:lvl>
  </w:abstractNum>
  <w:abstractNum w:abstractNumId="67">
    <w:nsid w:val="3FA62ACA"/>
    <w:multiLevelType w:val="hybridMultilevel"/>
    <w:lvl w:ilvl="0">
      <w:lvlJc w:val="left"/>
      <w:lvlText w:val="(%1)"/>
      <w:numFmt w:val="lowerLetter"/>
      <w:start w:val="1"/>
    </w:lvl>
  </w:abstractNum>
  <w:abstractNum w:abstractNumId="68">
    <w:nsid w:val="14FCE74E"/>
    <w:multiLevelType w:val="hybridMultilevel"/>
    <w:lvl w:ilvl="0">
      <w:lvlJc w:val="left"/>
      <w:lvlText w:val="(%1)"/>
      <w:numFmt w:val="lowerLetter"/>
      <w:start w:val="2"/>
    </w:lvl>
    <w:lvl w:ilvl="1">
      <w:lvlJc w:val="left"/>
      <w:lvlText w:val="(%2)"/>
      <w:numFmt w:val="lowerRoman"/>
      <w:start w:val="1"/>
    </w:lvl>
  </w:abstractNum>
  <w:abstractNum w:abstractNumId="69">
    <w:nsid w:val="6A3DD3E8"/>
    <w:multiLevelType w:val="hybridMultilevel"/>
    <w:lvl w:ilvl="0">
      <w:lvlJc w:val="left"/>
      <w:lvlText w:val="%1."/>
      <w:numFmt w:val="decimal"/>
      <w:start w:val="22"/>
    </w:lvl>
  </w:abstractNum>
  <w:abstractNum w:abstractNumId="70">
    <w:nsid w:val="71C91298"/>
    <w:multiLevelType w:val="hybridMultilevel"/>
    <w:lvl w:ilvl="0">
      <w:lvlJc w:val="left"/>
      <w:lvlText w:val="(%1)"/>
      <w:numFmt w:val="lowerLetter"/>
      <w:start w:val="1"/>
    </w:lvl>
  </w:abstractNum>
  <w:abstractNum w:abstractNumId="71">
    <w:nsid w:val="9DAF632"/>
    <w:multiLevelType w:val="hybridMultilevel"/>
    <w:lvl w:ilvl="0">
      <w:lvlJc w:val="left"/>
      <w:lvlText w:val="(%1)"/>
      <w:numFmt w:val="lowerLetter"/>
      <w:start w:val="3"/>
    </w:lvl>
  </w:abstractNum>
  <w:abstractNum w:abstractNumId="72">
    <w:nsid w:val="53299938"/>
    <w:multiLevelType w:val="hybridMultilevel"/>
    <w:lvl w:ilvl="0">
      <w:lvlJc w:val="left"/>
      <w:lvlText w:val="(%1)"/>
      <w:numFmt w:val="lowerLetter"/>
      <w:start w:val="4"/>
    </w:lvl>
  </w:abstractNum>
  <w:abstractNum w:abstractNumId="73">
    <w:nsid w:val="1FBFE8E0"/>
    <w:multiLevelType w:val="hybridMultilevel"/>
    <w:lvl w:ilvl="0">
      <w:lvlJc w:val="left"/>
      <w:lvlText w:val="(%1)"/>
      <w:numFmt w:val="lowerLetter"/>
      <w:start w:val="1"/>
    </w:lvl>
  </w:abstractNum>
  <w:abstractNum w:abstractNumId="74">
    <w:nsid w:val="5092CA79"/>
    <w:multiLevelType w:val="hybridMultilevel"/>
    <w:lvl w:ilvl="0">
      <w:lvlJc w:val="left"/>
      <w:lvlText w:val="(%1)"/>
      <w:numFmt w:val="lowerLetter"/>
      <w:start w:val="1"/>
    </w:lvl>
  </w:abstractNum>
  <w:abstractNum w:abstractNumId="75">
    <w:nsid w:val="1D545C4D"/>
    <w:multiLevelType w:val="hybridMultilevel"/>
    <w:lvl w:ilvl="0">
      <w:lvlJc w:val="left"/>
      <w:lvlText w:val="%1."/>
      <w:numFmt w:val="decimal"/>
      <w:start w:val="23"/>
    </w:lvl>
  </w:abstractNum>
  <w:abstractNum w:abstractNumId="76">
    <w:nsid w:val="59ADEA3D"/>
    <w:multiLevelType w:val="hybridMultilevel"/>
    <w:lvl w:ilvl="0">
      <w:lvlJc w:val="left"/>
      <w:lvlText w:val="(%1)"/>
      <w:numFmt w:val="lowerLetter"/>
      <w:start w:val="1"/>
    </w:lvl>
  </w:abstractNum>
  <w:abstractNum w:abstractNumId="77">
    <w:nsid w:val="288F1A34"/>
    <w:multiLevelType w:val="hybridMultilevel"/>
    <w:lvl w:ilvl="0">
      <w:lvlJc w:val="left"/>
      <w:lvlText w:val="(%1)"/>
      <w:numFmt w:val="lowerLetter"/>
      <w:start w:val="1"/>
    </w:lvl>
  </w:abstractNum>
  <w:abstractNum w:abstractNumId="78">
    <w:nsid w:val="2A155DBC"/>
    <w:multiLevelType w:val="hybridMultilevel"/>
    <w:lvl w:ilvl="0">
      <w:lvlJc w:val="left"/>
      <w:lvlText w:val="%1."/>
      <w:numFmt w:val="decimal"/>
      <w:start w:val="24"/>
    </w:lvl>
  </w:abstractNum>
  <w:abstractNum w:abstractNumId="79">
    <w:nsid w:val="1D9F6E5F"/>
    <w:multiLevelType w:val="hybridMultilevel"/>
    <w:lvl w:ilvl="0">
      <w:lvlJc w:val="left"/>
      <w:lvlText w:val="(%1)"/>
      <w:numFmt w:val="lowerLetter"/>
      <w:start w:val="1"/>
    </w:lvl>
  </w:abstractNum>
  <w:abstractNum w:abstractNumId="80">
    <w:nsid w:val="97E1B4E"/>
    <w:multiLevelType w:val="hybridMultilevel"/>
    <w:lvl w:ilvl="0">
      <w:lvlJc w:val="left"/>
      <w:lvlText w:val="(%1)"/>
      <w:numFmt w:val="lowerLetter"/>
      <w:start w:val="1"/>
    </w:lvl>
  </w:abstractNum>
  <w:abstractNum w:abstractNumId="81">
    <w:nsid w:val="51088277"/>
    <w:multiLevelType w:val="hybridMultilevel"/>
    <w:lvl w:ilvl="0">
      <w:lvlJc w:val="left"/>
      <w:lvlText w:val="(%1)"/>
      <w:numFmt w:val="lowerLetter"/>
      <w:start w:val="1"/>
    </w:lvl>
  </w:abstractNum>
  <w:abstractNum w:abstractNumId="82">
    <w:nsid w:val="1CA0C5FA"/>
    <w:multiLevelType w:val="hybridMultilevel"/>
    <w:lvl w:ilvl="0">
      <w:lvlJc w:val="left"/>
      <w:lvlText w:val="(%1)"/>
      <w:numFmt w:val="lowerLetter"/>
      <w:start w:val="2"/>
    </w:lvl>
    <w:lvl w:ilvl="1">
      <w:lvlJc w:val="left"/>
      <w:lvlText w:val="(%2)"/>
      <w:numFmt w:val="lowerRoman"/>
      <w:start w:val="1"/>
    </w:lvl>
  </w:abstractNum>
  <w:abstractNum w:abstractNumId="83">
    <w:nsid w:val="53584BCB"/>
    <w:multiLevelType w:val="hybridMultilevel"/>
    <w:lvl w:ilvl="0">
      <w:lvlJc w:val="left"/>
      <w:lvlText w:val="(%1)"/>
      <w:numFmt w:val="lowerLetter"/>
      <w:start w:val="1"/>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1)"/>
      <w:numFmt w:val="lowerLetter"/>
      <w:start w:val="1"/>
    </w:lvl>
  </w:abstractNum>
  <w:abstractNum w:abstractNumId="86">
    <w:nsid w:val="23D86AAC"/>
    <w:multiLevelType w:val="hybridMultilevel"/>
    <w:lvl w:ilvl="0">
      <w:lvlJc w:val="left"/>
      <w:lvlText w:val="(%1)"/>
      <w:numFmt w:val="lowerLetter"/>
      <w:start w:val="1"/>
    </w:lvl>
    <w:lvl w:ilvl="1">
      <w:lvlJc w:val="left"/>
      <w:lvlText w:val="(%2)"/>
      <w:numFmt w:val="lowerLetter"/>
      <w:start w:val="9"/>
    </w:lvl>
  </w:abstractNum>
  <w:abstractNum w:abstractNumId="87">
    <w:nsid w:val="45E6D486"/>
    <w:multiLevelType w:val="hybridMultilevel"/>
    <w:lvl w:ilvl="0">
      <w:lvlJc w:val="left"/>
      <w:lvlText w:val="(%1)"/>
      <w:numFmt w:val="lowerRoman"/>
      <w:start w:val="2"/>
    </w:lvl>
  </w:abstractNum>
  <w:abstractNum w:abstractNumId="88">
    <w:nsid w:val="5C10FE21"/>
    <w:multiLevelType w:val="hybridMultilevel"/>
    <w:lvl w:ilvl="0">
      <w:lvlJc w:val="left"/>
      <w:lvlText w:val="(%1)"/>
      <w:numFmt w:val="lowerLetter"/>
      <w:start w:val="4"/>
    </w:lvl>
  </w:abstractNum>
  <w:abstractNum w:abstractNumId="89">
    <w:nsid w:val="E7FFA2B"/>
    <w:multiLevelType w:val="hybridMultilevel"/>
    <w:lvl w:ilvl="0">
      <w:lvlJc w:val="left"/>
      <w:lvlText w:val="(%1)"/>
      <w:numFmt w:val="lowerLetter"/>
      <w:start w:val="1"/>
    </w:lvl>
  </w:abstractNum>
  <w:abstractNum w:abstractNumId="90">
    <w:nsid w:val="3C5991AA"/>
    <w:multiLevelType w:val="hybridMultilevel"/>
    <w:lvl w:ilvl="0">
      <w:lvlJc w:val="left"/>
      <w:lvlText w:val="%1."/>
      <w:numFmt w:val="decimal"/>
      <w:start w:val="25"/>
    </w:lvl>
  </w:abstractNum>
  <w:abstractNum w:abstractNumId="91">
    <w:nsid w:val="4BD8591A"/>
    <w:multiLevelType w:val="hybridMultilevel"/>
    <w:lvl w:ilvl="0">
      <w:lvlJc w:val="left"/>
      <w:lvlText w:val="[***]"/>
      <w:numFmt w:val="bullet"/>
      <w:start w:val="1"/>
    </w:lvl>
  </w:abstractNum>
  <w:abstractNum w:abstractNumId="92">
    <w:nsid w:val="78DF6A55"/>
    <w:multiLevelType w:val="hybridMultilevel"/>
    <w:lvl w:ilvl="0">
      <w:lvlJc w:val="left"/>
      <w:lvlText w:val="%1"/>
      <w:numFmt w:val="decimal"/>
      <w:start w:val="1"/>
    </w:lvl>
    <w:lvl w:ilvl="1">
      <w:lvlJc w:val="left"/>
      <w:lvlText w:val="(%2)"/>
      <w:numFmt w:val="lowerLetter"/>
      <w:start w:val="1"/>
    </w:lvl>
  </w:abstractNum>
  <w:abstractNum w:abstractNumId="93">
    <w:nsid w:val="39B7AAA2"/>
    <w:multiLevelType w:val="hybridMultilevel"/>
    <w:lvl w:ilvl="0">
      <w:lvlJc w:val="left"/>
      <w:lvlText w:val="%1."/>
      <w:numFmt w:val="decimal"/>
      <w:start w:val="26"/>
    </w:lvl>
    <w:lvl w:ilvl="1">
      <w:lvlJc w:val="left"/>
      <w:lvlText w:val="%2"/>
      <w:numFmt w:val="lowerLetter"/>
      <w:start w:val="1"/>
    </w:lvl>
  </w:abstractNum>
  <w:abstractNum w:abstractNumId="94">
    <w:nsid w:val="2B0D8DBE"/>
    <w:multiLevelType w:val="hybridMultilevel"/>
    <w:lvl w:ilvl="0">
      <w:lvlJc w:val="left"/>
      <w:lvlText w:val="%1."/>
      <w:numFmt w:val="decimal"/>
      <w:start w:val="28"/>
    </w:lvl>
  </w:abstractNum>
  <w:abstractNum w:abstractNumId="95">
    <w:nsid w:val="6C80EC70"/>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96">
    <w:nsid w:val="379E21B5"/>
    <w:multiLevelType w:val="hybridMultilevel"/>
    <w:lvl w:ilvl="0">
      <w:lvlJc w:val="left"/>
      <w:lvlText w:val="%1"/>
      <w:numFmt w:val="decimal"/>
      <w:start w:val="1"/>
    </w:lvl>
    <w:lvl w:ilvl="1">
      <w:lvlJc w:val="left"/>
      <w:lvlText w:val="(%2)"/>
      <w:numFmt w:val="lowerLetter"/>
      <w:start w:val="2"/>
    </w:lvl>
  </w:abstractNum>
  <w:abstractNum w:abstractNumId="97">
    <w:nsid w:val="69E373"/>
    <w:multiLevelType w:val="hybridMultilevel"/>
    <w:lvl w:ilvl="0">
      <w:lvlJc w:val="left"/>
      <w:lvlText w:val="%1."/>
      <w:numFmt w:val="decimal"/>
      <w:start w:val="30"/>
    </w:lvl>
    <w:lvl w:ilvl="1">
      <w:lvlJc w:val="left"/>
      <w:lvlText w:val="%2"/>
      <w:numFmt w:val="lowerLetter"/>
      <w:start w:val="1"/>
    </w:lvl>
  </w:abstractNum>
  <w:abstractNum w:abstractNumId="98">
    <w:nsid w:val="2C27173B"/>
    <w:multiLevelType w:val="hybridMultilevel"/>
    <w:lvl w:ilvl="0">
      <w:lvlJc w:val="left"/>
      <w:lvlText w:val="(%1)"/>
      <w:numFmt w:val="lowerLetter"/>
      <w:start w:val="1"/>
    </w:lvl>
  </w:abstractNum>
  <w:abstractNum w:abstractNumId="99">
    <w:nsid w:val="4C9B0904"/>
    <w:multiLevelType w:val="hybridMultilevel"/>
    <w:lvl w:ilvl="0">
      <w:lvlJc w:val="left"/>
      <w:lvlText w:val="(%1)"/>
      <w:numFmt w:val="lowerLetter"/>
      <w:start w:val="1"/>
    </w:lvl>
  </w:abstractNum>
  <w:abstractNum w:abstractNumId="100">
    <w:nsid w:val="6AA7B75C"/>
    <w:multiLevelType w:val="hybridMultilevel"/>
    <w:lvl w:ilvl="0">
      <w:lvlJc w:val="left"/>
      <w:lvlText w:val="(%1)"/>
      <w:numFmt w:val="lowerLetter"/>
      <w:start w:val="4"/>
    </w:lvl>
  </w:abstractNum>
  <w:abstractNum w:abstractNumId="101">
    <w:nsid w:val="1DF029D3"/>
    <w:multiLevelType w:val="hybridMultilevel"/>
    <w:lvl w:ilvl="0">
      <w:lvlJc w:val="left"/>
      <w:lvlText w:val="%1."/>
      <w:numFmt w:val="decimal"/>
      <w:start w:val="32"/>
    </w:lvl>
    <w:lvl w:ilvl="1">
      <w:lvlJc w:val="left"/>
      <w:lvlText w:val="(%2)"/>
      <w:numFmt w:val="lowerLetter"/>
      <w:start w:val="1"/>
    </w:lvl>
  </w:abstractNum>
  <w:abstractNum w:abstractNumId="102">
    <w:nsid w:val="5675FF36"/>
    <w:multiLevelType w:val="hybridMultilevel"/>
    <w:lvl w:ilvl="0">
      <w:lvlJc w:val="left"/>
      <w:lvlText w:val="%1"/>
      <w:numFmt w:val="decimal"/>
      <w:start w:val="1"/>
    </w:lvl>
    <w:lvl w:ilvl="1">
      <w:lvlJc w:val="left"/>
      <w:lvlText w:val="(%2)"/>
      <w:numFmt w:val="lowerLetter"/>
      <w:start w:val="2"/>
    </w:lvl>
  </w:abstractNum>
  <w:abstractNum w:abstractNumId="103">
    <w:nsid w:val="3DD15094"/>
    <w:multiLevelType w:val="hybridMultilevel"/>
    <w:lvl w:ilvl="0">
      <w:lvlJc w:val="left"/>
      <w:lvlText w:val="%1."/>
      <w:numFmt w:val="decimal"/>
      <w:start w:val="37"/>
    </w:lvl>
    <w:lvl w:ilvl="1">
      <w:lvlJc w:val="left"/>
      <w:lvlText w:val="(%2)"/>
      <w:numFmt w:val="lowerLetter"/>
      <w:start w:val="1"/>
    </w:lvl>
  </w:abstractNum>
  <w:abstractNum w:abstractNumId="104">
    <w:nsid w:val="3DB012B3"/>
    <w:multiLevelType w:val="hybridMultilevel"/>
    <w:lvl w:ilvl="0">
      <w:lvlJc w:val="left"/>
      <w:lvlText w:val="%1"/>
      <w:numFmt w:val="decimal"/>
      <w:start w:val="1"/>
    </w:lvl>
    <w:lvl w:ilvl="1">
      <w:lvlJc w:val="left"/>
      <w:lvlText w:val="(%2)"/>
      <w:numFmt w:val="lowerLetter"/>
      <w:start w:val="4"/>
    </w:lvl>
  </w:abstractNum>
  <w:abstractNum w:abstractNumId="105">
    <w:nsid w:val="2708C9AF"/>
    <w:multiLevelType w:val="hybridMultilevel"/>
    <w:lvl w:ilvl="0">
      <w:lvlJc w:val="left"/>
      <w:lvlText w:val="%1."/>
      <w:numFmt w:val="decimal"/>
      <w:start w:val="40"/>
    </w:lvl>
    <w:lvl w:ilvl="1">
      <w:lvlJc w:val="left"/>
      <w:lvlText w:val="%2"/>
      <w:numFmt w:val="lowerLetter"/>
      <w:start w:val="1"/>
    </w:lvl>
  </w:abstractNum>
  <w:abstractNum w:abstractNumId="106">
    <w:nsid w:val="5B25ACE2"/>
    <w:multiLevelType w:val="hybridMultilevel"/>
    <w:lvl w:ilvl="0">
      <w:lvlJc w:val="left"/>
      <w:lvlText w:val="(%1)"/>
      <w:numFmt w:val="lowerLetter"/>
      <w:start w:val="1"/>
    </w:lvl>
  </w:abstractNum>
  <w:abstractNum w:abstractNumId="107">
    <w:nsid w:val="175DFCF0"/>
    <w:multiLevelType w:val="hybridMultilevel"/>
    <w:lvl w:ilvl="0">
      <w:lvlJc w:val="left"/>
      <w:lvlText w:val="(%1)"/>
      <w:numFmt w:val="lowerLetter"/>
      <w:start w:val="1"/>
    </w:lvl>
  </w:abstractNum>
  <w:abstractNum w:abstractNumId="108">
    <w:nsid w:val="4F97E3E4"/>
    <w:multiLevelType w:val="hybridMultilevel"/>
    <w:lvl w:ilvl="0">
      <w:lvlJc w:val="left"/>
      <w:lvlText w:val="(%1)"/>
      <w:numFmt w:val="lowerLetter"/>
      <w:start w:val="5"/>
    </w:lvl>
  </w:abstractNum>
  <w:abstractNum w:abstractNumId="109">
    <w:nsid w:val="53B0A9E"/>
    <w:multiLevelType w:val="hybridMultilevel"/>
    <w:lvl w:ilvl="0">
      <w:lvlJc w:val="left"/>
      <w:lvlText w:val="(%1)"/>
      <w:numFmt w:val="lowerLetter"/>
      <w:start w:val="1"/>
    </w:lvl>
  </w:abstractNum>
  <w:abstractNum w:abstractNumId="110">
    <w:nsid w:val="34FD6B4F"/>
    <w:multiLevelType w:val="hybridMultilevel"/>
    <w:lvl w:ilvl="0">
      <w:lvlJc w:val="left"/>
      <w:lvlText w:val="(%1)"/>
      <w:numFmt w:val="lowerLetter"/>
      <w:start w:val="1"/>
    </w:lvl>
  </w:abstractNum>
  <w:abstractNum w:abstractNumId="111">
    <w:nsid w:val="5915FF32"/>
    <w:multiLevelType w:val="hybridMultilevel"/>
    <w:lvl w:ilvl="0">
      <w:lvlJc w:val="left"/>
      <w:lvlText w:val="(%1)"/>
      <w:numFmt w:val="lowerLetter"/>
      <w:start w:val="1"/>
    </w:lvl>
  </w:abstractNum>
  <w:abstractNum w:abstractNumId="112">
    <w:nsid w:val="56438D15"/>
    <w:multiLevelType w:val="hybridMultilevel"/>
    <w:lvl w:ilvl="0">
      <w:lvlJc w:val="left"/>
      <w:lvlText w:val="(%1)"/>
      <w:numFmt w:val="lowerLetter"/>
      <w:start w:val="1"/>
    </w:lvl>
  </w:abstractNum>
  <w:abstractNum w:abstractNumId="113">
    <w:nsid w:val="519E3149"/>
    <w:multiLevelType w:val="hybridMultilevel"/>
    <w:lvl w:ilvl="0">
      <w:lvlJc w:val="left"/>
      <w:lvlText w:val="(%1)"/>
      <w:numFmt w:val="lowerLetter"/>
      <w:start w:val="3"/>
    </w:lvl>
  </w:abstractNum>
  <w:abstractNum w:abstractNumId="114">
    <w:nsid w:val="2C6E4AFD"/>
    <w:multiLevelType w:val="hybridMultilevel"/>
    <w:lvl w:ilvl="0">
      <w:lvlJc w:val="left"/>
      <w:lvlText w:val="(%1)"/>
      <w:numFmt w:val="decimal"/>
      <w:start w:val="1"/>
    </w:lvl>
    <w:lvl w:ilvl="1">
      <w:lvlJc w:val="left"/>
      <w:lvlText w:val="(%2)"/>
      <w:numFmt w:val="lowerLetter"/>
      <w:start w:val="2"/>
    </w:lvl>
  </w:abstractNum>
  <w:abstractNum w:abstractNumId="115">
    <w:nsid w:val="17A1B582"/>
    <w:multiLevelType w:val="hybridMultilevel"/>
    <w:lvl w:ilvl="0">
      <w:lvlJc w:val="left"/>
      <w:lvlText w:val="(%1)"/>
      <w:numFmt w:val="lowerLetter"/>
      <w:start w:val="1"/>
    </w:lvl>
  </w:abstractNum>
  <w:abstractNum w:abstractNumId="116">
    <w:nsid w:val="4DF72E4E"/>
    <w:multiLevelType w:val="hybridMultilevel"/>
    <w:lvl w:ilvl="0">
      <w:lvlJc w:val="left"/>
      <w:lvlText w:val="(%1)"/>
      <w:numFmt w:val="lowerLetter"/>
      <w:start w:val="3"/>
    </w:lvl>
  </w:abstractNum>
  <w:abstractNum w:abstractNumId="117">
    <w:nsid w:val="5046B5A9"/>
    <w:multiLevelType w:val="hybridMultilevel"/>
    <w:lvl w:ilvl="0">
      <w:lvlJc w:val="left"/>
      <w:lvlText w:val="%1."/>
      <w:numFmt w:val="decimal"/>
      <w:start w:val="1"/>
    </w:lvl>
  </w:abstractNum>
  <w:abstractNum w:abstractNumId="118">
    <w:nsid w:val="5D888A08"/>
    <w:multiLevelType w:val="hybridMultilevel"/>
    <w:lvl w:ilvl="0">
      <w:lvlJc w:val="left"/>
      <w:lvlText w:val="%1."/>
      <w:numFmt w:val="upperLetter"/>
      <w:start w:val="1"/>
    </w:lvl>
  </w:abstractNum>
  <w:abstractNum w:abstractNumId="119">
    <w:nsid w:val="2A082C70"/>
    <w:multiLevelType w:val="hybridMultilevel"/>
    <w:lvl w:ilvl="0">
      <w:lvlJc w:val="left"/>
      <w:lvlText w:val="%1."/>
      <w:numFmt w:val="decimal"/>
      <w:start w:val="1"/>
    </w:lvl>
  </w:abstractNum>
  <w:abstractNum w:abstractNumId="120">
    <w:nsid w:val="5EC6AFD4"/>
    <w:multiLevelType w:val="hybridMultilevel"/>
    <w:lvl w:ilvl="0">
      <w:lvlJc w:val="left"/>
      <w:lvlText w:val="(%1)"/>
      <w:numFmt w:val="lowerLetter"/>
      <w:start w:val="1"/>
    </w:lvl>
  </w:abstractNum>
  <w:abstractNum w:abstractNumId="121">
    <w:nsid w:val="19E21BB2"/>
    <w:multiLevelType w:val="hybridMultilevel"/>
    <w:lvl w:ilvl="0">
      <w:lvlJc w:val="left"/>
      <w:lvlText w:val="%1"/>
      <w:numFmt w:val="decimal"/>
      <w:start w:val="1"/>
    </w:lvl>
    <w:lvl w:ilvl="1">
      <w:lvlJc w:val="left"/>
      <w:lvlText w:val="(%2)"/>
      <w:numFmt w:val="lowerLetter"/>
      <w:start w:val="2"/>
    </w:lvl>
  </w:abstractNum>
  <w:abstractNum w:abstractNumId="122">
    <w:nsid w:val="75E0858A"/>
    <w:multiLevelType w:val="hybridMultilevel"/>
    <w:lvl w:ilvl="0">
      <w:lvlJc w:val="left"/>
      <w:lvlText w:val="%1."/>
      <w:numFmt w:val="decimal"/>
      <w:start w:val="2"/>
    </w:lvl>
    <w:lvl w:ilvl="1">
      <w:lvlJc w:val="left"/>
      <w:lvlText w:val="(%2)"/>
      <w:numFmt w:val="lowerLetter"/>
      <w:start w:val="1"/>
    </w:lvl>
  </w:abstractNum>
  <w:abstractNum w:abstractNumId="123">
    <w:nsid w:val="57A61A2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24">
    <w:nsid w:val="5399C654"/>
    <w:multiLevelType w:val="hybridMultilevel"/>
    <w:lvl w:ilvl="0">
      <w:lvlJc w:val="left"/>
      <w:lvlText w:val="(%1)"/>
      <w:numFmt w:val="lowerLetter"/>
      <w:start w:val="1"/>
    </w:lvl>
  </w:abstractNum>
  <w:abstractNum w:abstractNumId="125">
    <w:nsid w:val="20EE1348"/>
    <w:multiLevelType w:val="hybridMultilevel"/>
    <w:lvl w:ilvl="0">
      <w:lvlJc w:val="left"/>
      <w:lvlText w:val="%1."/>
      <w:numFmt w:val="decimal"/>
      <w:start w:val="3"/>
    </w:lvl>
    <w:lvl w:ilvl="1">
      <w:lvlJc w:val="left"/>
      <w:lvlText w:val="(%2)"/>
      <w:numFmt w:val="lowerLetter"/>
      <w:start w:val="1"/>
    </w:lvl>
  </w:abstractNum>
  <w:abstractNum w:abstractNumId="126">
    <w:nsid w:val="4427069A"/>
    <w:multiLevelType w:val="hybridMultilevel"/>
    <w:lvl w:ilvl="0">
      <w:lvlJc w:val="left"/>
      <w:lvlText w:val="(%1)"/>
      <w:numFmt w:val="lowerLetter"/>
      <w:start w:val="1"/>
    </w:lvl>
  </w:abstractNum>
  <w:abstractNum w:abstractNumId="127">
    <w:nsid w:val="B37E80A"/>
    <w:multiLevelType w:val="hybridMultilevel"/>
    <w:lvl w:ilvl="0">
      <w:lvlJc w:val="left"/>
      <w:lvlText w:val="%1."/>
      <w:numFmt w:val="decimal"/>
      <w:start w:val="4"/>
    </w:lvl>
    <w:lvl w:ilvl="1">
      <w:lvlJc w:val="left"/>
      <w:lvlText w:val="(%2)"/>
      <w:numFmt w:val="lowerLetter"/>
      <w:start w:val="1"/>
    </w:lvl>
  </w:abstractNum>
  <w:abstractNum w:abstractNumId="128">
    <w:nsid w:val="2157F6BC"/>
    <w:multiLevelType w:val="hybridMultilevel"/>
    <w:lvl w:ilvl="0">
      <w:lvlJc w:val="left"/>
      <w:lvlText w:val="%1."/>
      <w:numFmt w:val="decimal"/>
      <w:start w:val="5"/>
    </w:lvl>
    <w:lvl w:ilvl="1">
      <w:lvlJc w:val="left"/>
      <w:lvlText w:val="%2."/>
      <w:numFmt w:val="lowerLetter"/>
      <w:start w:val="1"/>
    </w:lvl>
  </w:abstractNum>
  <w:abstractNum w:abstractNumId="129">
    <w:nsid w:val="704E1DD5"/>
    <w:multiLevelType w:val="hybridMultilevel"/>
    <w:lvl w:ilvl="0">
      <w:lvlJc w:val="left"/>
      <w:lvlText w:val="%1."/>
      <w:numFmt w:val="lowerLetter"/>
      <w:start w:val="2"/>
    </w:lvl>
  </w:abstractNum>
  <w:abstractNum w:abstractNumId="130">
    <w:nsid w:val="57D2F10E"/>
    <w:multiLevelType w:val="hybridMultilevel"/>
    <w:lvl w:ilvl="0">
      <w:lvlJc w:val="left"/>
      <w:lvlText w:val="%1."/>
      <w:numFmt w:val="decimal"/>
      <w:start w:val="6"/>
    </w:lvl>
    <w:lvl w:ilvl="1">
      <w:lvlJc w:val="left"/>
      <w:lvlText w:val="(%2)"/>
      <w:numFmt w:val="lowerLetter"/>
      <w:start w:val="2"/>
    </w:lvl>
  </w:abstractNum>
  <w:abstractNum w:abstractNumId="131">
    <w:nsid w:val="BFFAE18"/>
    <w:multiLevelType w:val="hybridMultilevel"/>
    <w:lvl w:ilvl="0">
      <w:lvlJc w:val="left"/>
      <w:lvlText w:val="%1."/>
      <w:numFmt w:val="decimal"/>
      <w:start w:val="8"/>
    </w:lvl>
    <w:lvl w:ilvl="1">
      <w:lvlJc w:val="left"/>
      <w:lvlText w:val="(%2)"/>
      <w:numFmt w:val="lowerLetter"/>
      <w:start w:val="1"/>
    </w:lvl>
  </w:abstractNum>
  <w:abstractNum w:abstractNumId="132">
    <w:nsid w:val="E3E47A8"/>
    <w:multiLevelType w:val="hybridMultilevel"/>
    <w:lvl w:ilvl="0">
      <w:lvlJc w:val="left"/>
      <w:lvlText w:val="(%1)"/>
      <w:numFmt w:val="lowerLetter"/>
      <w:start w:val="1"/>
    </w:lvl>
  </w:abstractNum>
  <w:abstractNum w:abstractNumId="133">
    <w:nsid w:val="2E48F044"/>
    <w:multiLevelType w:val="hybridMultilevel"/>
    <w:lvl w:ilvl="0">
      <w:lvlJc w:val="left"/>
      <w:lvlText w:val="(%1)"/>
      <w:numFmt w:val="lowerLetter"/>
      <w:start w:val="4"/>
    </w:lvl>
  </w:abstractNum>
  <w:abstractNum w:abstractNumId="134">
    <w:nsid w:val="49D0FEAC"/>
    <w:multiLevelType w:val="hybridMultilevel"/>
    <w:lvl w:ilvl="0">
      <w:lvlJc w:val="left"/>
      <w:lvlText w:val="%1."/>
      <w:numFmt w:val="decimal"/>
      <w:start w:val="10"/>
    </w:lvl>
    <w:lvl w:ilvl="1">
      <w:lvlJc w:val="left"/>
      <w:lvlText w:val="(%2)"/>
      <w:numFmt w:val="lowerLetter"/>
      <w:start w:val="1"/>
    </w:lvl>
  </w:abstractNum>
  <w:abstractNum w:abstractNumId="135">
    <w:nsid w:val="4BEE5A5B"/>
    <w:multiLevelType w:val="hybridMultilevel"/>
    <w:lvl w:ilvl="0">
      <w:lvlJc w:val="left"/>
      <w:lvlText w:val="(%1)"/>
      <w:numFmt w:val="lowerLetter"/>
      <w:start w:val="1"/>
    </w:lvl>
    <w:lvl w:ilvl="1">
      <w:lvlJc w:val="left"/>
      <w:lvlText w:val="(%2)"/>
      <w:numFmt w:val="lowerRoman"/>
      <w:start w:val="1"/>
    </w:lvl>
  </w:abstractNum>
  <w:abstractNum w:abstractNumId="136">
    <w:nsid w:val="5551B9F3"/>
    <w:multiLevelType w:val="hybridMultilevel"/>
    <w:lvl w:ilvl="0">
      <w:lvlJc w:val="left"/>
      <w:lvlText w:val="%1."/>
      <w:numFmt w:val="decimal"/>
      <w:start w:val="11"/>
    </w:lvl>
  </w:abstractNum>
  <w:abstractNum w:abstractNumId="137">
    <w:nsid w:val="24F6AB8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2025-08-04T06:18:58Z</dcterms:created>
  <dcterms:modified xsi:type="dcterms:W3CDTF">2025-08-04T06:18:58Z</dcterms:modified>
</cp:coreProperties>
</file>