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882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1420"/>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Karkar Andrei</w:t>
              </w:r>
            </w:hyperlink>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10"/>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80" w:type="dxa"/>
            <w:vAlign w:val="bottom"/>
          </w:tcPr>
          <w:p>
            <w:pPr>
              <w:spacing w:after="0"/>
              <w:rPr>
                <w:sz w:val="3"/>
                <w:szCs w:val="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color w:val="auto"/>
              </w:rPr>
              <w:t>(First)</w:t>
            </w:r>
          </w:p>
        </w:tc>
        <w:tc>
          <w:tcPr>
            <w:tcW w:w="96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jc w:val="center"/>
              <w:ind w:left="98"/>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10"/>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130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0000FF"/>
              </w:rPr>
              <w:t>02/06/2026</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11"/>
            <w:vMerge w:val="continue"/>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VANCOUVER   A1</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V6E 2J3</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gridSpan w:val="2"/>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8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96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7"/>
          </w:tcPr>
          <w:p>
            <w:pPr>
              <w:ind w:left="880"/>
              <w:spacing w:after="0"/>
              <w:rPr>
                <w:sz w:val="20"/>
                <w:szCs w:val="20"/>
                <w:color w:val="auto"/>
              </w:rPr>
            </w:pPr>
            <w:r>
              <w:rPr>
                <w:rFonts w:ascii="Arial" w:cs="Arial" w:eastAsia="Arial" w:hAnsi="Arial"/>
                <w:sz w:val="11"/>
                <w:szCs w:val="11"/>
                <w:b w:val="1"/>
                <w:bCs w:val="1"/>
                <w:color w:val="auto"/>
              </w:rPr>
              <w:t>2. Transaction</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7"/>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272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7"/>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3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5"/>
          </w:tcPr>
          <w:p>
            <w:pPr>
              <w:jc w:val="right"/>
              <w:ind w:right="80"/>
              <w:spacing w:after="0"/>
              <w:rPr>
                <w:sz w:val="20"/>
                <w:szCs w:val="20"/>
                <w:color w:val="auto"/>
              </w:rPr>
            </w:pPr>
            <w:r>
              <w:rPr>
                <w:rFonts w:ascii="Times New Roman" w:cs="Times New Roman" w:eastAsia="Times New Roman" w:hAnsi="Times New Roman"/>
                <w:sz w:val="16"/>
                <w:szCs w:val="16"/>
                <w:color w:val="0000FF"/>
                <w:w w:val="98"/>
              </w:rPr>
              <w:t>02/06/2026</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8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w w:val="99"/>
              </w:rPr>
              <w:t>31,602</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6"/>
                <w:szCs w:val="16"/>
                <w:color w:val="0000FF"/>
              </w:rPr>
              <w:t>425,611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ERAS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0000FF"/>
              </w:rPr>
              <w:t>60,953,495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30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00" w:type="dxa"/>
            <w:vAlign w:val="bottom"/>
            <w:gridSpan w:val="19"/>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8"/>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2"/>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580" w:type="dxa"/>
            <w:vAlign w:val="bottom"/>
            <w:vMerge w:val="restart"/>
          </w:tcPr>
          <w:p>
            <w:pPr>
              <w:jc w:val="center"/>
              <w:ind w:lef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80" w:type="dxa"/>
            <w:vAlign w:val="bottom"/>
          </w:tcPr>
          <w:p>
            <w:pPr>
              <w:spacing w:after="0"/>
              <w:rPr>
                <w:sz w:val="10"/>
                <w:szCs w:val="10"/>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5"/>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31,602</w:t>
            </w:r>
          </w:p>
        </w:tc>
        <w:tc>
          <w:tcPr>
            <w:tcW w:w="20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(3)</w:t>
            </w:r>
          </w:p>
        </w:tc>
        <w:tc>
          <w:tcPr>
            <w:tcW w:w="160" w:type="dxa"/>
            <w:vAlign w:val="bottom"/>
          </w:tcPr>
          <w:p>
            <w:pPr>
              <w:spacing w:after="0"/>
              <w:rPr>
                <w:sz w:val="10"/>
                <w:szCs w:val="10"/>
                <w:color w:val="auto"/>
              </w:rPr>
            </w:pPr>
          </w:p>
        </w:tc>
        <w:tc>
          <w:tcPr>
            <w:tcW w:w="820" w:type="dxa"/>
            <w:vAlign w:val="bottom"/>
            <w:vMerge w:val="restart"/>
          </w:tcPr>
          <w:p>
            <w:pPr>
              <w:jc w:val="center"/>
              <w:ind w:right="24"/>
              <w:spacing w:after="0"/>
              <w:rPr>
                <w:sz w:val="20"/>
                <w:szCs w:val="20"/>
                <w:color w:val="auto"/>
              </w:rPr>
            </w:pPr>
            <w:r>
              <w:rPr>
                <w:rFonts w:ascii="Times New Roman" w:cs="Times New Roman" w:eastAsia="Times New Roman" w:hAnsi="Times New Roman"/>
                <w:sz w:val="12"/>
                <w:szCs w:val="12"/>
                <w:color w:val="0000FF"/>
                <w:w w:val="99"/>
              </w:rPr>
              <w:t>06/01/2028</w:t>
            </w:r>
            <w:r>
              <w:rPr>
                <w:rFonts w:ascii="Times New Roman" w:cs="Times New Roman" w:eastAsia="Times New Roman" w:hAnsi="Times New Roman"/>
                <w:sz w:val="20"/>
                <w:szCs w:val="20"/>
                <w:color w:val="008000"/>
                <w:w w:val="99"/>
                <w:vertAlign w:val="superscript"/>
              </w:rPr>
              <w:t>(3)</w:t>
            </w:r>
          </w:p>
        </w:tc>
        <w:tc>
          <w:tcPr>
            <w:tcW w:w="580" w:type="dxa"/>
            <w:vAlign w:val="bottom"/>
            <w:vMerge w:val="continue"/>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31,602</w:t>
            </w:r>
            <w:r>
              <w:rPr>
                <w:rFonts w:ascii="Times New Roman" w:cs="Times New Roman" w:eastAsia="Times New Roman" w:hAnsi="Times New Roman"/>
                <w:sz w:val="20"/>
                <w:szCs w:val="20"/>
                <w:color w:val="008000"/>
                <w:w w:val="97"/>
                <w:vertAlign w:val="superscript"/>
              </w:rPr>
              <w:t>(4)</w:t>
            </w:r>
          </w:p>
        </w:tc>
        <w:tc>
          <w:tcPr>
            <w:tcW w:w="40" w:type="dxa"/>
            <w:vAlign w:val="bottom"/>
          </w:tcPr>
          <w:p>
            <w:pPr>
              <w:spacing w:after="0"/>
              <w:rPr>
                <w:sz w:val="10"/>
                <w:szCs w:val="10"/>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94,805</w:t>
            </w:r>
            <w:r>
              <w:rPr>
                <w:rFonts w:ascii="Times New Roman" w:cs="Times New Roman" w:eastAsia="Times New Roman" w:hAnsi="Times New Roman"/>
                <w:sz w:val="20"/>
                <w:szCs w:val="20"/>
                <w:color w:val="008000"/>
                <w:w w:val="94"/>
                <w:vertAlign w:val="superscript"/>
              </w:rPr>
              <w:t>(9)</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tcPr>
          <w:p>
            <w:pPr>
              <w:ind w:left="40"/>
              <w:spacing w:after="0" w:line="150"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(4)</w:t>
            </w: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689</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2,078</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689</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1,379</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4,157</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1,379</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1,379</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4,157</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1,379</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2,758</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8,315</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2,758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E</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2,758</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8,315</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2,758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F</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2,758</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8,315</w:t>
            </w:r>
            <w:r>
              <w:rPr>
                <w:rFonts w:ascii="Times New Roman" w:cs="Times New Roman" w:eastAsia="Times New Roman" w:hAnsi="Times New Roman"/>
                <w:sz w:val="20"/>
                <w:szCs w:val="20"/>
                <w:color w:val="008000"/>
                <w:w w:val="93"/>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2,758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G</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3,447</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10,394</w:t>
            </w:r>
            <w:r>
              <w:rPr>
                <w:rFonts w:ascii="Times New Roman" w:cs="Times New Roman" w:eastAsia="Times New Roman" w:hAnsi="Times New Roman"/>
                <w:sz w:val="20"/>
                <w:szCs w:val="20"/>
                <w:color w:val="008000"/>
                <w:w w:val="94"/>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3,447</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H</w:t>
            </w:r>
          </w:p>
        </w:tc>
        <w:tc>
          <w:tcPr>
            <w:tcW w:w="5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3,447</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10,394</w:t>
            </w:r>
            <w:r>
              <w:rPr>
                <w:rFonts w:ascii="Times New Roman" w:cs="Times New Roman" w:eastAsia="Times New Roman" w:hAnsi="Times New Roman"/>
                <w:sz w:val="20"/>
                <w:szCs w:val="20"/>
                <w:color w:val="008000"/>
                <w:w w:val="94"/>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3,447</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Karkar Andrei</w:t>
              </w:r>
            </w:hyperlink>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960" w:type="dxa"/>
            <w:vAlign w:val="bottom"/>
          </w:tcPr>
          <w:p>
            <w:pPr>
              <w:ind w:left="4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-5047615</wp:posOffset>
            </wp:positionV>
            <wp:extent cx="28575" cy="444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44182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TMC THE METALS COMPANY INC.,</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1111 WEST HASTINGS STREET, 15TH FLOOR</w:t>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4"/>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A1</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V6E 2J3</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580" w:type="dxa"/>
            <w:vAlign w:val="bottom"/>
            <w:gridSpan w:val="4"/>
          </w:tcPr>
          <w:p>
            <w:pPr>
              <w:ind w:left="20"/>
              <w:spacing w:after="0" w:line="212"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ERAS Capital LLC</w:t>
              </w:r>
            </w:hyperlink>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42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r>
      <w:tr>
        <w:trPr>
          <w:trHeight w:val="249"/>
        </w:trPr>
        <w:tc>
          <w:tcPr>
            <w:tcW w:w="80" w:type="dxa"/>
            <w:vAlign w:val="bottom"/>
          </w:tcPr>
          <w:p>
            <w:pPr>
              <w:spacing w:after="0"/>
              <w:rPr>
                <w:sz w:val="21"/>
                <w:szCs w:val="21"/>
                <w:color w:val="auto"/>
              </w:rPr>
            </w:pPr>
          </w:p>
        </w:tc>
        <w:tc>
          <w:tcPr>
            <w:tcW w:w="42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A1</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V6E 2J3</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-2193290</wp:posOffset>
            </wp:positionV>
            <wp:extent cx="2811145" cy="2268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1145" cy="226822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right="120" w:hanging="3"/>
        <w:spacing w:after="0" w:line="260"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31,602 common shares for cash at an exercise price of $0.65 per common share. The deadline to exercise these stock options with respect to the vested common shares underlying them is March 5, 2026. In accordance with the terms of the stock options, the Reporting Person was also issued 689 Class A Special Shares, 1,379 Class B Special Shares, 1,379 Class C Special Shares, 2,758 Class D Special Shares, 2,758 Class E Special Shares, 2,758 Class F Special Shares, 3,447 Class G Special Shares and 3,447 Class H Special Shares for no additional consideration.</w:t>
      </w:r>
    </w:p>
    <w:p>
      <w:pPr>
        <w:spacing w:after="0" w:line="12" w:lineRule="exact"/>
        <w:rPr>
          <w:rFonts w:ascii="Times New Roman" w:cs="Times New Roman" w:eastAsia="Times New Roman" w:hAnsi="Times New Roman"/>
          <w:sz w:val="12"/>
          <w:szCs w:val="12"/>
          <w:color w:val="008000"/>
        </w:rPr>
      </w:pPr>
    </w:p>
    <w:p>
      <w:pPr>
        <w:ind w:left="20" w:right="420" w:hanging="3"/>
        <w:spacing w:after="0" w:line="281"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ind w:left="20" w:right="360" w:hanging="3"/>
        <w:spacing w:after="0" w:line="281"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options vest in increments upon the occurrence of certain milestones, subject to continued service through each milestone. These stock options are exercisable at any time until March 5 of the year following vesting of such stock option (any such date, the "Exercise Date"). These stock options expire on the day after the Exercise Date.</w:t>
      </w:r>
    </w:p>
    <w:p>
      <w:pPr>
        <w:ind w:left="20" w:right="40" w:hanging="3"/>
        <w:spacing w:after="0" w:line="281"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Class A Special Shares, the Class B Special Shares, the Class C Special Shares, the Class D Special Shares, the Class E Special Shares, the Class F Special Shares, the Class G Special Shares and the Class H Special Shares (collectively, the "Special Shares") set forth in Footnote 1 above.</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the Reporting Person as described in the Form 4 submitted by the Reporting Person on September 13, 2021.</w:t>
      </w:r>
    </w:p>
    <w:p>
      <w:pPr>
        <w:spacing w:after="0" w:line="48" w:lineRule="exact"/>
        <w:rPr>
          <w:rFonts w:ascii="Times New Roman" w:cs="Times New Roman" w:eastAsia="Times New Roman" w:hAnsi="Times New Roman"/>
          <w:sz w:val="12"/>
          <w:szCs w:val="12"/>
          <w:color w:val="008000"/>
        </w:rPr>
      </w:pPr>
    </w:p>
    <w:p>
      <w:pPr>
        <w:ind w:left="20" w:hanging="3"/>
        <w:spacing w:after="0" w:line="25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1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amount of the specified class of Special Shares acquired upon the exercise of stock options referenced in Footnote 1 above.</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Does not include the Special Shares held by ERAS Capital LLC that were previously reported in the Form 4 submitted by the Reporting Person on September 13, 2021.</w:t>
      </w:r>
    </w:p>
    <w:p>
      <w:pPr>
        <w:spacing w:after="0" w:line="48" w:lineRule="exact"/>
        <w:rPr>
          <w:rFonts w:ascii="Times New Roman" w:cs="Times New Roman" w:eastAsia="Times New Roman" w:hAnsi="Times New Roman"/>
          <w:sz w:val="12"/>
          <w:szCs w:val="12"/>
          <w:color w:val="008000"/>
        </w:rPr>
      </w:pPr>
    </w:p>
    <w:p>
      <w:pPr>
        <w:ind w:left="20" w:right="280" w:hanging="3"/>
        <w:spacing w:after="0" w:line="261"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includes the right to purchase 2,069 Class A Special Shares, 4,137 Class B Special Shares, 4,137 Class C Special Shares, 8,274 Class D Special Shares, 8,274 Class E Special Shares, 8,274 Class F Special Shares, 10,343 Class G Special Shares and 10,343 Class H Special Shares.</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Michelle Ancosky, Attorney-  </w:t>
      </w:r>
      <w:r>
        <w:rPr>
          <w:rFonts w:ascii="Times New Roman" w:cs="Times New Roman" w:eastAsia="Times New Roman" w:hAnsi="Times New Roman"/>
          <w:sz w:val="30"/>
          <w:szCs w:val="30"/>
          <w:color w:val="0000FF"/>
          <w:vertAlign w:val="subscript"/>
        </w:rPr>
        <w:t>02/10/2026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-26035</wp:posOffset>
            </wp:positionV>
            <wp:extent cx="13246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971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97180" cy="762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-80010</wp:posOffset>
            </wp:positionV>
            <wp:extent cx="4686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660" w:hanging="3"/>
        <w:spacing w:after="0" w:line="325" w:lineRule="auto"/>
        <w:tabs>
          <w:tab w:leader="none" w:pos="15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874431" TargetMode="External"/><Relationship Id="rId14" Type="http://schemas.openxmlformats.org/officeDocument/2006/relationships/hyperlink" Target="http://www.sec.gov/cgi-bin/browse-edgar?action=getcompany&amp;CIK=0001798562" TargetMode="External"/><Relationship Id="rId16"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2026-02-10T19:00:56Z</dcterms:created>
  <dcterms:modified xsi:type="dcterms:W3CDTF">2026-02-10T19:00:56Z</dcterms:modified>
</cp:coreProperties>
</file>