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069-3_4seq1.xml.htm"/>
      <w:bookmarkStart w:id="1" w:name="kstm2627069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Mallon Liam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TMC THE METALS COMPANY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WEST HASTINGS STREET,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V6E 2J3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TMC the metals Co Inc.</w:t>
              </w:r>
            </w:hyperlink>
            <w:r>
              <w:rPr/>
              <w:t xml:space="preserve"> [ </w:t>
            </w:r>
            <w:r>
              <w:rPr>
                <w:rFonts w:ascii="Times;serif" w:hAnsi="Times;serif"/>
                <w:color w:val="0000FF"/>
                <w:sz w:val="24"/>
                <w:shd w:fill="FFFFFF" w:val="clear"/>
              </w:rPr>
              <w:t>TMC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25,445</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25,445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77,720</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103,165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Issuer's Nonemployee Director Compensation Policy, the Reporting Person was granted restricted stock units ("RSUs") under the Issuer's 2021 Incentive Equity Plan (the "Plan"), which will vest, subject to continued service through each vesting date, over a three-year period as follows: 1/3 on the first anniversary of September 25, 2026 (the "Initial Grant Date"), 1/3 on the second anniversary of the Initial Grant Date and 1/3 on the third anniversary of the Initial Grant Date. Each RSU represents the right to receive one common share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RSUs under the Plan, which will vest, subject to continued service through each vesting date, over a three-year period as follows: 1/3 on the first anniversary of September 28, 2026 (the "Special Grant Date"), 1/3 on the second anniversary of the Special Grant Date and 1/3 on the third anniversary of the Special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Ancosky,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2881" TargetMode="External"/><Relationship Id="rId5" Type="http://schemas.openxmlformats.org/officeDocument/2006/relationships/hyperlink" Target="http://www.sec.gov/cgi-bin/browse-edgar?action=getcompany&amp;CIK=0001798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3952</Characters>
  <CharactersWithSpaces>4610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