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53340</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S-8</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ACT OF 1933</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TMC the metals company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7" w:lineRule="exact"/>
        <w:rPr>
          <w:sz w:val="24"/>
          <w:szCs w:val="24"/>
          <w:color w:val="auto"/>
        </w:rPr>
      </w:pPr>
    </w:p>
    <w:tbl>
      <w:tblPr>
        <w:tblLayout w:type="fixed"/>
        <w:tblInd w:w="1660" w:type="dxa"/>
        <w:tblCellMar>
          <w:top w:w="0" w:type="dxa"/>
          <w:left w:w="0" w:type="dxa"/>
          <w:bottom w:w="0" w:type="dxa"/>
          <w:right w:w="0" w:type="dxa"/>
        </w:tblCellMar>
      </w:tblPr>
      <w:tr>
        <w:trPr>
          <w:trHeight w:val="209"/>
        </w:trPr>
        <w:tc>
          <w:tcPr>
            <w:tcW w:w="4080" w:type="dxa"/>
            <w:vAlign w:val="bottom"/>
          </w:tcPr>
          <w:p>
            <w:pPr>
              <w:jc w:val="center"/>
              <w:ind w:right="1934"/>
              <w:spacing w:after="0"/>
              <w:rPr>
                <w:sz w:val="20"/>
                <w:szCs w:val="20"/>
                <w:color w:val="auto"/>
              </w:rPr>
            </w:pPr>
            <w:r>
              <w:rPr>
                <w:rFonts w:ascii="Times New Roman" w:cs="Times New Roman" w:eastAsia="Times New Roman" w:hAnsi="Times New Roman"/>
                <w:sz w:val="17"/>
                <w:szCs w:val="17"/>
                <w:b w:val="1"/>
                <w:bCs w:val="1"/>
                <w:color w:val="auto"/>
              </w:rPr>
              <w:t>British Columbia, Canada</w:t>
            </w:r>
          </w:p>
        </w:tc>
        <w:tc>
          <w:tcPr>
            <w:tcW w:w="3280" w:type="dxa"/>
            <w:vAlign w:val="bottom"/>
          </w:tcPr>
          <w:p>
            <w:pPr>
              <w:jc w:val="center"/>
              <w:ind w:left="1914"/>
              <w:spacing w:after="0"/>
              <w:rPr>
                <w:sz w:val="20"/>
                <w:szCs w:val="20"/>
                <w:color w:val="auto"/>
              </w:rPr>
            </w:pPr>
            <w:r>
              <w:rPr>
                <w:rFonts w:ascii="Times New Roman" w:cs="Times New Roman" w:eastAsia="Times New Roman" w:hAnsi="Times New Roman"/>
                <w:sz w:val="17"/>
                <w:szCs w:val="17"/>
                <w:b w:val="1"/>
                <w:bCs w:val="1"/>
                <w:color w:val="auto"/>
              </w:rPr>
              <w:t>Not Applicable</w:t>
            </w:r>
          </w:p>
        </w:tc>
      </w:tr>
      <w:tr>
        <w:trPr>
          <w:trHeight w:val="207"/>
        </w:trPr>
        <w:tc>
          <w:tcPr>
            <w:tcW w:w="4080" w:type="dxa"/>
            <w:vAlign w:val="bottom"/>
          </w:tcPr>
          <w:p>
            <w:pPr>
              <w:jc w:val="center"/>
              <w:ind w:right="1934"/>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3280" w:type="dxa"/>
            <w:vAlign w:val="bottom"/>
          </w:tcPr>
          <w:p>
            <w:pPr>
              <w:jc w:val="center"/>
              <w:ind w:left="1934"/>
              <w:spacing w:after="0"/>
              <w:rPr>
                <w:sz w:val="20"/>
                <w:szCs w:val="20"/>
                <w:color w:val="auto"/>
              </w:rPr>
            </w:pPr>
            <w:r>
              <w:rPr>
                <w:rFonts w:ascii="Times New Roman" w:cs="Times New Roman" w:eastAsia="Times New Roman" w:hAnsi="Times New Roman"/>
                <w:sz w:val="17"/>
                <w:szCs w:val="17"/>
                <w:color w:val="auto"/>
              </w:rPr>
              <w:t>(I.R.S. Employer</w:t>
            </w:r>
          </w:p>
        </w:tc>
      </w:tr>
      <w:tr>
        <w:trPr>
          <w:trHeight w:val="226"/>
        </w:trPr>
        <w:tc>
          <w:tcPr>
            <w:tcW w:w="4080" w:type="dxa"/>
            <w:vAlign w:val="bottom"/>
          </w:tcPr>
          <w:p>
            <w:pPr>
              <w:jc w:val="center"/>
              <w:ind w:right="1934"/>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3280" w:type="dxa"/>
            <w:vAlign w:val="bottom"/>
          </w:tcPr>
          <w:p>
            <w:pPr>
              <w:jc w:val="center"/>
              <w:ind w:left="1914"/>
              <w:spacing w:after="0"/>
              <w:rPr>
                <w:sz w:val="20"/>
                <w:szCs w:val="20"/>
                <w:color w:val="auto"/>
              </w:rPr>
            </w:pPr>
            <w:r>
              <w:rPr>
                <w:rFonts w:ascii="Times New Roman" w:cs="Times New Roman" w:eastAsia="Times New Roman" w:hAnsi="Times New Roman"/>
                <w:sz w:val="17"/>
                <w:szCs w:val="17"/>
                <w:color w:val="auto"/>
              </w:rPr>
              <w:t>Identification No.)</w:t>
            </w:r>
          </w:p>
        </w:tc>
      </w:tr>
    </w:tbl>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1111 West Hastings Street, 15th Floor</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Vancouver, British Columbia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V6E 2J3</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(888) 458-3420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Including Zip Code, of Principal Executive Offices)</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2021 Incentive Equity Plan, as amended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(Full Title of the Plans)</w:t>
      </w:r>
    </w:p>
    <w:p>
      <w:pPr>
        <w:spacing w:after="0" w:line="198"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7"/>
          <w:szCs w:val="17"/>
          <w:b w:val="1"/>
          <w:bCs w:val="1"/>
          <w:color w:val="auto"/>
        </w:rPr>
        <w:t>Cogency Global Inc.</w:t>
      </w:r>
    </w:p>
    <w:p>
      <w:pPr>
        <w:ind w:left="4460"/>
        <w:spacing w:after="0" w:line="208" w:lineRule="auto"/>
        <w:rPr>
          <w:sz w:val="20"/>
          <w:szCs w:val="20"/>
          <w:color w:val="auto"/>
        </w:rPr>
      </w:pPr>
      <w:r>
        <w:rPr>
          <w:rFonts w:ascii="Times New Roman" w:cs="Times New Roman" w:eastAsia="Times New Roman" w:hAnsi="Times New Roman"/>
          <w:sz w:val="17"/>
          <w:szCs w:val="17"/>
          <w:b w:val="1"/>
          <w:bCs w:val="1"/>
          <w:color w:val="auto"/>
        </w:rPr>
        <w:t>122 East 42</w:t>
      </w:r>
      <w:r>
        <w:rPr>
          <w:rFonts w:ascii="Times New Roman" w:cs="Times New Roman" w:eastAsia="Times New Roman" w:hAnsi="Times New Roman"/>
          <w:sz w:val="28"/>
          <w:szCs w:val="28"/>
          <w:b w:val="1"/>
          <w:bCs w:val="1"/>
          <w:color w:val="auto"/>
          <w:vertAlign w:val="superscript"/>
        </w:rPr>
        <w:t>nd</w:t>
      </w:r>
      <w:r>
        <w:rPr>
          <w:rFonts w:ascii="Times New Roman" w:cs="Times New Roman" w:eastAsia="Times New Roman" w:hAnsi="Times New Roman"/>
          <w:sz w:val="17"/>
          <w:szCs w:val="17"/>
          <w:b w:val="1"/>
          <w:bCs w:val="1"/>
          <w:color w:val="auto"/>
        </w:rPr>
        <w:t xml:space="preserve"> Street, 18</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New York 10168</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(800) 221-0102</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Copies 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Michael L. Fantozzi, Esq.</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Daniel T. Kajunski, Esq.</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Mintz, Levin, Cohn, Ferris, Glovsky and Popeo, P.C.</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One Financial Center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Boston, MA 02111</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Telephone: (617) 542-6000</w:t>
      </w:r>
    </w:p>
    <w:p>
      <w:pPr>
        <w:spacing w:after="0" w:line="200"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880" w:type="dxa"/>
            <w:vAlign w:val="bottom"/>
          </w:tcPr>
          <w:p>
            <w:pPr>
              <w:ind w:left="1500"/>
              <w:spacing w:after="0" w:line="171" w:lineRule="exact"/>
              <w:rPr>
                <w:sz w:val="20"/>
                <w:szCs w:val="20"/>
                <w:color w:val="auto"/>
              </w:rPr>
            </w:pPr>
            <w:r>
              <w:rPr>
                <w:rFonts w:ascii="MS PGothic" w:cs="MS PGothic" w:eastAsia="MS PGothic" w:hAnsi="MS PGothic"/>
                <w:sz w:val="17"/>
                <w:szCs w:val="17"/>
                <w:color w:val="auto"/>
              </w:rPr>
              <w:t>☐</w:t>
            </w:r>
          </w:p>
        </w:tc>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Accelerated filer</w:t>
            </w:r>
          </w:p>
        </w:tc>
        <w:tc>
          <w:tcPr>
            <w:tcW w:w="2020" w:type="dxa"/>
            <w:vAlign w:val="bottom"/>
          </w:tcPr>
          <w:p>
            <w:pPr>
              <w:ind w:left="18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7"/>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880" w:type="dxa"/>
            <w:vAlign w:val="bottom"/>
          </w:tcPr>
          <w:p>
            <w:pPr>
              <w:ind w:left="1500"/>
              <w:spacing w:after="0" w:line="171" w:lineRule="exact"/>
              <w:rPr>
                <w:sz w:val="20"/>
                <w:szCs w:val="20"/>
                <w:color w:val="auto"/>
              </w:rPr>
            </w:pPr>
            <w:r>
              <w:rPr>
                <w:rFonts w:ascii="MS PGothic" w:cs="MS PGothic" w:eastAsia="MS PGothic" w:hAnsi="MS PGothic"/>
                <w:sz w:val="17"/>
                <w:szCs w:val="17"/>
                <w:color w:val="auto"/>
              </w:rPr>
              <w:t>☒</w:t>
            </w:r>
          </w:p>
        </w:tc>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2020" w:type="dxa"/>
            <w:vAlign w:val="bottom"/>
          </w:tcPr>
          <w:p>
            <w:pPr>
              <w:ind w:left="18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0"/>
        </w:trPr>
        <w:tc>
          <w:tcPr>
            <w:tcW w:w="30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Emerging growth company</w:t>
            </w:r>
          </w:p>
        </w:tc>
        <w:tc>
          <w:tcPr>
            <w:tcW w:w="2020" w:type="dxa"/>
            <w:vAlign w:val="bottom"/>
          </w:tcPr>
          <w:p>
            <w:pPr>
              <w:ind w:left="18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45"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38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140335</wp:posOffset>
            </wp:positionV>
            <wp:extent cx="713803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419735</wp:posOffset>
            </wp:positionV>
            <wp:extent cx="7138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21" w:lineRule="exact"/>
        <w:rPr>
          <w:sz w:val="20"/>
          <w:szCs w:val="20"/>
          <w:color w:val="auto"/>
        </w:rPr>
      </w:pPr>
    </w:p>
    <w:p>
      <w:pPr>
        <w:jc w:val="both"/>
        <w:ind w:firstLine="622"/>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Registration Statement registers additional securities of the same class as other securities for which the registration statements filed on Form S-8 (SEC File Nos. </w:t>
      </w:r>
      <w:hyperlink r:id="rId13">
        <w:r>
          <w:rPr>
            <w:rFonts w:ascii="Times New Roman" w:cs="Times New Roman" w:eastAsia="Times New Roman" w:hAnsi="Times New Roman"/>
            <w:sz w:val="17"/>
            <w:szCs w:val="17"/>
            <w:u w:val="single" w:color="auto"/>
            <w:color w:val="0000EE"/>
          </w:rPr>
          <w:t>333-261221</w:t>
        </w:r>
      </w:hyperlink>
      <w:r>
        <w:rPr>
          <w:rFonts w:ascii="Times New Roman" w:cs="Times New Roman" w:eastAsia="Times New Roman" w:hAnsi="Times New Roman"/>
          <w:sz w:val="17"/>
          <w:szCs w:val="17"/>
          <w:color w:val="auto"/>
        </w:rPr>
        <w:t xml:space="preserve">, </w:t>
      </w:r>
      <w:hyperlink r:id="rId14">
        <w:r>
          <w:rPr>
            <w:rFonts w:ascii="Times New Roman" w:cs="Times New Roman" w:eastAsia="Times New Roman" w:hAnsi="Times New Roman"/>
            <w:sz w:val="17"/>
            <w:szCs w:val="17"/>
            <w:u w:val="single" w:color="auto"/>
            <w:color w:val="0000EE"/>
          </w:rPr>
          <w:t>333-265319</w:t>
        </w:r>
      </w:hyperlink>
      <w:r>
        <w:rPr>
          <w:rFonts w:ascii="Times New Roman" w:cs="Times New Roman" w:eastAsia="Times New Roman" w:hAnsi="Times New Roman"/>
          <w:sz w:val="17"/>
          <w:szCs w:val="17"/>
          <w:color w:val="auto"/>
        </w:rPr>
        <w:t xml:space="preserve">, </w:t>
      </w:r>
      <w:hyperlink r:id="rId15">
        <w:r>
          <w:rPr>
            <w:rFonts w:ascii="Times New Roman" w:cs="Times New Roman" w:eastAsia="Times New Roman" w:hAnsi="Times New Roman"/>
            <w:sz w:val="17"/>
            <w:szCs w:val="17"/>
            <w:u w:val="single" w:color="auto"/>
            <w:color w:val="0000EE"/>
          </w:rPr>
          <w:t>333-270875</w:t>
        </w:r>
      </w:hyperlink>
      <w:r>
        <w:rPr>
          <w:rFonts w:ascii="Times New Roman" w:cs="Times New Roman" w:eastAsia="Times New Roman" w:hAnsi="Times New Roman"/>
          <w:sz w:val="17"/>
          <w:szCs w:val="17"/>
          <w:color w:val="auto"/>
        </w:rPr>
        <w:t xml:space="preserve">, </w:t>
      </w:r>
      <w:hyperlink r:id="rId16">
        <w:r>
          <w:rPr>
            <w:rFonts w:ascii="Times New Roman" w:cs="Times New Roman" w:eastAsia="Times New Roman" w:hAnsi="Times New Roman"/>
            <w:sz w:val="17"/>
            <w:szCs w:val="17"/>
            <w:u w:val="single" w:color="auto"/>
            <w:color w:val="0000EE"/>
          </w:rPr>
          <w:t>333-278222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17">
        <w:r>
          <w:rPr>
            <w:rFonts w:ascii="Times New Roman" w:cs="Times New Roman" w:eastAsia="Times New Roman" w:hAnsi="Times New Roman"/>
            <w:sz w:val="17"/>
            <w:szCs w:val="17"/>
            <w:u w:val="single" w:color="auto"/>
            <w:color w:val="0000EE"/>
          </w:rPr>
          <w:t>333-286191</w:t>
        </w:r>
      </w:hyperlink>
      <w:r>
        <w:rPr>
          <w:rFonts w:ascii="Times New Roman" w:cs="Times New Roman" w:eastAsia="Times New Roman" w:hAnsi="Times New Roman"/>
          <w:sz w:val="17"/>
          <w:szCs w:val="17"/>
          <w:color w:val="auto"/>
        </w:rPr>
        <w:t xml:space="preserve">) of TMC the metals company Inc. (the “Registrant”) are effective. The additional securities are 40,000,000 Common Shares of the Registrant reserved for issuance under the 2021 Incentive Equity Plan, as amended, as a result of an amendment to the plan as approved by the shareholders on August 28, 2025. The information contained in the Registrant’s registration statements on Form S-8 (SEC File Nos. </w:t>
      </w:r>
      <w:hyperlink r:id="rId13">
        <w:r>
          <w:rPr>
            <w:rFonts w:ascii="Times New Roman" w:cs="Times New Roman" w:eastAsia="Times New Roman" w:hAnsi="Times New Roman"/>
            <w:sz w:val="17"/>
            <w:szCs w:val="17"/>
            <w:u w:val="single" w:color="auto"/>
            <w:color w:val="0000EE"/>
          </w:rPr>
          <w:t>333-261221</w:t>
        </w:r>
      </w:hyperlink>
      <w:r>
        <w:rPr>
          <w:rFonts w:ascii="Times New Roman" w:cs="Times New Roman" w:eastAsia="Times New Roman" w:hAnsi="Times New Roman"/>
          <w:sz w:val="17"/>
          <w:szCs w:val="17"/>
          <w:color w:val="auto"/>
        </w:rPr>
        <w:t xml:space="preserve">, </w:t>
      </w:r>
      <w:hyperlink r:id="rId14">
        <w:r>
          <w:rPr>
            <w:rFonts w:ascii="Times New Roman" w:cs="Times New Roman" w:eastAsia="Times New Roman" w:hAnsi="Times New Roman"/>
            <w:sz w:val="17"/>
            <w:szCs w:val="17"/>
            <w:u w:val="single" w:color="auto"/>
            <w:color w:val="0000EE"/>
          </w:rPr>
          <w:t>333-265319</w:t>
        </w:r>
      </w:hyperlink>
      <w:r>
        <w:rPr>
          <w:rFonts w:ascii="Times New Roman" w:cs="Times New Roman" w:eastAsia="Times New Roman" w:hAnsi="Times New Roman"/>
          <w:sz w:val="17"/>
          <w:szCs w:val="17"/>
          <w:color w:val="auto"/>
        </w:rPr>
        <w:t xml:space="preserve">, </w:t>
      </w:r>
      <w:hyperlink r:id="rId15">
        <w:r>
          <w:rPr>
            <w:rFonts w:ascii="Times New Roman" w:cs="Times New Roman" w:eastAsia="Times New Roman" w:hAnsi="Times New Roman"/>
            <w:sz w:val="17"/>
            <w:szCs w:val="17"/>
            <w:u w:val="single" w:color="auto"/>
            <w:color w:val="0000EE"/>
          </w:rPr>
          <w:t>333-270875</w:t>
        </w:r>
      </w:hyperlink>
      <w:r>
        <w:rPr>
          <w:rFonts w:ascii="Times New Roman" w:cs="Times New Roman" w:eastAsia="Times New Roman" w:hAnsi="Times New Roman"/>
          <w:sz w:val="17"/>
          <w:szCs w:val="17"/>
          <w:color w:val="auto"/>
        </w:rPr>
        <w:t xml:space="preserve">, </w:t>
      </w:r>
      <w:hyperlink r:id="rId16">
        <w:r>
          <w:rPr>
            <w:rFonts w:ascii="Times New Roman" w:cs="Times New Roman" w:eastAsia="Times New Roman" w:hAnsi="Times New Roman"/>
            <w:sz w:val="17"/>
            <w:szCs w:val="17"/>
            <w:u w:val="single" w:color="auto"/>
            <w:color w:val="0000EE"/>
          </w:rPr>
          <w:t>333-278222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17">
        <w:r>
          <w:rPr>
            <w:rFonts w:ascii="Times New Roman" w:cs="Times New Roman" w:eastAsia="Times New Roman" w:hAnsi="Times New Roman"/>
            <w:sz w:val="17"/>
            <w:szCs w:val="17"/>
            <w:u w:val="single" w:color="auto"/>
            <w:color w:val="0000EE"/>
          </w:rPr>
          <w:t>333-286191</w:t>
        </w:r>
      </w:hyperlink>
      <w:r>
        <w:rPr>
          <w:rFonts w:ascii="Times New Roman" w:cs="Times New Roman" w:eastAsia="Times New Roman" w:hAnsi="Times New Roman"/>
          <w:sz w:val="17"/>
          <w:szCs w:val="17"/>
          <w:color w:val="auto"/>
        </w:rPr>
        <w:t>) is hereby incorporated by reference pursuant to General Instruction E of Form S-8.</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2540</wp:posOffset>
            </wp:positionH>
            <wp:positionV relativeFrom="paragraph">
              <wp:posOffset>534670</wp:posOffset>
            </wp:positionV>
            <wp:extent cx="7138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8"/>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PART II</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80" w:type="dxa"/>
            <w:vAlign w:val="bottom"/>
            <w:gridSpan w:val="33"/>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8.</w:t>
            </w:r>
          </w:p>
        </w:tc>
        <w:tc>
          <w:tcPr>
            <w:tcW w:w="100" w:type="dxa"/>
            <w:vAlign w:val="bottom"/>
          </w:tcPr>
          <w:p>
            <w:pPr>
              <w:spacing w:after="0"/>
              <w:rPr>
                <w:sz w:val="24"/>
                <w:szCs w:val="24"/>
                <w:color w:val="auto"/>
              </w:rPr>
            </w:pPr>
          </w:p>
        </w:tc>
        <w:tc>
          <w:tcPr>
            <w:tcW w:w="4780" w:type="dxa"/>
            <w:vAlign w:val="bottom"/>
            <w:gridSpan w:val="26"/>
          </w:tcPr>
          <w:p>
            <w:pPr>
              <w:ind w:left="120"/>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SEC</w:t>
            </w:r>
          </w:p>
        </w:tc>
        <w:tc>
          <w:tcPr>
            <w:tcW w:w="0" w:type="dxa"/>
            <w:vAlign w:val="bottom"/>
          </w:tcPr>
          <w:p>
            <w:pPr>
              <w:spacing w:after="0"/>
              <w:rPr>
                <w:sz w:val="1"/>
                <w:szCs w:val="1"/>
                <w:color w:val="auto"/>
              </w:rPr>
            </w:pPr>
          </w:p>
        </w:tc>
      </w:tr>
      <w:tr>
        <w:trPr>
          <w:trHeight w:val="207"/>
        </w:trPr>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8"/>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Incorporated by</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File/</w:t>
            </w:r>
          </w:p>
        </w:tc>
        <w:tc>
          <w:tcPr>
            <w:tcW w:w="0" w:type="dxa"/>
            <w:vAlign w:val="bottom"/>
          </w:tcPr>
          <w:p>
            <w:pPr>
              <w:spacing w:after="0"/>
              <w:rPr>
                <w:sz w:val="1"/>
                <w:szCs w:val="1"/>
                <w:color w:val="auto"/>
              </w:rPr>
            </w:pPr>
          </w:p>
        </w:tc>
      </w:tr>
      <w:tr>
        <w:trPr>
          <w:trHeight w:val="207"/>
        </w:trPr>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Filed</w:t>
            </w:r>
          </w:p>
        </w:tc>
        <w:tc>
          <w:tcPr>
            <w:tcW w:w="1800" w:type="dxa"/>
            <w:vAlign w:val="bottom"/>
            <w:gridSpan w:val="8"/>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Reference herein from</w:t>
            </w:r>
          </w:p>
        </w:tc>
        <w:tc>
          <w:tcPr>
            <w:tcW w:w="240" w:type="dxa"/>
            <w:vAlign w:val="bottom"/>
          </w:tcPr>
          <w:p>
            <w:pPr>
              <w:spacing w:after="0"/>
              <w:rPr>
                <w:sz w:val="18"/>
                <w:szCs w:val="18"/>
                <w:color w:val="auto"/>
              </w:rPr>
            </w:pPr>
          </w:p>
        </w:tc>
        <w:tc>
          <w:tcPr>
            <w:tcW w:w="980" w:type="dxa"/>
            <w:vAlign w:val="bottom"/>
            <w:gridSpan w:val="4"/>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Filing</w:t>
            </w:r>
          </w:p>
        </w:tc>
        <w:tc>
          <w:tcPr>
            <w:tcW w:w="18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Reg.</w:t>
            </w:r>
          </w:p>
        </w:tc>
        <w:tc>
          <w:tcPr>
            <w:tcW w:w="0" w:type="dxa"/>
            <w:vAlign w:val="bottom"/>
          </w:tcPr>
          <w:p>
            <w:pPr>
              <w:spacing w:after="0"/>
              <w:rPr>
                <w:sz w:val="1"/>
                <w:szCs w:val="1"/>
                <w:color w:val="auto"/>
              </w:rPr>
            </w:pPr>
          </w:p>
        </w:tc>
      </w:tr>
      <w:tr>
        <w:trPr>
          <w:trHeight w:val="228"/>
        </w:trPr>
        <w:tc>
          <w:tcPr>
            <w:tcW w:w="11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20"/>
          </w:tcPr>
          <w:p>
            <w:pPr>
              <w:ind w:left="40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Herewith</w:t>
            </w:r>
          </w:p>
        </w:tc>
        <w:tc>
          <w:tcPr>
            <w:tcW w:w="120" w:type="dxa"/>
            <w:vAlign w:val="bottom"/>
          </w:tcPr>
          <w:p>
            <w:pPr>
              <w:spacing w:after="0"/>
              <w:rPr>
                <w:sz w:val="19"/>
                <w:szCs w:val="19"/>
                <w:color w:val="auto"/>
              </w:rPr>
            </w:pPr>
          </w:p>
        </w:tc>
        <w:tc>
          <w:tcPr>
            <w:tcW w:w="16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7"/>
                <w:szCs w:val="17"/>
                <w:b w:val="1"/>
                <w:bCs w:val="1"/>
                <w:color w:val="auto"/>
              </w:rPr>
              <w:t>Form or Schedule</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0" w:type="dxa"/>
            <w:vAlign w:val="bottom"/>
          </w:tcPr>
          <w:p>
            <w:pPr>
              <w:spacing w:after="0"/>
              <w:rPr>
                <w:sz w:val="1"/>
                <w:szCs w:val="1"/>
                <w:color w:val="auto"/>
              </w:rPr>
            </w:pPr>
          </w:p>
        </w:tc>
      </w:tr>
      <w:tr>
        <w:trPr>
          <w:trHeight w:val="369"/>
        </w:trPr>
        <w:tc>
          <w:tcPr>
            <w:tcW w:w="680" w:type="dxa"/>
            <w:vAlign w:val="bottom"/>
            <w:gridSpan w:val="2"/>
          </w:tcPr>
          <w:p>
            <w:pPr>
              <w:jc w:val="center"/>
              <w:ind w:left="374"/>
              <w:spacing w:after="0"/>
              <w:rPr>
                <w:rFonts w:ascii="Times New Roman" w:cs="Times New Roman" w:eastAsia="Times New Roman" w:hAnsi="Times New Roman"/>
                <w:sz w:val="17"/>
                <w:szCs w:val="17"/>
                <w:color w:val="0000EE"/>
              </w:rPr>
            </w:pPr>
            <w:hyperlink r:id="rId19">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1</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gridSpan w:val="26"/>
          </w:tcPr>
          <w:p>
            <w:pPr>
              <w:spacing w:after="0"/>
              <w:rPr>
                <w:rFonts w:ascii="Times New Roman" w:cs="Times New Roman" w:eastAsia="Times New Roman" w:hAnsi="Times New Roman"/>
                <w:sz w:val="17"/>
                <w:szCs w:val="17"/>
                <w:color w:val="0000EE"/>
              </w:rPr>
            </w:pPr>
            <w:hyperlink r:id="rId19">
              <w:r>
                <w:rPr>
                  <w:rFonts w:ascii="Times New Roman" w:cs="Times New Roman" w:eastAsia="Times New Roman" w:hAnsi="Times New Roman"/>
                  <w:sz w:val="17"/>
                  <w:szCs w:val="17"/>
                  <w:color w:val="0000EE"/>
                </w:rPr>
                <w:t>Notice of Articles of TMC the metals company Inc.</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6"/>
          </w:tcPr>
          <w:p>
            <w:pPr>
              <w:jc w:val="center"/>
              <w:ind w:right="580"/>
              <w:spacing w:after="0"/>
              <w:rPr>
                <w:rFonts w:ascii="Times New Roman" w:cs="Times New Roman" w:eastAsia="Times New Roman" w:hAnsi="Times New Roman"/>
                <w:sz w:val="17"/>
                <w:szCs w:val="17"/>
                <w:color w:val="0000EE"/>
                <w:w w:val="92"/>
              </w:rPr>
            </w:pPr>
            <w:hyperlink r:id="rId19">
              <w:r>
                <w:rPr>
                  <w:rFonts w:ascii="Times New Roman" w:cs="Times New Roman" w:eastAsia="Times New Roman" w:hAnsi="Times New Roman"/>
                  <w:sz w:val="17"/>
                  <w:szCs w:val="17"/>
                  <w:color w:val="0000EE"/>
                  <w:w w:val="92"/>
                </w:rPr>
                <w:t>Form 10-Q</w:t>
              </w:r>
            </w:hyperlink>
          </w:p>
        </w:tc>
        <w:tc>
          <w:tcPr>
            <w:tcW w:w="940" w:type="dxa"/>
            <w:vAlign w:val="bottom"/>
            <w:gridSpan w:val="3"/>
          </w:tcPr>
          <w:p>
            <w:pPr>
              <w:jc w:val="center"/>
              <w:ind w:left="74"/>
              <w:spacing w:after="0"/>
              <w:rPr>
                <w:rFonts w:ascii="Times New Roman" w:cs="Times New Roman" w:eastAsia="Times New Roman" w:hAnsi="Times New Roman"/>
                <w:sz w:val="17"/>
                <w:szCs w:val="17"/>
                <w:color w:val="0000EE"/>
              </w:rPr>
            </w:pPr>
            <w:hyperlink r:id="rId19">
              <w:r>
                <w:rPr>
                  <w:rFonts w:ascii="Times New Roman" w:cs="Times New Roman" w:eastAsia="Times New Roman" w:hAnsi="Times New Roman"/>
                  <w:sz w:val="17"/>
                  <w:szCs w:val="17"/>
                  <w:color w:val="0000EE"/>
                </w:rPr>
                <w:t>8/14/2025</w:t>
              </w:r>
            </w:hyperlink>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left="94"/>
              <w:spacing w:after="0"/>
              <w:rPr>
                <w:rFonts w:ascii="Times New Roman" w:cs="Times New Roman" w:eastAsia="Times New Roman" w:hAnsi="Times New Roman"/>
                <w:sz w:val="17"/>
                <w:szCs w:val="17"/>
                <w:color w:val="0000EE"/>
              </w:rPr>
            </w:pPr>
            <w:hyperlink r:id="rId19">
              <w:r>
                <w:rPr>
                  <w:rFonts w:ascii="Times New Roman" w:cs="Times New Roman" w:eastAsia="Times New Roman" w:hAnsi="Times New Roman"/>
                  <w:sz w:val="17"/>
                  <w:szCs w:val="17"/>
                  <w:color w:val="0000EE"/>
                </w:rPr>
                <w:t>001-39281</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6"/>
          </w:tcPr>
          <w:p>
            <w:pPr>
              <w:jc w:val="center"/>
              <w:ind w:right="520"/>
              <w:spacing w:after="0" w:line="187" w:lineRule="exact"/>
              <w:rPr>
                <w:rFonts w:ascii="Times New Roman" w:cs="Times New Roman" w:eastAsia="Times New Roman" w:hAnsi="Times New Roman"/>
                <w:sz w:val="17"/>
                <w:szCs w:val="17"/>
                <w:color w:val="0000EE"/>
                <w:w w:val="87"/>
              </w:rPr>
            </w:pPr>
            <w:hyperlink r:id="rId19">
              <w:r>
                <w:rPr>
                  <w:rFonts w:ascii="Times New Roman" w:cs="Times New Roman" w:eastAsia="Times New Roman" w:hAnsi="Times New Roman"/>
                  <w:sz w:val="17"/>
                  <w:szCs w:val="17"/>
                  <w:color w:val="0000EE"/>
                  <w:w w:val="87"/>
                </w:rPr>
                <w:t>(Exhibit 3.1)</w:t>
              </w:r>
            </w:hyperlink>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0" w:type="dxa"/>
            <w:vAlign w:val="bottom"/>
            <w:gridSpan w:val="2"/>
          </w:tcPr>
          <w:p>
            <w:pPr>
              <w:jc w:val="center"/>
              <w:ind w:left="374"/>
              <w:spacing w:after="0" w:line="187" w:lineRule="exact"/>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2</w:t>
              </w:r>
            </w:hyperlink>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Articles of TMC the metals company Inc.</w:t>
              </w:r>
            </w:hyperlink>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Borders>
              <w:top w:val="single" w:sz="8" w:color="0000EE"/>
            </w:tcBorders>
            <w:gridSpan w:val="2"/>
          </w:tcPr>
          <w:p>
            <w:pPr>
              <w:jc w:val="center"/>
              <w:ind w:right="100"/>
              <w:spacing w:after="0" w:line="187" w:lineRule="exact"/>
              <w:rPr>
                <w:rFonts w:ascii="Times New Roman" w:cs="Times New Roman" w:eastAsia="Times New Roman" w:hAnsi="Times New Roman"/>
                <w:sz w:val="17"/>
                <w:szCs w:val="17"/>
                <w:color w:val="0000EE"/>
                <w:w w:val="97"/>
              </w:rPr>
            </w:pPr>
            <w:hyperlink r:id="rId20">
              <w:r>
                <w:rPr>
                  <w:rFonts w:ascii="Times New Roman" w:cs="Times New Roman" w:eastAsia="Times New Roman" w:hAnsi="Times New Roman"/>
                  <w:sz w:val="17"/>
                  <w:szCs w:val="17"/>
                  <w:color w:val="0000EE"/>
                  <w:w w:val="97"/>
                </w:rPr>
                <w:t>Form 8-K</w:t>
              </w:r>
            </w:hyperlink>
          </w:p>
        </w:tc>
        <w:tc>
          <w:tcPr>
            <w:tcW w:w="520" w:type="dxa"/>
            <w:vAlign w:val="bottom"/>
            <w:gridSpan w:val="4"/>
          </w:tcPr>
          <w:p>
            <w:pPr>
              <w:spacing w:after="0"/>
              <w:rPr>
                <w:sz w:val="16"/>
                <w:szCs w:val="16"/>
                <w:color w:val="auto"/>
              </w:rPr>
            </w:pPr>
          </w:p>
        </w:tc>
        <w:tc>
          <w:tcPr>
            <w:tcW w:w="940" w:type="dxa"/>
            <w:vAlign w:val="bottom"/>
            <w:gridSpan w:val="3"/>
          </w:tcPr>
          <w:p>
            <w:pPr>
              <w:jc w:val="center"/>
              <w:ind w:left="74"/>
              <w:spacing w:after="0" w:line="187" w:lineRule="exact"/>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9/15/2021</w:t>
              </w:r>
            </w:hyperlink>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left="94"/>
              <w:spacing w:after="0" w:line="187" w:lineRule="exact"/>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001-39281</w:t>
              </w:r>
            </w:hyperlink>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6"/>
          </w:tcPr>
          <w:p>
            <w:pPr>
              <w:jc w:val="center"/>
              <w:ind w:right="520"/>
              <w:spacing w:after="0" w:line="187" w:lineRule="exact"/>
              <w:rPr>
                <w:rFonts w:ascii="Times New Roman" w:cs="Times New Roman" w:eastAsia="Times New Roman" w:hAnsi="Times New Roman"/>
                <w:sz w:val="17"/>
                <w:szCs w:val="17"/>
                <w:color w:val="0000EE"/>
                <w:w w:val="87"/>
              </w:rPr>
            </w:pPr>
            <w:hyperlink r:id="rId20">
              <w:r>
                <w:rPr>
                  <w:rFonts w:ascii="Times New Roman" w:cs="Times New Roman" w:eastAsia="Times New Roman" w:hAnsi="Times New Roman"/>
                  <w:sz w:val="17"/>
                  <w:szCs w:val="17"/>
                  <w:color w:val="0000EE"/>
                  <w:w w:val="87"/>
                </w:rPr>
                <w:t>(Exhibit 3.2)</w:t>
              </w:r>
            </w:hyperlink>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0" w:type="dxa"/>
            <w:vAlign w:val="bottom"/>
            <w:gridSpan w:val="2"/>
          </w:tcPr>
          <w:p>
            <w:pPr>
              <w:jc w:val="center"/>
              <w:ind w:left="374"/>
              <w:spacing w:after="0" w:line="187" w:lineRule="exact"/>
              <w:rPr>
                <w:rFonts w:ascii="Times New Roman" w:cs="Times New Roman" w:eastAsia="Times New Roman" w:hAnsi="Times New Roman"/>
                <w:sz w:val="17"/>
                <w:szCs w:val="17"/>
                <w:color w:val="0000EE"/>
              </w:rPr>
            </w:pPr>
            <w:hyperlink r:id="rId21">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3</w:t>
              </w:r>
            </w:hyperlink>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rFonts w:ascii="Times New Roman" w:cs="Times New Roman" w:eastAsia="Times New Roman" w:hAnsi="Times New Roman"/>
                <w:sz w:val="17"/>
                <w:szCs w:val="17"/>
                <w:color w:val="0000EE"/>
              </w:rPr>
            </w:pPr>
            <w:hyperlink r:id="rId21">
              <w:r>
                <w:rPr>
                  <w:rFonts w:ascii="Times New Roman" w:cs="Times New Roman" w:eastAsia="Times New Roman" w:hAnsi="Times New Roman"/>
                  <w:sz w:val="17"/>
                  <w:szCs w:val="17"/>
                  <w:color w:val="0000EE"/>
                </w:rPr>
                <w:t>Amendment to Company’s Articles, adopted May 29, 2025</w:t>
              </w:r>
            </w:hyperlink>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Borders>
              <w:top w:val="single" w:sz="8" w:color="0000EE"/>
            </w:tcBorders>
            <w:gridSpan w:val="2"/>
          </w:tcPr>
          <w:p>
            <w:pPr>
              <w:jc w:val="center"/>
              <w:ind w:right="100"/>
              <w:spacing w:after="0" w:line="187" w:lineRule="exact"/>
              <w:rPr>
                <w:rFonts w:ascii="Times New Roman" w:cs="Times New Roman" w:eastAsia="Times New Roman" w:hAnsi="Times New Roman"/>
                <w:sz w:val="17"/>
                <w:szCs w:val="17"/>
                <w:color w:val="0000EE"/>
                <w:w w:val="97"/>
              </w:rPr>
            </w:pPr>
            <w:hyperlink r:id="rId21">
              <w:r>
                <w:rPr>
                  <w:rFonts w:ascii="Times New Roman" w:cs="Times New Roman" w:eastAsia="Times New Roman" w:hAnsi="Times New Roman"/>
                  <w:sz w:val="17"/>
                  <w:szCs w:val="17"/>
                  <w:color w:val="0000EE"/>
                  <w:w w:val="97"/>
                </w:rPr>
                <w:t>Form 8-K</w:t>
              </w:r>
            </w:hyperlink>
          </w:p>
        </w:tc>
        <w:tc>
          <w:tcPr>
            <w:tcW w:w="520" w:type="dxa"/>
            <w:vAlign w:val="bottom"/>
            <w:gridSpan w:val="4"/>
          </w:tcPr>
          <w:p>
            <w:pPr>
              <w:spacing w:after="0"/>
              <w:rPr>
                <w:sz w:val="16"/>
                <w:szCs w:val="16"/>
                <w:color w:val="auto"/>
              </w:rPr>
            </w:pPr>
          </w:p>
        </w:tc>
        <w:tc>
          <w:tcPr>
            <w:tcW w:w="860" w:type="dxa"/>
            <w:vAlign w:val="bottom"/>
            <w:gridSpan w:val="2"/>
          </w:tcPr>
          <w:p>
            <w:pPr>
              <w:jc w:val="center"/>
              <w:ind w:left="154"/>
              <w:spacing w:after="0" w:line="187" w:lineRule="exact"/>
              <w:rPr>
                <w:rFonts w:ascii="Times New Roman" w:cs="Times New Roman" w:eastAsia="Times New Roman" w:hAnsi="Times New Roman"/>
                <w:sz w:val="17"/>
                <w:szCs w:val="17"/>
                <w:color w:val="0000EE"/>
              </w:rPr>
            </w:pPr>
            <w:hyperlink r:id="rId21">
              <w:r>
                <w:rPr>
                  <w:rFonts w:ascii="Times New Roman" w:cs="Times New Roman" w:eastAsia="Times New Roman" w:hAnsi="Times New Roman"/>
                  <w:sz w:val="17"/>
                  <w:szCs w:val="17"/>
                  <w:color w:val="0000EE"/>
                </w:rPr>
                <w:t>6/4/2025</w:t>
              </w:r>
            </w:hyperlink>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left="94"/>
              <w:spacing w:after="0" w:line="187" w:lineRule="exact"/>
              <w:rPr>
                <w:rFonts w:ascii="Times New Roman" w:cs="Times New Roman" w:eastAsia="Times New Roman" w:hAnsi="Times New Roman"/>
                <w:sz w:val="17"/>
                <w:szCs w:val="17"/>
                <w:color w:val="0000EE"/>
              </w:rPr>
            </w:pPr>
            <w:hyperlink r:id="rId21">
              <w:r>
                <w:rPr>
                  <w:rFonts w:ascii="Times New Roman" w:cs="Times New Roman" w:eastAsia="Times New Roman" w:hAnsi="Times New Roman"/>
                  <w:sz w:val="17"/>
                  <w:szCs w:val="17"/>
                  <w:color w:val="0000EE"/>
                </w:rPr>
                <w:t>001-39281</w:t>
              </w:r>
            </w:hyperlink>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6"/>
          </w:tcPr>
          <w:p>
            <w:pPr>
              <w:jc w:val="center"/>
              <w:ind w:right="520"/>
              <w:spacing w:after="0" w:line="187" w:lineRule="exact"/>
              <w:rPr>
                <w:rFonts w:ascii="Times New Roman" w:cs="Times New Roman" w:eastAsia="Times New Roman" w:hAnsi="Times New Roman"/>
                <w:sz w:val="17"/>
                <w:szCs w:val="17"/>
                <w:color w:val="0000EE"/>
                <w:w w:val="87"/>
              </w:rPr>
            </w:pPr>
            <w:hyperlink r:id="rId21">
              <w:r>
                <w:rPr>
                  <w:rFonts w:ascii="Times New Roman" w:cs="Times New Roman" w:eastAsia="Times New Roman" w:hAnsi="Times New Roman"/>
                  <w:sz w:val="17"/>
                  <w:szCs w:val="17"/>
                  <w:color w:val="0000EE"/>
                  <w:w w:val="87"/>
                </w:rPr>
                <w:t>(Exhibit 3.1)</w:t>
              </w:r>
            </w:hyperlink>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0" w:type="dxa"/>
            <w:vAlign w:val="bottom"/>
            <w:gridSpan w:val="2"/>
          </w:tcPr>
          <w:p>
            <w:pPr>
              <w:jc w:val="center"/>
              <w:ind w:left="374"/>
              <w:spacing w:after="0" w:line="187" w:lineRule="exact"/>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4</w:t>
              </w:r>
            </w:hyperlink>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TMC the metals company Inc. Common Share Certificate</w:t>
              </w:r>
            </w:hyperlink>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Borders>
              <w:top w:val="single" w:sz="8" w:color="0000EE"/>
            </w:tcBorders>
            <w:gridSpan w:val="2"/>
          </w:tcPr>
          <w:p>
            <w:pPr>
              <w:jc w:val="center"/>
              <w:ind w:right="100"/>
              <w:spacing w:after="0" w:line="187" w:lineRule="exact"/>
              <w:rPr>
                <w:rFonts w:ascii="Times New Roman" w:cs="Times New Roman" w:eastAsia="Times New Roman" w:hAnsi="Times New Roman"/>
                <w:sz w:val="17"/>
                <w:szCs w:val="17"/>
                <w:color w:val="0000EE"/>
                <w:w w:val="97"/>
              </w:rPr>
            </w:pPr>
            <w:hyperlink r:id="rId22">
              <w:r>
                <w:rPr>
                  <w:rFonts w:ascii="Times New Roman" w:cs="Times New Roman" w:eastAsia="Times New Roman" w:hAnsi="Times New Roman"/>
                  <w:sz w:val="17"/>
                  <w:szCs w:val="17"/>
                  <w:color w:val="0000EE"/>
                  <w:w w:val="97"/>
                </w:rPr>
                <w:t>Form 8-K</w:t>
              </w:r>
            </w:hyperlink>
          </w:p>
        </w:tc>
        <w:tc>
          <w:tcPr>
            <w:tcW w:w="520" w:type="dxa"/>
            <w:vAlign w:val="bottom"/>
            <w:gridSpan w:val="4"/>
          </w:tcPr>
          <w:p>
            <w:pPr>
              <w:spacing w:after="0"/>
              <w:rPr>
                <w:sz w:val="16"/>
                <w:szCs w:val="16"/>
                <w:color w:val="auto"/>
              </w:rPr>
            </w:pPr>
          </w:p>
        </w:tc>
        <w:tc>
          <w:tcPr>
            <w:tcW w:w="940" w:type="dxa"/>
            <w:vAlign w:val="bottom"/>
            <w:gridSpan w:val="3"/>
          </w:tcPr>
          <w:p>
            <w:pPr>
              <w:jc w:val="center"/>
              <w:ind w:left="74"/>
              <w:spacing w:after="0" w:line="187" w:lineRule="exact"/>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9/15/2021</w:t>
              </w:r>
            </w:hyperlink>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left="94"/>
              <w:spacing w:after="0" w:line="187" w:lineRule="exact"/>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001-39281</w:t>
              </w:r>
            </w:hyperlink>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0" w:type="dxa"/>
            <w:vAlign w:val="bottom"/>
            <w:gridSpan w:val="2"/>
            <w:vMerge w:val="restart"/>
          </w:tcPr>
          <w:p>
            <w:pPr>
              <w:jc w:val="center"/>
              <w:ind w:left="374"/>
              <w:spacing w:after="0"/>
              <w:rPr>
                <w:sz w:val="20"/>
                <w:szCs w:val="20"/>
                <w:color w:val="auto"/>
              </w:rPr>
            </w:pPr>
            <w:r>
              <w:rPr>
                <w:rFonts w:ascii="Times New Roman" w:cs="Times New Roman" w:eastAsia="Times New Roman" w:hAnsi="Times New Roman"/>
                <w:sz w:val="17"/>
                <w:szCs w:val="17"/>
                <w:color w:val="0000EE"/>
              </w:rPr>
              <w:t>5.</w:t>
            </w:r>
            <w:r>
              <w:rPr>
                <w:rFonts w:ascii="Times New Roman" w:cs="Times New Roman" w:eastAsia="Times New Roman" w:hAnsi="Times New Roman"/>
                <w:sz w:val="17"/>
                <w:szCs w:val="17"/>
                <w:u w:val="single" w:color="auto"/>
                <w:color w:val="0000EE"/>
              </w:rPr>
              <w:t>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vMerge w:val="restart"/>
          </w:tcPr>
          <w:p>
            <w:pPr>
              <w:spacing w:after="0"/>
              <w:rPr>
                <w:sz w:val="20"/>
                <w:szCs w:val="20"/>
                <w:color w:val="auto"/>
              </w:rPr>
            </w:pPr>
            <w:r>
              <w:rPr>
                <w:rFonts w:ascii="Times New Roman" w:cs="Times New Roman" w:eastAsia="Times New Roman" w:hAnsi="Times New Roman"/>
                <w:sz w:val="17"/>
                <w:szCs w:val="17"/>
                <w:color w:val="0000EE"/>
              </w:rPr>
              <w:t>Opinion of Fasken Martineau DuMoulin LLP</w:t>
            </w:r>
          </w:p>
        </w:tc>
        <w:tc>
          <w:tcPr>
            <w:tcW w:w="11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6"/>
          </w:tcPr>
          <w:p>
            <w:pPr>
              <w:jc w:val="center"/>
              <w:ind w:right="520"/>
              <w:spacing w:after="0" w:line="187" w:lineRule="exact"/>
              <w:rPr>
                <w:rFonts w:ascii="Times New Roman" w:cs="Times New Roman" w:eastAsia="Times New Roman" w:hAnsi="Times New Roman"/>
                <w:sz w:val="17"/>
                <w:szCs w:val="17"/>
                <w:color w:val="0000EE"/>
                <w:w w:val="87"/>
              </w:rPr>
            </w:pPr>
            <w:hyperlink r:id="rId22">
              <w:r>
                <w:rPr>
                  <w:rFonts w:ascii="Times New Roman" w:cs="Times New Roman" w:eastAsia="Times New Roman" w:hAnsi="Times New Roman"/>
                  <w:sz w:val="17"/>
                  <w:szCs w:val="17"/>
                  <w:color w:val="0000EE"/>
                  <w:w w:val="87"/>
                </w:rPr>
                <w:t>(Exhibit 4.1)</w:t>
              </w:r>
            </w:hyperlink>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vMerge w:val="continue"/>
          </w:tcPr>
          <w:p>
            <w:pPr>
              <w:spacing w:after="0"/>
              <w:rPr>
                <w:sz w:val="16"/>
                <w:szCs w:val="16"/>
                <w:color w:val="auto"/>
              </w:rPr>
            </w:pPr>
          </w:p>
        </w:tc>
        <w:tc>
          <w:tcPr>
            <w:tcW w:w="110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0" w:type="dxa"/>
            <w:vAlign w:val="bottom"/>
            <w:gridSpan w:val="2"/>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Ernst &amp; Young LLP independent registered public</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Borders>
              <w:top w:val="single" w:sz="8" w:color="0000EE"/>
              <w:bottom w:val="single" w:sz="8" w:color="0000EE"/>
            </w:tcBorders>
            <w:gridSpan w:val="10"/>
          </w:tcPr>
          <w:p>
            <w:pPr>
              <w:spacing w:after="0" w:line="187" w:lineRule="exact"/>
              <w:rPr>
                <w:sz w:val="20"/>
                <w:szCs w:val="20"/>
                <w:color w:val="auto"/>
              </w:rPr>
            </w:pPr>
            <w:r>
              <w:rPr>
                <w:rFonts w:ascii="Times New Roman" w:cs="Times New Roman" w:eastAsia="Times New Roman" w:hAnsi="Times New Roman"/>
                <w:sz w:val="17"/>
                <w:szCs w:val="17"/>
                <w:color w:val="0000EE"/>
              </w:rPr>
              <w:t>accounting firm of TMC the metals company Inc.</w:t>
            </w:r>
          </w:p>
        </w:tc>
        <w:tc>
          <w:tcPr>
            <w:tcW w:w="840" w:type="dxa"/>
            <w:vAlign w:val="bottom"/>
            <w:tcBorders>
              <w:top w:val="single" w:sz="8" w:color="0000EE"/>
            </w:tcBorders>
            <w:gridSpan w:val="11"/>
          </w:tcPr>
          <w:p>
            <w:pPr>
              <w:spacing w:after="0"/>
              <w:rPr>
                <w:sz w:val="16"/>
                <w:szCs w:val="16"/>
                <w:color w:val="auto"/>
              </w:rPr>
            </w:pPr>
          </w:p>
        </w:tc>
        <w:tc>
          <w:tcPr>
            <w:tcW w:w="500" w:type="dxa"/>
            <w:vAlign w:val="bottom"/>
            <w:gridSpan w:val="5"/>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0" w:type="dxa"/>
            <w:vAlign w:val="bottom"/>
            <w:gridSpan w:val="2"/>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Fasken Martineau DuMoulin LLP (included in</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0000EE"/>
              <w:bottom w:val="single" w:sz="8" w:color="0000EE"/>
            </w:tcBorders>
            <w:gridSpan w:val="2"/>
          </w:tcPr>
          <w:p>
            <w:pPr>
              <w:spacing w:after="0" w:line="187" w:lineRule="exact"/>
              <w:rPr>
                <w:sz w:val="20"/>
                <w:szCs w:val="20"/>
                <w:color w:val="auto"/>
              </w:rPr>
            </w:pPr>
            <w:r>
              <w:rPr>
                <w:rFonts w:ascii="Times New Roman" w:cs="Times New Roman" w:eastAsia="Times New Roman" w:hAnsi="Times New Roman"/>
                <w:sz w:val="17"/>
                <w:szCs w:val="17"/>
                <w:color w:val="0000EE"/>
              </w:rPr>
              <w:t>Exhibit 5.1)</w:t>
            </w:r>
          </w:p>
        </w:tc>
        <w:tc>
          <w:tcPr>
            <w:tcW w:w="3160" w:type="dxa"/>
            <w:vAlign w:val="bottom"/>
            <w:tcBorders>
              <w:top w:val="single" w:sz="8" w:color="0000EE"/>
            </w:tcBorders>
            <w:gridSpan w:val="15"/>
          </w:tcPr>
          <w:p>
            <w:pPr>
              <w:spacing w:after="0"/>
              <w:rPr>
                <w:sz w:val="16"/>
                <w:szCs w:val="16"/>
                <w:color w:val="auto"/>
              </w:rPr>
            </w:pPr>
          </w:p>
        </w:tc>
        <w:tc>
          <w:tcPr>
            <w:tcW w:w="780" w:type="dxa"/>
            <w:vAlign w:val="bottom"/>
            <w:gridSpan w:val="9"/>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0" w:type="dxa"/>
            <w:vAlign w:val="bottom"/>
            <w:gridSpan w:val="2"/>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Qualified Person (TRS) - AMC Consultants Pty Ltd</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0" w:type="dxa"/>
            <w:vAlign w:val="bottom"/>
            <w:gridSpan w:val="2"/>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Qualified Person (TRS) - MARGIN - Marine</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top w:val="single" w:sz="8" w:color="0000EE"/>
              <w:bottom w:val="single" w:sz="8" w:color="0000EE"/>
            </w:tcBorders>
            <w:gridSpan w:val="5"/>
          </w:tcPr>
          <w:p>
            <w:pPr>
              <w:spacing w:after="0" w:line="187" w:lineRule="exact"/>
              <w:rPr>
                <w:sz w:val="20"/>
                <w:szCs w:val="20"/>
                <w:color w:val="auto"/>
              </w:rPr>
            </w:pPr>
            <w:r>
              <w:rPr>
                <w:rFonts w:ascii="Times New Roman" w:cs="Times New Roman" w:eastAsia="Times New Roman" w:hAnsi="Times New Roman"/>
                <w:sz w:val="17"/>
                <w:szCs w:val="17"/>
                <w:color w:val="0000EE"/>
              </w:rPr>
              <w:t>Geoscience Innovation</w:t>
            </w:r>
          </w:p>
        </w:tc>
        <w:tc>
          <w:tcPr>
            <w:tcW w:w="2340" w:type="dxa"/>
            <w:vAlign w:val="bottom"/>
            <w:tcBorders>
              <w:top w:val="single" w:sz="8" w:color="0000EE"/>
            </w:tcBorders>
            <w:gridSpan w:val="11"/>
          </w:tcPr>
          <w:p>
            <w:pPr>
              <w:spacing w:after="0"/>
              <w:rPr>
                <w:sz w:val="16"/>
                <w:szCs w:val="16"/>
                <w:color w:val="auto"/>
              </w:rPr>
            </w:pPr>
          </w:p>
        </w:tc>
        <w:tc>
          <w:tcPr>
            <w:tcW w:w="840" w:type="dxa"/>
            <w:vAlign w:val="bottom"/>
            <w:gridSpan w:val="10"/>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0" w:type="dxa"/>
            <w:vAlign w:val="bottom"/>
            <w:gridSpan w:val="2"/>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Qualified Person (TRS) - APYS Subsea Ltd</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0" w:type="dxa"/>
            <w:vAlign w:val="bottom"/>
            <w:gridSpan w:val="2"/>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Qualified Person (TRS) - Canadian Engineering</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tcBorders>
              <w:top w:val="single" w:sz="8" w:color="0000EE"/>
            </w:tcBorders>
            <w:gridSpan w:val="19"/>
          </w:tcPr>
          <w:p>
            <w:pPr>
              <w:spacing w:after="0" w:line="187" w:lineRule="exact"/>
              <w:rPr>
                <w:sz w:val="20"/>
                <w:szCs w:val="20"/>
                <w:color w:val="auto"/>
              </w:rPr>
            </w:pPr>
            <w:r>
              <w:rPr>
                <w:rFonts w:ascii="Times New Roman" w:cs="Times New Roman" w:eastAsia="Times New Roman" w:hAnsi="Times New Roman"/>
                <w:sz w:val="17"/>
                <w:szCs w:val="17"/>
                <w:color w:val="0000EE"/>
              </w:rPr>
              <w:t>Associates Ltd</w:t>
            </w:r>
          </w:p>
        </w:tc>
        <w:tc>
          <w:tcPr>
            <w:tcW w:w="660" w:type="dxa"/>
            <w:vAlign w:val="bottom"/>
            <w:gridSpan w:val="7"/>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0" w:type="dxa"/>
            <w:vAlign w:val="bottom"/>
            <w:gridSpan w:val="2"/>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Qualified Person (TRS) - Lanasera Pty Ltd</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0" w:type="dxa"/>
            <w:vAlign w:val="bottom"/>
            <w:gridSpan w:val="2"/>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Qualified Person (TRS) - Anthony O’Sullivan</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0" w:type="dxa"/>
            <w:vAlign w:val="bottom"/>
            <w:gridSpan w:val="2"/>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Qualified Person (TRS) - Rutger Bosland</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0" w:type="dxa"/>
            <w:vAlign w:val="bottom"/>
            <w:gridSpan w:val="3"/>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w w:val="99"/>
              </w:rPr>
              <w:t>23.</w:t>
            </w:r>
            <w:r>
              <w:rPr>
                <w:rFonts w:ascii="Times New Roman" w:cs="Times New Roman" w:eastAsia="Times New Roman" w:hAnsi="Times New Roman"/>
                <w:sz w:val="17"/>
                <w:szCs w:val="17"/>
                <w:u w:val="single" w:color="auto"/>
                <w:color w:val="0000EE"/>
                <w:w w:val="99"/>
              </w:rPr>
              <w:t>10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Qualified Person (TRS) - Dr. Michael Clarke</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0" w:type="dxa"/>
            <w:vAlign w:val="bottom"/>
            <w:gridSpan w:val="3"/>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w w:val="99"/>
              </w:rPr>
              <w:t>23.</w:t>
            </w:r>
            <w:r>
              <w:rPr>
                <w:rFonts w:ascii="Times New Roman" w:cs="Times New Roman" w:eastAsia="Times New Roman" w:hAnsi="Times New Roman"/>
                <w:sz w:val="17"/>
                <w:szCs w:val="17"/>
                <w:u w:val="single" w:color="auto"/>
                <w:color w:val="0000EE"/>
                <w:w w:val="99"/>
              </w:rPr>
              <w:t>11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Qualified Person (TRS) - Adam Price</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0" w:type="dxa"/>
            <w:vAlign w:val="bottom"/>
            <w:gridSpan w:val="3"/>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w w:val="99"/>
              </w:rPr>
              <w:t>23.</w:t>
            </w:r>
            <w:r>
              <w:rPr>
                <w:rFonts w:ascii="Times New Roman" w:cs="Times New Roman" w:eastAsia="Times New Roman" w:hAnsi="Times New Roman"/>
                <w:sz w:val="17"/>
                <w:szCs w:val="17"/>
                <w:u w:val="single" w:color="auto"/>
                <w:color w:val="0000EE"/>
                <w:w w:val="99"/>
              </w:rPr>
              <w:t>12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Qualified Person (IA) - AMC Consultants Pty Ltd</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0" w:type="dxa"/>
            <w:vAlign w:val="bottom"/>
            <w:gridSpan w:val="3"/>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w w:val="99"/>
              </w:rPr>
              <w:t>23.</w:t>
            </w:r>
            <w:r>
              <w:rPr>
                <w:rFonts w:ascii="Times New Roman" w:cs="Times New Roman" w:eastAsia="Times New Roman" w:hAnsi="Times New Roman"/>
                <w:sz w:val="17"/>
                <w:szCs w:val="17"/>
                <w:u w:val="single" w:color="auto"/>
                <w:color w:val="0000EE"/>
                <w:w w:val="99"/>
              </w:rPr>
              <w:t>13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Qualified Person (IA) - MARGIN - Marine</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top w:val="single" w:sz="8" w:color="0000EE"/>
              <w:bottom w:val="single" w:sz="8" w:color="0000EE"/>
            </w:tcBorders>
            <w:gridSpan w:val="5"/>
          </w:tcPr>
          <w:p>
            <w:pPr>
              <w:spacing w:after="0" w:line="187" w:lineRule="exact"/>
              <w:rPr>
                <w:sz w:val="20"/>
                <w:szCs w:val="20"/>
                <w:color w:val="auto"/>
              </w:rPr>
            </w:pPr>
            <w:r>
              <w:rPr>
                <w:rFonts w:ascii="Times New Roman" w:cs="Times New Roman" w:eastAsia="Times New Roman" w:hAnsi="Times New Roman"/>
                <w:sz w:val="17"/>
                <w:szCs w:val="17"/>
                <w:color w:val="0000EE"/>
              </w:rPr>
              <w:t>Geoscience Innovation</w:t>
            </w:r>
          </w:p>
        </w:tc>
        <w:tc>
          <w:tcPr>
            <w:tcW w:w="2240" w:type="dxa"/>
            <w:vAlign w:val="bottom"/>
            <w:tcBorders>
              <w:top w:val="single" w:sz="8" w:color="0000EE"/>
            </w:tcBorders>
            <w:gridSpan w:val="9"/>
          </w:tcPr>
          <w:p>
            <w:pPr>
              <w:spacing w:after="0"/>
              <w:rPr>
                <w:sz w:val="16"/>
                <w:szCs w:val="16"/>
                <w:color w:val="auto"/>
              </w:rPr>
            </w:pPr>
          </w:p>
        </w:tc>
        <w:tc>
          <w:tcPr>
            <w:tcW w:w="940" w:type="dxa"/>
            <w:vAlign w:val="bottom"/>
            <w:gridSpan w:val="12"/>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0" w:type="dxa"/>
            <w:vAlign w:val="bottom"/>
            <w:gridSpan w:val="3"/>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w w:val="99"/>
              </w:rPr>
              <w:t>23.</w:t>
            </w:r>
            <w:r>
              <w:rPr>
                <w:rFonts w:ascii="Times New Roman" w:cs="Times New Roman" w:eastAsia="Times New Roman" w:hAnsi="Times New Roman"/>
                <w:sz w:val="17"/>
                <w:szCs w:val="17"/>
                <w:u w:val="single" w:color="auto"/>
                <w:color w:val="0000EE"/>
                <w:w w:val="99"/>
              </w:rPr>
              <w:t>14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Qualified Person (IA) - APYS Subsea Ltd</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0" w:type="dxa"/>
            <w:vAlign w:val="bottom"/>
            <w:gridSpan w:val="3"/>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w w:val="99"/>
              </w:rPr>
              <w:t>23.</w:t>
            </w:r>
            <w:r>
              <w:rPr>
                <w:rFonts w:ascii="Times New Roman" w:cs="Times New Roman" w:eastAsia="Times New Roman" w:hAnsi="Times New Roman"/>
                <w:sz w:val="17"/>
                <w:szCs w:val="17"/>
                <w:u w:val="single" w:color="auto"/>
                <w:color w:val="0000EE"/>
                <w:w w:val="99"/>
              </w:rPr>
              <w:t>15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Qualified Person (IA) - Canadian Engineering</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Borders>
              <w:top w:val="single" w:sz="8" w:color="0000EE"/>
            </w:tcBorders>
            <w:gridSpan w:val="17"/>
          </w:tcPr>
          <w:p>
            <w:pPr>
              <w:spacing w:after="0" w:line="187" w:lineRule="exact"/>
              <w:rPr>
                <w:sz w:val="20"/>
                <w:szCs w:val="20"/>
                <w:color w:val="auto"/>
              </w:rPr>
            </w:pPr>
            <w:r>
              <w:rPr>
                <w:rFonts w:ascii="Times New Roman" w:cs="Times New Roman" w:eastAsia="Times New Roman" w:hAnsi="Times New Roman"/>
                <w:sz w:val="17"/>
                <w:szCs w:val="17"/>
                <w:color w:val="0000EE"/>
              </w:rPr>
              <w:t>Associates Ltd</w:t>
            </w:r>
          </w:p>
        </w:tc>
        <w:tc>
          <w:tcPr>
            <w:tcW w:w="780" w:type="dxa"/>
            <w:vAlign w:val="bottom"/>
            <w:gridSpan w:val="9"/>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0" w:type="dxa"/>
            <w:vAlign w:val="bottom"/>
            <w:gridSpan w:val="3"/>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w w:val="99"/>
              </w:rPr>
              <w:t>23.</w:t>
            </w:r>
            <w:r>
              <w:rPr>
                <w:rFonts w:ascii="Times New Roman" w:cs="Times New Roman" w:eastAsia="Times New Roman" w:hAnsi="Times New Roman"/>
                <w:sz w:val="17"/>
                <w:szCs w:val="17"/>
                <w:u w:val="single" w:color="auto"/>
                <w:color w:val="0000EE"/>
                <w:w w:val="99"/>
              </w:rPr>
              <w:t>16</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Qualified Person (IA) - Lanasera Pty Ltd</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0" w:type="dxa"/>
            <w:vAlign w:val="bottom"/>
            <w:gridSpan w:val="3"/>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w w:val="99"/>
              </w:rPr>
              <w:t>23.</w:t>
            </w:r>
            <w:r>
              <w:rPr>
                <w:rFonts w:ascii="Times New Roman" w:cs="Times New Roman" w:eastAsia="Times New Roman" w:hAnsi="Times New Roman"/>
                <w:sz w:val="17"/>
                <w:szCs w:val="17"/>
                <w:u w:val="single" w:color="auto"/>
                <w:color w:val="0000EE"/>
                <w:w w:val="99"/>
              </w:rPr>
              <w:t>17</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Qualified Person (IA) - Anthony O’Sullivan</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0" w:type="dxa"/>
            <w:vAlign w:val="bottom"/>
            <w:gridSpan w:val="3"/>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w w:val="99"/>
              </w:rPr>
              <w:t>23.</w:t>
            </w:r>
            <w:r>
              <w:rPr>
                <w:rFonts w:ascii="Times New Roman" w:cs="Times New Roman" w:eastAsia="Times New Roman" w:hAnsi="Times New Roman"/>
                <w:sz w:val="17"/>
                <w:szCs w:val="17"/>
                <w:u w:val="single" w:color="auto"/>
                <w:color w:val="0000EE"/>
                <w:w w:val="99"/>
              </w:rPr>
              <w:t>18</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Qualified Person (IA) - Rutger Bosland</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0" w:type="dxa"/>
            <w:vAlign w:val="bottom"/>
            <w:gridSpan w:val="3"/>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w w:val="99"/>
              </w:rPr>
              <w:t>23.</w:t>
            </w:r>
            <w:r>
              <w:rPr>
                <w:rFonts w:ascii="Times New Roman" w:cs="Times New Roman" w:eastAsia="Times New Roman" w:hAnsi="Times New Roman"/>
                <w:sz w:val="17"/>
                <w:szCs w:val="17"/>
                <w:u w:val="single" w:color="auto"/>
                <w:color w:val="0000EE"/>
                <w:w w:val="99"/>
              </w:rPr>
              <w:t>19</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Qualified Person (IA) - Dr. Michael Clarke</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0" w:type="dxa"/>
            <w:vAlign w:val="bottom"/>
            <w:gridSpan w:val="3"/>
          </w:tcPr>
          <w:p>
            <w:pPr>
              <w:jc w:val="center"/>
              <w:ind w:left="294"/>
              <w:spacing w:after="0" w:line="187" w:lineRule="exact"/>
              <w:rPr>
                <w:sz w:val="20"/>
                <w:szCs w:val="20"/>
                <w:color w:val="auto"/>
              </w:rPr>
            </w:pPr>
            <w:r>
              <w:rPr>
                <w:rFonts w:ascii="Times New Roman" w:cs="Times New Roman" w:eastAsia="Times New Roman" w:hAnsi="Times New Roman"/>
                <w:sz w:val="17"/>
                <w:szCs w:val="17"/>
                <w:color w:val="0000EE"/>
                <w:w w:val="99"/>
              </w:rPr>
              <w:t>23.</w:t>
            </w:r>
            <w:r>
              <w:rPr>
                <w:rFonts w:ascii="Times New Roman" w:cs="Times New Roman" w:eastAsia="Times New Roman" w:hAnsi="Times New Roman"/>
                <w:sz w:val="17"/>
                <w:szCs w:val="17"/>
                <w:u w:val="single" w:color="auto"/>
                <w:color w:val="0000EE"/>
                <w:w w:val="99"/>
              </w:rPr>
              <w:t>20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Consent of Qualified Person (IA) - Adam Price</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0000EE"/>
                <w:w w:val="87"/>
              </w:rPr>
              <w:t>24.</w:t>
            </w:r>
            <w:r>
              <w:rPr>
                <w:rFonts w:ascii="Times New Roman" w:cs="Times New Roman" w:eastAsia="Times New Roman" w:hAnsi="Times New Roman"/>
                <w:sz w:val="17"/>
                <w:szCs w:val="17"/>
                <w:u w:val="single" w:color="auto"/>
                <w:color w:val="0000EE"/>
                <w:w w:val="87"/>
              </w:rPr>
              <w:t>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gridSpan w:val="26"/>
          </w:tcPr>
          <w:p>
            <w:pPr>
              <w:spacing w:after="0" w:line="187" w:lineRule="exact"/>
              <w:rPr>
                <w:sz w:val="20"/>
                <w:szCs w:val="20"/>
                <w:color w:val="auto"/>
              </w:rPr>
            </w:pPr>
            <w:r>
              <w:rPr>
                <w:rFonts w:ascii="Times New Roman" w:cs="Times New Roman" w:eastAsia="Times New Roman" w:hAnsi="Times New Roman"/>
                <w:sz w:val="17"/>
                <w:szCs w:val="17"/>
                <w:color w:val="0000EE"/>
              </w:rPr>
              <w:t>Power of Attorney (included on the signature page hereof)</w:t>
            </w: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620" w:type="dxa"/>
            <w:vAlign w:val="bottom"/>
            <w:gridSpan w:val="9"/>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 w:type="dxa"/>
            <w:vAlign w:val="bottom"/>
          </w:tcPr>
          <w:p>
            <w:pPr>
              <w:spacing w:after="0"/>
              <w:rPr>
                <w:sz w:val="16"/>
                <w:szCs w:val="16"/>
                <w:color w:val="auto"/>
              </w:rPr>
            </w:pPr>
          </w:p>
        </w:tc>
        <w:tc>
          <w:tcPr>
            <w:tcW w:w="680" w:type="dxa"/>
            <w:vAlign w:val="bottom"/>
            <w:gridSpan w:val="3"/>
          </w:tcPr>
          <w:p>
            <w:pPr>
              <w:jc w:val="center"/>
              <w:ind w:right="380"/>
              <w:spacing w:after="0" w:line="187" w:lineRule="exact"/>
              <w:rPr>
                <w:rFonts w:ascii="Times New Roman" w:cs="Times New Roman" w:eastAsia="Times New Roman" w:hAnsi="Times New Roman"/>
                <w:sz w:val="17"/>
                <w:szCs w:val="17"/>
                <w:color w:val="0000EE"/>
                <w:w w:val="76"/>
              </w:rPr>
            </w:pPr>
            <w:hyperlink r:id="rId23">
              <w:r>
                <w:rPr>
                  <w:rFonts w:ascii="Times New Roman" w:cs="Times New Roman" w:eastAsia="Times New Roman" w:hAnsi="Times New Roman"/>
                  <w:sz w:val="17"/>
                  <w:szCs w:val="17"/>
                  <w:color w:val="0000EE"/>
                  <w:w w:val="76"/>
                </w:rPr>
                <w:t>99.</w:t>
              </w:r>
              <w:r>
                <w:rPr>
                  <w:rFonts w:ascii="Times New Roman" w:cs="Times New Roman" w:eastAsia="Times New Roman" w:hAnsi="Times New Roman"/>
                  <w:sz w:val="17"/>
                  <w:szCs w:val="17"/>
                  <w:u w:val="single" w:color="auto"/>
                  <w:color w:val="0000EE"/>
                  <w:w w:val="76"/>
                </w:rPr>
                <w:t>1+</w:t>
              </w:r>
            </w:hyperlink>
          </w:p>
        </w:tc>
        <w:tc>
          <w:tcPr>
            <w:tcW w:w="100" w:type="dxa"/>
            <w:vAlign w:val="bottom"/>
          </w:tcPr>
          <w:p>
            <w:pPr>
              <w:spacing w:after="0"/>
              <w:rPr>
                <w:sz w:val="16"/>
                <w:szCs w:val="16"/>
                <w:color w:val="auto"/>
              </w:rPr>
            </w:pPr>
          </w:p>
        </w:tc>
        <w:tc>
          <w:tcPr>
            <w:tcW w:w="4780" w:type="dxa"/>
            <w:vAlign w:val="bottom"/>
            <w:gridSpan w:val="26"/>
          </w:tcPr>
          <w:p>
            <w:pPr>
              <w:spacing w:after="0" w:line="187" w:lineRule="exact"/>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TMC the metals company Inc. 2021 Incentive Equity Plan, as</w:t>
              </w:r>
            </w:hyperlink>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6"/>
          </w:tcPr>
          <w:p>
            <w:pPr>
              <w:jc w:val="center"/>
              <w:ind w:right="620"/>
              <w:spacing w:after="0" w:line="187" w:lineRule="exact"/>
              <w:rPr>
                <w:rFonts w:ascii="Times New Roman" w:cs="Times New Roman" w:eastAsia="Times New Roman" w:hAnsi="Times New Roman"/>
                <w:sz w:val="17"/>
                <w:szCs w:val="17"/>
                <w:color w:val="0000EE"/>
                <w:w w:val="97"/>
              </w:rPr>
            </w:pPr>
            <w:hyperlink r:id="rId23">
              <w:r>
                <w:rPr>
                  <w:rFonts w:ascii="Times New Roman" w:cs="Times New Roman" w:eastAsia="Times New Roman" w:hAnsi="Times New Roman"/>
                  <w:sz w:val="17"/>
                  <w:szCs w:val="17"/>
                  <w:color w:val="0000EE"/>
                  <w:w w:val="97"/>
                </w:rPr>
                <w:t>Form 8-K</w:t>
              </w:r>
            </w:hyperlink>
          </w:p>
        </w:tc>
        <w:tc>
          <w:tcPr>
            <w:tcW w:w="940" w:type="dxa"/>
            <w:vAlign w:val="bottom"/>
            <w:gridSpan w:val="3"/>
          </w:tcPr>
          <w:p>
            <w:pPr>
              <w:jc w:val="center"/>
              <w:ind w:left="74"/>
              <w:spacing w:after="0" w:line="187" w:lineRule="exact"/>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8/28/2025</w:t>
              </w:r>
            </w:hyperlink>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620" w:type="dxa"/>
            <w:vAlign w:val="bottom"/>
            <w:gridSpan w:val="9"/>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60" w:type="dxa"/>
            <w:vAlign w:val="bottom"/>
            <w:gridSpan w:val="20"/>
          </w:tcPr>
          <w:p>
            <w:pPr>
              <w:spacing w:after="0" w:line="187" w:lineRule="exact"/>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amended</w:t>
              </w:r>
            </w:hyperlink>
          </w:p>
        </w:tc>
        <w:tc>
          <w:tcPr>
            <w:tcW w:w="520" w:type="dxa"/>
            <w:vAlign w:val="bottom"/>
            <w:gridSpan w:val="6"/>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7"/>
          </w:tcPr>
          <w:p>
            <w:pPr>
              <w:jc w:val="center"/>
              <w:ind w:right="360"/>
              <w:spacing w:after="0" w:line="187" w:lineRule="exact"/>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(Exhibit 10.1)</w:t>
              </w:r>
            </w:hyperlink>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2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 w:type="dxa"/>
            <w:vAlign w:val="bottom"/>
          </w:tcPr>
          <w:p>
            <w:pPr>
              <w:spacing w:after="0"/>
              <w:rPr>
                <w:sz w:val="16"/>
                <w:szCs w:val="16"/>
                <w:color w:val="auto"/>
              </w:rPr>
            </w:pPr>
          </w:p>
        </w:tc>
        <w:tc>
          <w:tcPr>
            <w:tcW w:w="680" w:type="dxa"/>
            <w:vAlign w:val="bottom"/>
            <w:gridSpan w:val="3"/>
          </w:tcPr>
          <w:p>
            <w:pPr>
              <w:jc w:val="center"/>
              <w:ind w:right="380"/>
              <w:spacing w:after="0" w:line="187" w:lineRule="exact"/>
              <w:rPr>
                <w:rFonts w:ascii="Times New Roman" w:cs="Times New Roman" w:eastAsia="Times New Roman" w:hAnsi="Times New Roman"/>
                <w:sz w:val="17"/>
                <w:szCs w:val="17"/>
                <w:color w:val="0000EE"/>
                <w:w w:val="76"/>
              </w:rPr>
            </w:pPr>
            <w:hyperlink r:id="rId24">
              <w:r>
                <w:rPr>
                  <w:rFonts w:ascii="Times New Roman" w:cs="Times New Roman" w:eastAsia="Times New Roman" w:hAnsi="Times New Roman"/>
                  <w:sz w:val="17"/>
                  <w:szCs w:val="17"/>
                  <w:color w:val="0000EE"/>
                  <w:w w:val="76"/>
                </w:rPr>
                <w:t>99.</w:t>
              </w:r>
              <w:r>
                <w:rPr>
                  <w:rFonts w:ascii="Times New Roman" w:cs="Times New Roman" w:eastAsia="Times New Roman" w:hAnsi="Times New Roman"/>
                  <w:sz w:val="17"/>
                  <w:szCs w:val="17"/>
                  <w:u w:val="single" w:color="auto"/>
                  <w:color w:val="0000EE"/>
                  <w:w w:val="76"/>
                </w:rPr>
                <w:t>2+</w:t>
              </w:r>
            </w:hyperlink>
          </w:p>
        </w:tc>
        <w:tc>
          <w:tcPr>
            <w:tcW w:w="100" w:type="dxa"/>
            <w:vAlign w:val="bottom"/>
          </w:tcPr>
          <w:p>
            <w:pPr>
              <w:spacing w:after="0"/>
              <w:rPr>
                <w:sz w:val="16"/>
                <w:szCs w:val="16"/>
                <w:color w:val="auto"/>
              </w:rPr>
            </w:pPr>
          </w:p>
        </w:tc>
        <w:tc>
          <w:tcPr>
            <w:tcW w:w="4780" w:type="dxa"/>
            <w:vAlign w:val="bottom"/>
            <w:gridSpan w:val="26"/>
          </w:tcPr>
          <w:p>
            <w:pPr>
              <w:spacing w:after="0" w:line="187" w:lineRule="exact"/>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Form of Stock Option Agreement under TMC the metals</w:t>
              </w:r>
            </w:hyperlink>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6"/>
          </w:tcPr>
          <w:p>
            <w:pPr>
              <w:jc w:val="center"/>
              <w:ind w:right="620"/>
              <w:spacing w:after="0" w:line="187" w:lineRule="exact"/>
              <w:rPr>
                <w:rFonts w:ascii="Times New Roman" w:cs="Times New Roman" w:eastAsia="Times New Roman" w:hAnsi="Times New Roman"/>
                <w:sz w:val="17"/>
                <w:szCs w:val="17"/>
                <w:color w:val="0000EE"/>
                <w:w w:val="97"/>
              </w:rPr>
            </w:pPr>
            <w:hyperlink r:id="rId24">
              <w:r>
                <w:rPr>
                  <w:rFonts w:ascii="Times New Roman" w:cs="Times New Roman" w:eastAsia="Times New Roman" w:hAnsi="Times New Roman"/>
                  <w:sz w:val="17"/>
                  <w:szCs w:val="17"/>
                  <w:color w:val="0000EE"/>
                  <w:w w:val="97"/>
                </w:rPr>
                <w:t>Form 8-K</w:t>
              </w:r>
            </w:hyperlink>
          </w:p>
        </w:tc>
        <w:tc>
          <w:tcPr>
            <w:tcW w:w="940" w:type="dxa"/>
            <w:vAlign w:val="bottom"/>
            <w:gridSpan w:val="3"/>
          </w:tcPr>
          <w:p>
            <w:pPr>
              <w:jc w:val="center"/>
              <w:ind w:left="74"/>
              <w:spacing w:after="0" w:line="187" w:lineRule="exact"/>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9/15/2021</w:t>
              </w:r>
            </w:hyperlink>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left="94"/>
              <w:spacing w:after="0" w:line="187" w:lineRule="exact"/>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001-39281</w:t>
              </w:r>
            </w:hyperlink>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620" w:type="dxa"/>
            <w:vAlign w:val="bottom"/>
            <w:gridSpan w:val="9"/>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40" w:type="dxa"/>
            <w:vAlign w:val="bottom"/>
            <w:gridSpan w:val="16"/>
          </w:tcPr>
          <w:p>
            <w:pPr>
              <w:spacing w:after="0" w:line="187" w:lineRule="exact"/>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company Inc. 2021 Incentive Equity Plan, as amended</w:t>
              </w:r>
            </w:hyperlink>
          </w:p>
        </w:tc>
        <w:tc>
          <w:tcPr>
            <w:tcW w:w="840" w:type="dxa"/>
            <w:vAlign w:val="bottom"/>
            <w:gridSpan w:val="10"/>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8"/>
          </w:tcPr>
          <w:p>
            <w:pPr>
              <w:jc w:val="center"/>
              <w:ind w:right="120"/>
              <w:spacing w:after="0" w:line="187" w:lineRule="exact"/>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(Exhibit 10.23.2)</w:t>
              </w:r>
            </w:hyperlink>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620" w:type="dxa"/>
            <w:vAlign w:val="bottom"/>
            <w:gridSpan w:val="9"/>
            <w:shd w:val="clear" w:color="auto" w:fill="0000EE"/>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 w:type="dxa"/>
            <w:vAlign w:val="bottom"/>
          </w:tcPr>
          <w:p>
            <w:pPr>
              <w:spacing w:after="0"/>
              <w:rPr>
                <w:sz w:val="16"/>
                <w:szCs w:val="16"/>
                <w:color w:val="auto"/>
              </w:rPr>
            </w:pPr>
          </w:p>
        </w:tc>
        <w:tc>
          <w:tcPr>
            <w:tcW w:w="680" w:type="dxa"/>
            <w:vAlign w:val="bottom"/>
            <w:gridSpan w:val="3"/>
          </w:tcPr>
          <w:p>
            <w:pPr>
              <w:jc w:val="center"/>
              <w:ind w:right="380"/>
              <w:spacing w:after="0" w:line="187" w:lineRule="exact"/>
              <w:rPr>
                <w:rFonts w:ascii="Times New Roman" w:cs="Times New Roman" w:eastAsia="Times New Roman" w:hAnsi="Times New Roman"/>
                <w:sz w:val="17"/>
                <w:szCs w:val="17"/>
                <w:color w:val="0000EE"/>
                <w:w w:val="76"/>
              </w:rPr>
            </w:pPr>
            <w:hyperlink r:id="rId25">
              <w:r>
                <w:rPr>
                  <w:rFonts w:ascii="Times New Roman" w:cs="Times New Roman" w:eastAsia="Times New Roman" w:hAnsi="Times New Roman"/>
                  <w:sz w:val="17"/>
                  <w:szCs w:val="17"/>
                  <w:color w:val="0000EE"/>
                  <w:w w:val="76"/>
                </w:rPr>
                <w:t>99.</w:t>
              </w:r>
              <w:r>
                <w:rPr>
                  <w:rFonts w:ascii="Times New Roman" w:cs="Times New Roman" w:eastAsia="Times New Roman" w:hAnsi="Times New Roman"/>
                  <w:sz w:val="17"/>
                  <w:szCs w:val="17"/>
                  <w:u w:val="single" w:color="auto"/>
                  <w:color w:val="0000EE"/>
                  <w:w w:val="76"/>
                </w:rPr>
                <w:t>3+</w:t>
              </w:r>
            </w:hyperlink>
          </w:p>
        </w:tc>
        <w:tc>
          <w:tcPr>
            <w:tcW w:w="100" w:type="dxa"/>
            <w:vAlign w:val="bottom"/>
          </w:tcPr>
          <w:p>
            <w:pPr>
              <w:spacing w:after="0"/>
              <w:rPr>
                <w:sz w:val="16"/>
                <w:szCs w:val="16"/>
                <w:color w:val="auto"/>
              </w:rPr>
            </w:pPr>
          </w:p>
        </w:tc>
        <w:tc>
          <w:tcPr>
            <w:tcW w:w="4780" w:type="dxa"/>
            <w:vAlign w:val="bottom"/>
            <w:gridSpan w:val="26"/>
          </w:tcPr>
          <w:p>
            <w:pPr>
              <w:spacing w:after="0" w:line="187" w:lineRule="exact"/>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Form of Restricted Stock Unit Agreement under TMC the metals</w:t>
              </w:r>
            </w:hyperlink>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6"/>
          </w:tcPr>
          <w:p>
            <w:pPr>
              <w:jc w:val="center"/>
              <w:ind w:right="620"/>
              <w:spacing w:after="0" w:line="187" w:lineRule="exact"/>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Form S-8</w:t>
              </w:r>
            </w:hyperlink>
          </w:p>
        </w:tc>
        <w:tc>
          <w:tcPr>
            <w:tcW w:w="1100" w:type="dxa"/>
            <w:vAlign w:val="bottom"/>
            <w:gridSpan w:val="4"/>
          </w:tcPr>
          <w:p>
            <w:pPr>
              <w:jc w:val="center"/>
              <w:spacing w:after="0" w:line="187" w:lineRule="exact"/>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11/19/2021</w:t>
              </w:r>
            </w:hyperlink>
          </w:p>
        </w:tc>
        <w:tc>
          <w:tcPr>
            <w:tcW w:w="120" w:type="dxa"/>
            <w:vAlign w:val="bottom"/>
          </w:tcPr>
          <w:p>
            <w:pPr>
              <w:spacing w:after="0"/>
              <w:rPr>
                <w:sz w:val="16"/>
                <w:szCs w:val="16"/>
                <w:color w:val="auto"/>
              </w:rPr>
            </w:pPr>
          </w:p>
        </w:tc>
        <w:tc>
          <w:tcPr>
            <w:tcW w:w="1100" w:type="dxa"/>
            <w:vAlign w:val="bottom"/>
            <w:gridSpan w:val="3"/>
          </w:tcPr>
          <w:p>
            <w:pPr>
              <w:jc w:val="center"/>
              <w:spacing w:after="0" w:line="187" w:lineRule="exact"/>
              <w:rPr>
                <w:rFonts w:ascii="Times New Roman" w:cs="Times New Roman" w:eastAsia="Times New Roman" w:hAnsi="Times New Roman"/>
                <w:sz w:val="17"/>
                <w:szCs w:val="17"/>
                <w:color w:val="0000EE"/>
                <w:w w:val="99"/>
              </w:rPr>
            </w:pPr>
            <w:hyperlink r:id="rId25">
              <w:r>
                <w:rPr>
                  <w:rFonts w:ascii="Times New Roman" w:cs="Times New Roman" w:eastAsia="Times New Roman" w:hAnsi="Times New Roman"/>
                  <w:sz w:val="17"/>
                  <w:szCs w:val="17"/>
                  <w:color w:val="0000EE"/>
                  <w:w w:val="99"/>
                </w:rPr>
                <w:t>333-261221</w:t>
              </w:r>
            </w:hyperlink>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620" w:type="dxa"/>
            <w:vAlign w:val="bottom"/>
            <w:gridSpan w:val="9"/>
            <w:shd w:val="clear" w:color="auto" w:fill="0000EE"/>
          </w:tcPr>
          <w:p>
            <w:pPr>
              <w:spacing w:after="0" w:line="20" w:lineRule="exact"/>
              <w:rPr>
                <w:sz w:val="1"/>
                <w:szCs w:val="1"/>
                <w:color w:val="auto"/>
              </w:rPr>
            </w:pPr>
          </w:p>
        </w:tc>
        <w:tc>
          <w:tcPr>
            <w:tcW w:w="740" w:type="dxa"/>
            <w:vAlign w:val="bottom"/>
            <w:tcBorders>
              <w:left w:val="single" w:sz="8" w:color="0000EE"/>
            </w:tcBorders>
            <w:gridSpan w:val="10"/>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00" w:type="dxa"/>
            <w:vAlign w:val="bottom"/>
            <w:gridSpan w:val="23"/>
          </w:tcPr>
          <w:p>
            <w:pPr>
              <w:spacing w:after="0" w:line="187" w:lineRule="exact"/>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company Inc. 2021 Incentive Equity Plan, as amended</w:t>
              </w:r>
            </w:hyperlink>
          </w:p>
        </w:tc>
        <w:tc>
          <w:tcPr>
            <w:tcW w:w="280" w:type="dxa"/>
            <w:vAlign w:val="bottom"/>
            <w:gridSpan w:val="3"/>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7"/>
          </w:tcPr>
          <w:p>
            <w:pPr>
              <w:jc w:val="center"/>
              <w:ind w:right="360"/>
              <w:spacing w:after="0" w:line="187" w:lineRule="exact"/>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(Exhibit 99.3)</w:t>
              </w:r>
            </w:hyperlink>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0" w:type="dxa"/>
            <w:vAlign w:val="bottom"/>
            <w:gridSpan w:val="2"/>
          </w:tcPr>
          <w:p>
            <w:pPr>
              <w:jc w:val="center"/>
              <w:ind w:left="334"/>
              <w:spacing w:after="0" w:line="187" w:lineRule="exact"/>
              <w:rPr>
                <w:sz w:val="20"/>
                <w:szCs w:val="20"/>
                <w:color w:val="auto"/>
              </w:rPr>
            </w:pPr>
            <w:r>
              <w:rPr>
                <w:rFonts w:ascii="Times New Roman" w:cs="Times New Roman" w:eastAsia="Times New Roman" w:hAnsi="Times New Roman"/>
                <w:sz w:val="17"/>
                <w:szCs w:val="17"/>
                <w:color w:val="0000EE"/>
              </w:rPr>
              <w:t>107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Borders>
              <w:top w:val="single" w:sz="8" w:color="0000EE"/>
            </w:tcBorders>
            <w:gridSpan w:val="13"/>
          </w:tcPr>
          <w:p>
            <w:pPr>
              <w:spacing w:after="0" w:line="187" w:lineRule="exact"/>
              <w:rPr>
                <w:sz w:val="20"/>
                <w:szCs w:val="20"/>
                <w:color w:val="auto"/>
              </w:rPr>
            </w:pPr>
            <w:r>
              <w:rPr>
                <w:rFonts w:ascii="Times New Roman" w:cs="Times New Roman" w:eastAsia="Times New Roman" w:hAnsi="Times New Roman"/>
                <w:sz w:val="17"/>
                <w:szCs w:val="17"/>
                <w:color w:val="0000EE"/>
              </w:rPr>
              <w:t>Filing Fee Table</w:t>
            </w:r>
          </w:p>
        </w:tc>
        <w:tc>
          <w:tcPr>
            <w:tcW w:w="1020" w:type="dxa"/>
            <w:vAlign w:val="bottom"/>
            <w:gridSpan w:val="13"/>
          </w:tcPr>
          <w:p>
            <w:pPr>
              <w:spacing w:after="0"/>
              <w:rPr>
                <w:sz w:val="16"/>
                <w:szCs w:val="16"/>
                <w:color w:val="auto"/>
              </w:rPr>
            </w:pPr>
          </w:p>
        </w:tc>
        <w:tc>
          <w:tcPr>
            <w:tcW w:w="1100" w:type="dxa"/>
            <w:vAlign w:val="bottom"/>
            <w:gridSpan w:val="4"/>
          </w:tcPr>
          <w:p>
            <w:pPr>
              <w:jc w:val="center"/>
              <w:ind w:right="260"/>
              <w:spacing w:after="0" w:line="187" w:lineRule="exact"/>
              <w:rPr>
                <w:sz w:val="20"/>
                <w:szCs w:val="20"/>
                <w:color w:val="auto"/>
              </w:rPr>
            </w:pPr>
            <w:r>
              <w:rPr>
                <w:rFonts w:ascii="Times New Roman" w:cs="Times New Roman" w:eastAsia="Times New Roman" w:hAnsi="Times New Roman"/>
                <w:sz w:val="17"/>
                <w:szCs w:val="17"/>
                <w:color w:val="0000EE"/>
                <w:w w:val="97"/>
              </w:rPr>
              <w:t>X</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Denotes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282575</wp:posOffset>
            </wp:positionV>
            <wp:extent cx="7138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has duly caused this registration statement on Form S-8 to be signed on its behalf by the undersigned, thereunto duly authorized in New York, New York on September 2, 2025.</w:t>
      </w:r>
    </w:p>
    <w:p>
      <w:pPr>
        <w:spacing w:after="0" w:line="1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TMC THE METALS COMPANY INC.</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19050</wp:posOffset>
            </wp:positionV>
            <wp:extent cx="3347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3347085" cy="8255"/>
                    </a:xfrm>
                    <a:prstGeom prst="rect">
                      <a:avLst/>
                    </a:prstGeom>
                    <a:noFill/>
                  </pic:spPr>
                </pic:pic>
              </a:graphicData>
            </a:graphic>
          </wp:anchor>
        </w:drawing>
      </w:r>
    </w:p>
    <w:p>
      <w:pPr>
        <w:spacing w:after="0" w:line="1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Craig Shesky</w:t>
      </w:r>
    </w:p>
    <w:p>
      <w:pPr>
        <w:spacing w:after="0" w:line="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each of Gerard Barron and Craig Shesky,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77"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this registration statement has been signed by the following persons in the capacities and on the dated indicated.</w:t>
      </w:r>
    </w:p>
    <w:p>
      <w:pPr>
        <w:sectPr>
          <w:pgSz w:w="11900" w:h="16838" w:orient="portrait"/>
          <w:cols w:equalWidth="0" w:num="1">
            <w:col w:w="11240"/>
          </w:cols>
          <w:pgMar w:left="320" w:top="870" w:right="339" w:bottom="1440" w:gutter="0" w:footer="0" w:header="0"/>
        </w:sectPr>
      </w:pPr>
    </w:p>
    <w:p>
      <w:pPr>
        <w:spacing w:after="0" w:line="15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2006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extLst>
                    </a:blip>
                    <a:srcRect/>
                    <a:stretch>
                      <a:fillRect/>
                    </a:stretch>
                  </pic:blipFill>
                  <pic:spPr bwMode="auto">
                    <a:xfrm>
                      <a:off x="0" y="0"/>
                      <a:ext cx="2006600" cy="8255"/>
                    </a:xfrm>
                    <a:prstGeom prst="rect">
                      <a:avLst/>
                    </a:prstGeom>
                    <a:noFill/>
                  </pic:spPr>
                </pic:pic>
              </a:graphicData>
            </a:graphic>
          </wp:anchor>
        </w:drawing>
      </w:r>
    </w:p>
    <w:p>
      <w:pPr>
        <w:spacing w:after="0" w:line="21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0066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2006600" cy="8255"/>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Gerard Barron</w:t>
      </w:r>
    </w:p>
    <w:p>
      <w:pPr>
        <w:spacing w:after="0" w:line="21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0066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2006600" cy="8255"/>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Craig Shesky</w:t>
      </w:r>
    </w:p>
    <w:p>
      <w:pPr>
        <w:spacing w:after="0" w:line="21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Andrew C. Greig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006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2006600" cy="8255"/>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Andrew C. Greig</w:t>
      </w:r>
    </w:p>
    <w:p>
      <w:pPr>
        <w:spacing w:after="0" w:line="21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Andrew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006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2006600" cy="8255"/>
                    </a:xfrm>
                    <a:prstGeom prst="rect">
                      <a:avLst/>
                    </a:prstGeom>
                    <a:noFill/>
                  </pic:spPr>
                </pic:pic>
              </a:graphicData>
            </a:graphic>
          </wp:anchor>
        </w:drawing>
      </w:r>
    </w:p>
    <w:p>
      <w:pPr>
        <w:spacing w:after="0" w:line="1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Andrew Hall</w:t>
      </w:r>
    </w:p>
    <w:p>
      <w:pPr>
        <w:spacing w:after="0" w:line="21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Michael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006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2006600" cy="8255"/>
                    </a:xfrm>
                    <a:prstGeom prst="rect">
                      <a:avLst/>
                    </a:prstGeom>
                    <a:noFill/>
                  </pic:spPr>
                </pic:pic>
              </a:graphicData>
            </a:graphic>
          </wp:anchor>
        </w:drawing>
      </w:r>
    </w:p>
    <w:p>
      <w:pPr>
        <w:spacing w:after="0" w:line="1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Michael Hess</w:t>
      </w:r>
    </w:p>
    <w:p>
      <w:pPr>
        <w:spacing w:after="0" w:line="21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Stephen Jurvetson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0066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2006600" cy="8255"/>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Stephen Jurvetson</w:t>
      </w:r>
    </w:p>
    <w:p>
      <w:pPr>
        <w:spacing w:after="0" w:line="21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Andrei Karkar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006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2006600" cy="8255"/>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Andrei Karkar</w:t>
      </w:r>
    </w:p>
    <w:p>
      <w:pPr>
        <w:spacing w:after="0" w:line="21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Sheila Khama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0066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2006600" cy="8255"/>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Sheila Khama</w:t>
      </w:r>
    </w:p>
    <w:p>
      <w:pPr>
        <w:spacing w:after="0" w:line="21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Christian Madsbjerg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0066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2006600" cy="8255"/>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Christian Madsbjerg</w:t>
      </w:r>
    </w:p>
    <w:p>
      <w:pPr>
        <w:spacing w:after="0" w:line="21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Brendan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0066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2006600" cy="8255"/>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Brendan May</w:t>
      </w:r>
    </w:p>
    <w:p>
      <w:pPr>
        <w:spacing w:after="0" w:line="21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Alex Spiro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0066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2006600" cy="8255"/>
                    </a:xfrm>
                    <a:prstGeom prst="rect">
                      <a:avLst/>
                    </a:prstGeom>
                    <a:noFill/>
                  </pic:spPr>
                </pic:pic>
              </a:graphicData>
            </a:graphic>
          </wp:anchor>
        </w:drawing>
      </w:r>
    </w:p>
    <w:p>
      <w:pPr>
        <w:spacing w:after="0" w:line="1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Alex Spiro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407"/>
        </w:trPr>
        <w:tc>
          <w:tcPr>
            <w:tcW w:w="5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 and Chairman</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2, 2025</w:t>
            </w: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7"/>
        </w:trPr>
        <w:tc>
          <w:tcPr>
            <w:tcW w:w="5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Financial Officer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2, 2025</w:t>
            </w: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and Accounting Officer</w:t>
            </w: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27"/>
        </w:trPr>
        <w:tc>
          <w:tcPr>
            <w:tcW w:w="5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2, 2025</w:t>
            </w:r>
          </w:p>
        </w:tc>
      </w:tr>
      <w:tr>
        <w:trPr>
          <w:trHeight w:val="648"/>
        </w:trPr>
        <w:tc>
          <w:tcPr>
            <w:tcW w:w="5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2, 2025</w:t>
            </w:r>
          </w:p>
        </w:tc>
      </w:tr>
      <w:tr>
        <w:trPr>
          <w:trHeight w:val="648"/>
        </w:trPr>
        <w:tc>
          <w:tcPr>
            <w:tcW w:w="5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2, 2025</w:t>
            </w:r>
          </w:p>
        </w:tc>
      </w:tr>
      <w:tr>
        <w:trPr>
          <w:trHeight w:val="622"/>
        </w:trPr>
        <w:tc>
          <w:tcPr>
            <w:tcW w:w="5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2, 2025</w:t>
            </w:r>
          </w:p>
        </w:tc>
      </w:tr>
      <w:tr>
        <w:trPr>
          <w:trHeight w:val="648"/>
        </w:trPr>
        <w:tc>
          <w:tcPr>
            <w:tcW w:w="5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2, 2025</w:t>
            </w:r>
          </w:p>
        </w:tc>
      </w:tr>
      <w:tr>
        <w:trPr>
          <w:trHeight w:val="635"/>
        </w:trPr>
        <w:tc>
          <w:tcPr>
            <w:tcW w:w="5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2, 2025</w:t>
            </w:r>
          </w:p>
        </w:tc>
      </w:tr>
      <w:tr>
        <w:trPr>
          <w:trHeight w:val="635"/>
        </w:trPr>
        <w:tc>
          <w:tcPr>
            <w:tcW w:w="5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2, 2025</w:t>
            </w:r>
          </w:p>
        </w:tc>
      </w:tr>
      <w:tr>
        <w:trPr>
          <w:trHeight w:val="622"/>
        </w:trPr>
        <w:tc>
          <w:tcPr>
            <w:tcW w:w="5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2, 2025</w:t>
            </w:r>
          </w:p>
        </w:tc>
      </w:tr>
      <w:tr>
        <w:trPr>
          <w:trHeight w:val="648"/>
        </w:trPr>
        <w:tc>
          <w:tcPr>
            <w:tcW w:w="5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2,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394335</wp:posOffset>
            </wp:positionV>
            <wp:extent cx="71380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2">
            <w:col w:w="2560" w:space="720"/>
            <w:col w:w="7960"/>
          </w:cols>
          <w:pgMar w:left="320" w:top="870" w:right="33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161290</wp:posOffset>
            </wp:positionV>
            <wp:extent cx="6990080" cy="1167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6990080" cy="116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2, 2025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 No.: 328015.00001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TMC the metals company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1111 West Hastings Street, 15th Floor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Vancouver, British Columbia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V6E 2J3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Sirs/Mesdames:</w:t>
      </w:r>
    </w:p>
    <w:p>
      <w:pPr>
        <w:spacing w:after="0" w:line="21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TMC the metals company Inc. – Registration Statement on Form S-8</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acted as Canadian counsel to TMC the metals company Inc., a corporation continued under the laws of the Province of British Columbia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in connection with the filing of a registration statement on Form S-8 (as may be amended,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with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The Registration Statement relates to registering the issuance of an additional aggregate of 40,000,000 common shares without par value in the capital of the Corporation (the “</w:t>
      </w:r>
      <w:r>
        <w:rPr>
          <w:rFonts w:ascii="Times New Roman" w:cs="Times New Roman" w:eastAsia="Times New Roman" w:hAnsi="Times New Roman"/>
          <w:sz w:val="17"/>
          <w:szCs w:val="17"/>
          <w:b w:val="1"/>
          <w:bCs w:val="1"/>
          <w:color w:val="auto"/>
        </w:rPr>
        <w:t>Additional 2025 IEP Shares</w:t>
      </w:r>
      <w:r>
        <w:rPr>
          <w:rFonts w:ascii="Times New Roman" w:cs="Times New Roman" w:eastAsia="Times New Roman" w:hAnsi="Times New Roman"/>
          <w:sz w:val="17"/>
          <w:szCs w:val="17"/>
          <w:color w:val="auto"/>
        </w:rPr>
        <w:t>”) issuable upon exercise of the awards (the “</w:t>
      </w:r>
      <w:r>
        <w:rPr>
          <w:rFonts w:ascii="Times New Roman" w:cs="Times New Roman" w:eastAsia="Times New Roman" w:hAnsi="Times New Roman"/>
          <w:sz w:val="17"/>
          <w:szCs w:val="17"/>
          <w:b w:val="1"/>
          <w:bCs w:val="1"/>
          <w:color w:val="auto"/>
        </w:rPr>
        <w:t>Additional 2025 IEP Awards</w:t>
      </w:r>
      <w:r>
        <w:rPr>
          <w:rFonts w:ascii="Times New Roman" w:cs="Times New Roman" w:eastAsia="Times New Roman" w:hAnsi="Times New Roman"/>
          <w:sz w:val="17"/>
          <w:szCs w:val="17"/>
          <w:color w:val="auto"/>
        </w:rPr>
        <w:t>”) outstanding under and in accordance with the terms of the 2021 Incentive Equity Plan of the Corporation, as amended (the “</w:t>
      </w:r>
      <w:r>
        <w:rPr>
          <w:rFonts w:ascii="Times New Roman" w:cs="Times New Roman" w:eastAsia="Times New Roman" w:hAnsi="Times New Roman"/>
          <w:sz w:val="17"/>
          <w:szCs w:val="17"/>
          <w:b w:val="1"/>
          <w:bCs w:val="1"/>
          <w:color w:val="auto"/>
        </w:rPr>
        <w:t>IEP</w:t>
      </w:r>
      <w:r>
        <w:rPr>
          <w:rFonts w:ascii="Times New Roman" w:cs="Times New Roman" w:eastAsia="Times New Roman" w:hAnsi="Times New Roman"/>
          <w:sz w:val="17"/>
          <w:szCs w:val="17"/>
          <w:color w:val="auto"/>
        </w:rPr>
        <w:t>”), as a result of the amendment of such plan as approved by the shareholders of TMC on August 28, 2025 (the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w:t>
      </w:r>
    </w:p>
    <w:p>
      <w:pPr>
        <w:spacing w:after="0" w:line="380" w:lineRule="exact"/>
        <w:rPr>
          <w:sz w:val="20"/>
          <w:szCs w:val="20"/>
          <w:color w:val="auto"/>
        </w:rPr>
      </w:pPr>
    </w:p>
    <w:p>
      <w:pPr>
        <w:ind w:left="620" w:hanging="616"/>
        <w:spacing w:after="0"/>
        <w:tabs>
          <w:tab w:leader="none" w:pos="62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Documents Reviewed and Reliance</w:t>
      </w:r>
    </w:p>
    <w:p>
      <w:pPr>
        <w:spacing w:after="0" w:line="22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As Canadian counsel to the Corporation, we have examined original executed or electronically delivered copies, which have been certified or otherwise identified to our satisfaction, of:</w:t>
      </w:r>
    </w:p>
    <w:p>
      <w:pPr>
        <w:spacing w:after="0" w:line="148" w:lineRule="exact"/>
        <w:rPr>
          <w:sz w:val="20"/>
          <w:szCs w:val="20"/>
          <w:color w:val="auto"/>
        </w:rPr>
      </w:pPr>
    </w:p>
    <w:p>
      <w:pPr>
        <w:ind w:left="1240" w:hanging="615"/>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IEP; and</w:t>
      </w:r>
    </w:p>
    <w:p>
      <w:pPr>
        <w:spacing w:after="0" w:line="218" w:lineRule="exact"/>
        <w:rPr>
          <w:rFonts w:ascii="Times New Roman" w:cs="Times New Roman" w:eastAsia="Times New Roman" w:hAnsi="Times New Roman"/>
          <w:sz w:val="17"/>
          <w:szCs w:val="17"/>
          <w:color w:val="auto"/>
        </w:rPr>
      </w:pPr>
    </w:p>
    <w:p>
      <w:pPr>
        <w:ind w:left="1240" w:hanging="615"/>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w:t>
      </w:r>
    </w:p>
    <w:p>
      <w:pPr>
        <w:spacing w:after="0" w:line="219"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We have also made such investigations and examined originals or copies, certified or otherwise identified to our satisfaction, of such certificates of public officials and of such other certificates, documents and records as we considered necessary or relevant for purposes of the opinions expressed below, including:</w:t>
      </w:r>
    </w:p>
    <w:p>
      <w:pPr>
        <w:spacing w:after="0" w:line="146" w:lineRule="exact"/>
        <w:rPr>
          <w:sz w:val="20"/>
          <w:szCs w:val="20"/>
          <w:color w:val="auto"/>
        </w:rPr>
      </w:pPr>
    </w:p>
    <w:p>
      <w:pPr>
        <w:ind w:left="1240" w:hanging="615"/>
        <w:spacing w:after="0" w:line="294" w:lineRule="auto"/>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certificate of good standing dated September 2, 2025 issued pursuant to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(British Columbia) relating to the Corporation;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234950</wp:posOffset>
            </wp:positionV>
            <wp:extent cx="71380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5" w:name="page6"/>
    <w:bookmarkEnd w:id="5"/>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3157855</wp:posOffset>
            </wp:positionH>
            <wp:positionV relativeFrom="page">
              <wp:posOffset>565785</wp:posOffset>
            </wp:positionV>
            <wp:extent cx="1233805" cy="287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233805" cy="287655"/>
                    </a:xfrm>
                    <a:prstGeom prst="rect">
                      <a:avLst/>
                    </a:prstGeom>
                    <a:noFill/>
                  </pic:spPr>
                </pic:pic>
              </a:graphicData>
            </a:graphic>
          </wp:anchor>
        </w:drawing>
      </w:r>
    </w:p>
    <w:p>
      <w:pPr>
        <w:jc w:val="both"/>
        <w:ind w:left="1240" w:hanging="615"/>
        <w:spacing w:after="0" w:line="261" w:lineRule="auto"/>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signed by the Chief Financial Officer of the Corporation dated as of the date hereof addressed to our firm, containing certain additional corporate information of a factual nature and attaching the constating documents of the Corporation, including the certificate of continuation, notice of articles and articles of the Corporation (the “</w:t>
      </w:r>
      <w:r>
        <w:rPr>
          <w:rFonts w:ascii="Times New Roman" w:cs="Times New Roman" w:eastAsia="Times New Roman" w:hAnsi="Times New Roman"/>
          <w:sz w:val="17"/>
          <w:szCs w:val="17"/>
          <w:b w:val="1"/>
          <w:bCs w:val="1"/>
          <w:color w:val="auto"/>
        </w:rPr>
        <w:t>Constating Documents</w:t>
      </w:r>
      <w:r>
        <w:rPr>
          <w:rFonts w:ascii="Times New Roman" w:cs="Times New Roman" w:eastAsia="Times New Roman" w:hAnsi="Times New Roman"/>
          <w:sz w:val="17"/>
          <w:szCs w:val="17"/>
          <w:color w:val="auto"/>
        </w:rPr>
        <w:t>”), the ordinary resolution passed by the shareholders of the Corporation at the Corporation’s special meeting of shareholders held on August 28, 2025 authorizing and approving the amendment to the IEP, and the resolutions of the directors of the Corporation authorizing and approving, among other things, the issuance of the Additional 2025 IEP Shares (the “</w:t>
      </w:r>
      <w:r>
        <w:rPr>
          <w:rFonts w:ascii="Times New Roman" w:cs="Times New Roman" w:eastAsia="Times New Roman" w:hAnsi="Times New Roman"/>
          <w:sz w:val="17"/>
          <w:szCs w:val="17"/>
          <w:b w:val="1"/>
          <w:bCs w:val="1"/>
          <w:color w:val="auto"/>
        </w:rPr>
        <w:t>Officer’s Certificate</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to various questions of fact material to the opinions provided herein, we have relied upon the Officer’s Certificate.</w:t>
      </w:r>
    </w:p>
    <w:p>
      <w:pPr>
        <w:spacing w:after="0" w:line="217" w:lineRule="exact"/>
        <w:rPr>
          <w:sz w:val="20"/>
          <w:szCs w:val="20"/>
          <w:color w:val="auto"/>
        </w:rPr>
      </w:pPr>
    </w:p>
    <w:p>
      <w:pPr>
        <w:ind w:left="620" w:hanging="616"/>
        <w:spacing w:after="0"/>
        <w:tabs>
          <w:tab w:leader="none" w:pos="6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Laws Addressed</w:t>
      </w: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are qualified to practice law in the Province of British Columbia and our opinion herein is restricted to the laws of the Province of British Columbia and the federal laws of Canada applicable therein. We assume no obligation to update these opinions to take into account any changes in such laws or facts after the date hereof.</w:t>
      </w:r>
    </w:p>
    <w:p>
      <w:pPr>
        <w:spacing w:after="0" w:line="160" w:lineRule="exact"/>
        <w:rPr>
          <w:sz w:val="20"/>
          <w:szCs w:val="20"/>
          <w:color w:val="auto"/>
        </w:rPr>
      </w:pPr>
    </w:p>
    <w:p>
      <w:pPr>
        <w:ind w:left="620" w:hanging="616"/>
        <w:spacing w:after="0"/>
        <w:tabs>
          <w:tab w:leader="none" w:pos="6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Assumptions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purposes of the opinions expressed herein, we have assumed, without independent investigation, the following:</w:t>
      </w:r>
    </w:p>
    <w:p>
      <w:pPr>
        <w:spacing w:after="0" w:line="219" w:lineRule="exact"/>
        <w:rPr>
          <w:sz w:val="20"/>
          <w:szCs w:val="20"/>
          <w:color w:val="auto"/>
        </w:rPr>
      </w:pPr>
    </w:p>
    <w:p>
      <w:pPr>
        <w:jc w:val="both"/>
        <w:ind w:left="1240" w:hanging="615"/>
        <w:spacing w:after="0" w:line="273"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all documents examined by us, the genuineness of all signatures, the authenticity, completeness and accuracy of all documents submitted to us as originals, the conformity to originals of all documents submitted to us as certified, conformed, telecopied, PDF or photocopied copies of originals and the legal capacity of individuals signing any documents;</w:t>
      </w:r>
    </w:p>
    <w:p>
      <w:pPr>
        <w:spacing w:after="0" w:line="161" w:lineRule="exact"/>
        <w:rPr>
          <w:rFonts w:ascii="Times New Roman" w:cs="Times New Roman" w:eastAsia="Times New Roman" w:hAnsi="Times New Roman"/>
          <w:sz w:val="17"/>
          <w:szCs w:val="17"/>
          <w:color w:val="auto"/>
        </w:rPr>
      </w:pPr>
    </w:p>
    <w:p>
      <w:pPr>
        <w:ind w:left="1240" w:hanging="615"/>
        <w:spacing w:after="0" w:line="291"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completeness, accuracy and currency of the indices and filing systems maintained at the public offices where we have searched or made relevant inquiries and of other documents and certificates supplied by public officials;</w:t>
      </w:r>
    </w:p>
    <w:p>
      <w:pPr>
        <w:spacing w:after="0" w:line="147" w:lineRule="exact"/>
        <w:rPr>
          <w:rFonts w:ascii="Times New Roman" w:cs="Times New Roman" w:eastAsia="Times New Roman" w:hAnsi="Times New Roman"/>
          <w:sz w:val="17"/>
          <w:szCs w:val="17"/>
          <w:color w:val="auto"/>
        </w:rPr>
      </w:pPr>
    </w:p>
    <w:p>
      <w:pPr>
        <w:ind w:left="1240" w:hanging="615"/>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Officer’s Certificate continues to be accurate on the date hereof;</w:t>
      </w:r>
    </w:p>
    <w:p>
      <w:pPr>
        <w:spacing w:after="0" w:line="218" w:lineRule="exact"/>
        <w:rPr>
          <w:rFonts w:ascii="Times New Roman" w:cs="Times New Roman" w:eastAsia="Times New Roman" w:hAnsi="Times New Roman"/>
          <w:sz w:val="17"/>
          <w:szCs w:val="17"/>
          <w:color w:val="auto"/>
        </w:rPr>
      </w:pPr>
    </w:p>
    <w:p>
      <w:pPr>
        <w:jc w:val="both"/>
        <w:ind w:left="1240" w:hanging="615"/>
        <w:spacing w:after="0" w:line="273"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minute books and corporate records, or excerpts thereof, of the Corporation made available to us are the original minute books and records of the Corporation and contain all of the articles and constating documents of the Corporation and any amendments thereto and all of the respective minutes, or copies thereof, of all applicable proceedings of the shareholders and directors;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1380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3157855</wp:posOffset>
            </wp:positionH>
            <wp:positionV relativeFrom="page">
              <wp:posOffset>565785</wp:posOffset>
            </wp:positionV>
            <wp:extent cx="1233805" cy="287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233805" cy="287655"/>
                    </a:xfrm>
                    <a:prstGeom prst="rect">
                      <a:avLst/>
                    </a:prstGeom>
                    <a:noFill/>
                  </pic:spPr>
                </pic:pic>
              </a:graphicData>
            </a:graphic>
          </wp:anchor>
        </w:drawing>
      </w:r>
    </w:p>
    <w:p>
      <w:pPr>
        <w:ind w:left="1240" w:hanging="615"/>
        <w:spacing w:after="0" w:line="291" w:lineRule="auto"/>
        <w:tabs>
          <w:tab w:leader="none" w:pos="12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taken all necessary action to duly authorize the IEP and the Amendment and the Amendment has been made in accordance with the terms and provisions of the IEP;</w:t>
      </w:r>
    </w:p>
    <w:p>
      <w:pPr>
        <w:spacing w:after="0" w:line="147" w:lineRule="exact"/>
        <w:rPr>
          <w:rFonts w:ascii="Times New Roman" w:cs="Times New Roman" w:eastAsia="Times New Roman" w:hAnsi="Times New Roman"/>
          <w:sz w:val="17"/>
          <w:szCs w:val="17"/>
          <w:color w:val="auto"/>
        </w:rPr>
      </w:pPr>
    </w:p>
    <w:p>
      <w:pPr>
        <w:jc w:val="both"/>
        <w:ind w:left="1240" w:hanging="615"/>
        <w:spacing w:after="0" w:line="273" w:lineRule="auto"/>
        <w:tabs>
          <w:tab w:leader="none" w:pos="12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Additional 2025 IEP Awards constitutes a legal, valid and binding obligation of the Corporation and the other parties thereto, enforceable against each of the parties thereto in accordance with its terms and the execution and delivery thereof was duly authorized by the parties thereto and all Additional 2025 IEP Awards have been granted or issued in accordance with the terms of the IEP; and</w:t>
      </w:r>
    </w:p>
    <w:p>
      <w:pPr>
        <w:spacing w:after="0" w:line="161" w:lineRule="exact"/>
        <w:rPr>
          <w:rFonts w:ascii="Times New Roman" w:cs="Times New Roman" w:eastAsia="Times New Roman" w:hAnsi="Times New Roman"/>
          <w:sz w:val="17"/>
          <w:szCs w:val="17"/>
          <w:color w:val="auto"/>
        </w:rPr>
      </w:pPr>
    </w:p>
    <w:p>
      <w:pPr>
        <w:ind w:left="1240" w:hanging="615"/>
        <w:spacing w:after="0" w:line="291" w:lineRule="auto"/>
        <w:tabs>
          <w:tab w:leader="none" w:pos="12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if any obligation under any document is required to be performed in a jurisdiction outside of the Province of British Columbia, the performance of that obligation will not be illegal under the laws of that jurisdiction.</w:t>
      </w:r>
    </w:p>
    <w:p>
      <w:pPr>
        <w:spacing w:after="0" w:line="145"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Reliance</w:t>
      </w:r>
    </w:p>
    <w:p>
      <w:pPr>
        <w:spacing w:after="0" w:line="22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For the purposes of expressing the opinions set forth herein, in connection with certain factual matters pertaining to this opinion, we have relied exclusively and without independent investigation upon the Officer’s Certificate.</w:t>
      </w:r>
    </w:p>
    <w:p>
      <w:pPr>
        <w:spacing w:after="0" w:line="146" w:lineRule="exact"/>
        <w:rPr>
          <w:sz w:val="20"/>
          <w:szCs w:val="20"/>
          <w:color w:val="auto"/>
        </w:rPr>
      </w:pPr>
    </w:p>
    <w:p>
      <w:pPr>
        <w:ind w:left="620" w:hanging="616"/>
        <w:spacing w:after="0"/>
        <w:tabs>
          <w:tab w:leader="none" w:pos="6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Opinions</w:t>
      </w: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Based upon and relying on the foregoing and the qualifications hereinafter expressed, we are of the opinion that the Additional 2025 IEP Shares when issued in accordance with the terms of the IEP and the applicable Additional 2025 IEP Award will be validly issued, fully paid and non-assessable common shares in the capital of the Corporation.</w:t>
      </w:r>
    </w:p>
    <w:p>
      <w:pPr>
        <w:spacing w:after="0" w:line="160" w:lineRule="exact"/>
        <w:rPr>
          <w:sz w:val="20"/>
          <w:szCs w:val="20"/>
          <w:color w:val="auto"/>
        </w:rPr>
      </w:pPr>
    </w:p>
    <w:p>
      <w:pPr>
        <w:ind w:left="620" w:hanging="616"/>
        <w:spacing w:after="0"/>
        <w:tabs>
          <w:tab w:leader="none" w:pos="6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Qualifications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Whenever our opinion refers to securities of the Corporation, whether issued or to be issued, as being “fully-paid and non-assessable”, such phrase means that the holders of such securities will not, after the issuance to them of such securities, be liable to pay further amounts to the Corporation in respect of the issue price payable for such securities, and no opinion is expressed as to the adequacy of any consideration received by the Corporation therefor or as to the actual receipt by the Corporation of any consideration for the issuance of such securities.</w:t>
      </w:r>
    </w:p>
    <w:p>
      <w:pPr>
        <w:spacing w:after="0" w:line="16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For greater certainty, a specific assumption, limitation or qualification in this opinion is not to be interpreted to restrict the generality of any other assumption, limitation or qualification expressed in general terms in this opinion that includes the subject matter of the specific assumption, limitation or qualification.</w:t>
      </w:r>
    </w:p>
    <w:p>
      <w:pPr>
        <w:spacing w:after="0" w:line="14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hereby consent to the filing of this opinion as an exhibit to the Registration Statement. In giving this consent, we do not thereby admit that we are included in the category of persons whose consent is required under Section 7 or Section 11 of the Act or the rules and regulations of the Commission promulgated thereunder.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1380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3157855</wp:posOffset>
            </wp:positionH>
            <wp:positionV relativeFrom="page">
              <wp:posOffset>565785</wp:posOffset>
            </wp:positionV>
            <wp:extent cx="1233805" cy="287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233805" cy="287655"/>
                    </a:xfrm>
                    <a:prstGeom prst="rect">
                      <a:avLst/>
                    </a:prstGeom>
                    <a:noFill/>
                  </pic:spPr>
                </pic:pic>
              </a:graphicData>
            </a:graphic>
          </wp:anchor>
        </w:drawing>
      </w:r>
    </w:p>
    <w:p>
      <w:pPr>
        <w:jc w:val="both"/>
        <w:spacing w:after="0" w:line="273" w:lineRule="auto"/>
        <w:rPr>
          <w:sz w:val="20"/>
          <w:szCs w:val="20"/>
          <w:color w:val="auto"/>
        </w:rPr>
      </w:pPr>
      <w:r>
        <w:rPr>
          <w:rFonts w:ascii="Times New Roman" w:cs="Times New Roman" w:eastAsia="Times New Roman" w:hAnsi="Times New Roman"/>
          <w:sz w:val="17"/>
          <w:szCs w:val="17"/>
          <w:color w:val="auto"/>
        </w:rPr>
        <w:t>The opinions herein are given as at the date hereof and we disclaim any obligation or undertaking to advise any person of any change in law or fact that may come to our attention after the date hereof. Our opinions do not take into account any proposed rules, policies or legislative changes that may come into force following the date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Yours truly,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Fasken Martineau DuMoulin LLP</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1380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7"/>
          <w:szCs w:val="17"/>
          <w:color w:val="auto"/>
        </w:rPr>
        <w:t>Exhibit 23.1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S-8 pertaining to the “2021 Incentive Equity Plan (as amended)” of our report dated March 27, 2025, with respect to the consolidated financial statements of TMC the metals company Inc., included in its Annual Report (Form 10-K) for the period ended December 31, 2024, filed with the Securities and Exchange Commission.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Chartered Professional Accountants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Vancouver, Canada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418465</wp:posOffset>
            </wp:positionV>
            <wp:extent cx="71380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1"/>
          <w:szCs w:val="21"/>
          <w:b w:val="1"/>
          <w:bCs w:val="1"/>
          <w:color w:val="auto"/>
        </w:rPr>
        <w:t>Exhibit 23.3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AMC Consultants Pty Ltd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12, 477 Collins Street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Melbourne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Victoria, 3000, Australia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THIRD-PARTY QUALIFIED PERSON</w:t>
      </w:r>
    </w:p>
    <w:p>
      <w:pPr>
        <w:spacing w:after="0" w:line="221" w:lineRule="exact"/>
        <w:rPr>
          <w:sz w:val="20"/>
          <w:szCs w:val="20"/>
          <w:color w:val="auto"/>
        </w:rPr>
      </w:pPr>
    </w:p>
    <w:p>
      <w:pPr>
        <w:jc w:val="both"/>
        <w:ind w:right="360"/>
        <w:spacing w:after="0" w:line="273" w:lineRule="auto"/>
        <w:rPr>
          <w:sz w:val="20"/>
          <w:szCs w:val="20"/>
          <w:color w:val="auto"/>
        </w:rPr>
      </w:pPr>
      <w:r>
        <w:rPr>
          <w:rFonts w:ascii="Times New Roman" w:cs="Times New Roman" w:eastAsia="Times New Roman" w:hAnsi="Times New Roman"/>
          <w:sz w:val="17"/>
          <w:szCs w:val="17"/>
          <w:color w:val="auto"/>
        </w:rPr>
        <w:t>AMC Consultants Pty Ltd (“AMC”),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spacing w:after="0" w:line="162" w:lineRule="exact"/>
        <w:rPr>
          <w:sz w:val="20"/>
          <w:szCs w:val="20"/>
          <w:color w:val="auto"/>
        </w:rPr>
      </w:pPr>
    </w:p>
    <w:p>
      <w:pPr>
        <w:ind w:left="620" w:right="120" w:hanging="306"/>
        <w:spacing w:after="0" w:line="273"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p>
      <w:pPr>
        <w:spacing w:after="0" w:line="161" w:lineRule="exact"/>
        <w:rPr>
          <w:rFonts w:ascii="Times New Roman" w:cs="Times New Roman" w:eastAsia="Times New Roman" w:hAnsi="Times New Roman"/>
          <w:sz w:val="17"/>
          <w:szCs w:val="17"/>
          <w:color w:val="auto"/>
        </w:rPr>
      </w:pPr>
    </w:p>
    <w:p>
      <w:pPr>
        <w:ind w:left="620" w:right="680" w:hanging="306"/>
        <w:spacing w:after="0" w:line="291"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S-K 1300), in the Technical Report Summary and the Registration Statement; and</w:t>
      </w:r>
    </w:p>
    <w:p>
      <w:pPr>
        <w:spacing w:after="0" w:line="147" w:lineRule="exact"/>
        <w:rPr>
          <w:rFonts w:ascii="Times New Roman" w:cs="Times New Roman" w:eastAsia="Times New Roman" w:hAnsi="Times New Roman"/>
          <w:sz w:val="17"/>
          <w:szCs w:val="17"/>
          <w:color w:val="auto"/>
        </w:rPr>
      </w:pPr>
    </w:p>
    <w:p>
      <w:pPr>
        <w:ind w:left="620" w:right="140" w:hanging="306"/>
        <w:spacing w:after="0" w:line="291"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p>
      <w:pPr>
        <w:spacing w:after="0" w:line="148"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color w:val="auto"/>
        </w:rPr>
        <w:t>AMC is responsible for authoring, and this consent pertains to, Sections 1.4, 1.10, 1.13, 2, 4, 5, 7.3.6, 7.4, 7.5.1-7.5.3, 7.5.5, 7.6, 7.7, 7.8.2, 7.10 - 7.12, 8.2-8.3, 9, 11, 12.1,12.2.5,12.2.6, 12.2.8, 12.2.10, 12.3 - 12.5, 12.7, 20, 22.2, 22.4, 22.5, 24, and 25 of the Technical Report Summary.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September 2,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Felicia Mackenzie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8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Felicia Mackenzie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Performance Officer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Authorized Person for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AMC Consultants Pty Ltd,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287020</wp:posOffset>
            </wp:positionV>
            <wp:extent cx="71380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1"/>
          <w:szCs w:val="21"/>
          <w:b w:val="1"/>
          <w:bCs w:val="1"/>
          <w:color w:val="auto"/>
        </w:rPr>
        <w:t>Exhibit 23.4</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Margin – Marine Geoscience Innovation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 Kalang Circuit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Coffs Harbour, 2450, NSW, Australia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THIRD-PARTY QUALIFIED PERSON</w:t>
      </w:r>
    </w:p>
    <w:p>
      <w:pPr>
        <w:spacing w:after="0" w:line="221"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Margin - Marine Geoscience Innovation (“MMGI”),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spacing w:after="0" w:line="162" w:lineRule="exact"/>
        <w:rPr>
          <w:sz w:val="20"/>
          <w:szCs w:val="20"/>
          <w:color w:val="auto"/>
        </w:rPr>
      </w:pPr>
    </w:p>
    <w:p>
      <w:pPr>
        <w:jc w:val="both"/>
        <w:ind w:left="620" w:hanging="306"/>
        <w:spacing w:after="0" w:line="273"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p>
      <w:pPr>
        <w:spacing w:after="0" w:line="161"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S-K 1300), in the Technical Report Summary and the Registration Statement; and</w:t>
      </w:r>
    </w:p>
    <w:p>
      <w:pPr>
        <w:spacing w:after="0" w:line="147"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p>
      <w:pPr>
        <w:spacing w:after="0" w:line="148"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color w:val="auto"/>
        </w:rPr>
        <w:t>MMGI is responsible for authoring, and this consent pertains to, Sections 6, 7.1, 7.2.1 – 7.2.7, 7.2.9, 7.2.10, 7.3.1 – 7.3.3, 7.3.5, 7.8.1, 7.9, 7.13, 8.1 and 12.2.4. of the Technical Report Summary.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September 2,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Ian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8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 Ian Stevenson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Marine Geoscience Consultant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Authorized Person for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Margin - Marine Geoscience Innovation,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287020</wp:posOffset>
            </wp:positionV>
            <wp:extent cx="71380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1"/>
          <w:szCs w:val="21"/>
          <w:b w:val="1"/>
          <w:bCs w:val="1"/>
          <w:color w:val="auto"/>
        </w:rPr>
        <w:t>Exhibit 23.5</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APYS Subsea Ltd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The Macies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Bath, United Kingdom, BA1 4HS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THIRD-PARTY QUALIFIED PERSON</w:t>
      </w:r>
    </w:p>
    <w:p>
      <w:pPr>
        <w:spacing w:after="0" w:line="221" w:lineRule="exact"/>
        <w:rPr>
          <w:sz w:val="20"/>
          <w:szCs w:val="20"/>
          <w:color w:val="auto"/>
        </w:rPr>
      </w:pPr>
    </w:p>
    <w:p>
      <w:pPr>
        <w:jc w:val="both"/>
        <w:ind w:right="180"/>
        <w:spacing w:after="0" w:line="291" w:lineRule="auto"/>
        <w:rPr>
          <w:sz w:val="20"/>
          <w:szCs w:val="20"/>
          <w:color w:val="auto"/>
        </w:rPr>
      </w:pPr>
      <w:r>
        <w:rPr>
          <w:rFonts w:ascii="Times New Roman" w:cs="Times New Roman" w:eastAsia="Times New Roman" w:hAnsi="Times New Roman"/>
          <w:sz w:val="17"/>
          <w:szCs w:val="17"/>
          <w:color w:val="auto"/>
        </w:rPr>
        <w:t>APYS Subsea Ltd (“APYS”),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spacing w:after="0" w:line="148" w:lineRule="exact"/>
        <w:rPr>
          <w:sz w:val="20"/>
          <w:szCs w:val="20"/>
          <w:color w:val="auto"/>
        </w:rPr>
      </w:pPr>
    </w:p>
    <w:p>
      <w:pPr>
        <w:ind w:left="620" w:right="120" w:hanging="306"/>
        <w:spacing w:after="0" w:line="273"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p>
      <w:pPr>
        <w:spacing w:after="0" w:line="161" w:lineRule="exact"/>
        <w:rPr>
          <w:rFonts w:ascii="Times New Roman" w:cs="Times New Roman" w:eastAsia="Times New Roman" w:hAnsi="Times New Roman"/>
          <w:sz w:val="17"/>
          <w:szCs w:val="17"/>
          <w:color w:val="auto"/>
        </w:rPr>
      </w:pPr>
    </w:p>
    <w:p>
      <w:pPr>
        <w:ind w:left="620" w:right="700" w:hanging="306"/>
        <w:spacing w:after="0" w:line="291"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S-K 1300), in the Technical Report Summary and the Registration Statement; and</w:t>
      </w:r>
    </w:p>
    <w:p>
      <w:pPr>
        <w:spacing w:after="0" w:line="147" w:lineRule="exact"/>
        <w:rPr>
          <w:rFonts w:ascii="Times New Roman" w:cs="Times New Roman" w:eastAsia="Times New Roman" w:hAnsi="Times New Roman"/>
          <w:sz w:val="17"/>
          <w:szCs w:val="17"/>
          <w:color w:val="auto"/>
        </w:rPr>
      </w:pPr>
    </w:p>
    <w:p>
      <w:pPr>
        <w:ind w:left="620" w:right="160" w:hanging="306"/>
        <w:spacing w:after="0" w:line="291"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APYS is responsible for authoring, and this consent pertains to, Sections 7.2.8, 7.3.4, 7.5.4, 7.14 and 12.2.2. of the Technical Report Summary.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September 2,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John Buckell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8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Buckell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Consultant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Authorized Person for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APYS Subsea Ltd,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287020</wp:posOffset>
            </wp:positionV>
            <wp:extent cx="71380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1"/>
          <w:szCs w:val="21"/>
          <w:b w:val="1"/>
          <w:bCs w:val="1"/>
          <w:color w:val="auto"/>
        </w:rPr>
        <w:t>Exhibit 23.6</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Canadian Engineering Associates Ltd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2544 Weston Road, Unit 208</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Toronto, ON M9N 2A6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THIRD-PARTY QUALIFIED PERSON</w:t>
      </w:r>
    </w:p>
    <w:p>
      <w:pPr>
        <w:spacing w:after="0" w:line="2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Canadian Engineering Associates Ltd (“CEA”),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spacing w:after="0" w:line="162" w:lineRule="exact"/>
        <w:rPr>
          <w:sz w:val="20"/>
          <w:szCs w:val="20"/>
          <w:color w:val="auto"/>
        </w:rPr>
      </w:pPr>
    </w:p>
    <w:p>
      <w:pPr>
        <w:ind w:left="620" w:right="120" w:hanging="306"/>
        <w:spacing w:after="0" w:line="273"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p>
      <w:pPr>
        <w:spacing w:after="0" w:line="161" w:lineRule="exact"/>
        <w:rPr>
          <w:rFonts w:ascii="Times New Roman" w:cs="Times New Roman" w:eastAsia="Times New Roman" w:hAnsi="Times New Roman"/>
          <w:sz w:val="17"/>
          <w:szCs w:val="17"/>
          <w:color w:val="auto"/>
        </w:rPr>
      </w:pPr>
    </w:p>
    <w:p>
      <w:pPr>
        <w:ind w:left="620" w:right="700" w:hanging="306"/>
        <w:spacing w:after="0" w:line="291"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S-K 1300), in the Technical Report Summary and the Registration Statement; and</w:t>
      </w:r>
    </w:p>
    <w:p>
      <w:pPr>
        <w:spacing w:after="0" w:line="147" w:lineRule="exact"/>
        <w:rPr>
          <w:rFonts w:ascii="Times New Roman" w:cs="Times New Roman" w:eastAsia="Times New Roman" w:hAnsi="Times New Roman"/>
          <w:sz w:val="17"/>
          <w:szCs w:val="17"/>
          <w:color w:val="auto"/>
        </w:rPr>
      </w:pPr>
    </w:p>
    <w:p>
      <w:pPr>
        <w:ind w:left="620" w:right="160" w:hanging="306"/>
        <w:spacing w:after="0" w:line="291"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CEA is responsible for authoring, and this consent pertains to, Sections 1.7, 10, 12.2.11, 14, 15 and 22.7 of the Technical Report Summary.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September 2,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Cameron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8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Cameron Harris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Co-Founder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Authorized Person for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Canadian Engineering Associates Ltd,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287020</wp:posOffset>
            </wp:positionV>
            <wp:extent cx="71380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1"/>
          <w:szCs w:val="21"/>
          <w:b w:val="1"/>
          <w:bCs w:val="1"/>
          <w:color w:val="auto"/>
        </w:rPr>
        <w:t>Exhibit 23.7</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Lanasera Pty Ltd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29 Ellen Street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Oxley QLD 4075</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THIRD-PARTY QUALIFIED PERSON</w:t>
      </w:r>
    </w:p>
    <w:p>
      <w:pPr>
        <w:spacing w:after="0" w:line="221"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7"/>
          <w:szCs w:val="17"/>
          <w:color w:val="auto"/>
        </w:rPr>
        <w:t>Lanasera Pty Ltd (“Lanasera”),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spacing w:after="0" w:line="148" w:lineRule="exact"/>
        <w:rPr>
          <w:sz w:val="20"/>
          <w:szCs w:val="20"/>
          <w:color w:val="auto"/>
        </w:rPr>
      </w:pPr>
    </w:p>
    <w:p>
      <w:pPr>
        <w:ind w:left="620" w:right="120" w:hanging="306"/>
        <w:spacing w:after="0" w:line="273"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p>
      <w:pPr>
        <w:spacing w:after="0" w:line="161" w:lineRule="exact"/>
        <w:rPr>
          <w:rFonts w:ascii="Times New Roman" w:cs="Times New Roman" w:eastAsia="Times New Roman" w:hAnsi="Times New Roman"/>
          <w:sz w:val="17"/>
          <w:szCs w:val="17"/>
          <w:color w:val="auto"/>
        </w:rPr>
      </w:pPr>
    </w:p>
    <w:p>
      <w:pPr>
        <w:ind w:left="620" w:right="700" w:hanging="306"/>
        <w:spacing w:after="0" w:line="291"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S-K 1300), in the Technical Report Summary and the Registration Statement; and</w:t>
      </w:r>
    </w:p>
    <w:p>
      <w:pPr>
        <w:spacing w:after="0" w:line="147" w:lineRule="exact"/>
        <w:rPr>
          <w:rFonts w:ascii="Times New Roman" w:cs="Times New Roman" w:eastAsia="Times New Roman" w:hAnsi="Times New Roman"/>
          <w:sz w:val="17"/>
          <w:szCs w:val="17"/>
          <w:color w:val="auto"/>
        </w:rPr>
      </w:pPr>
    </w:p>
    <w:p>
      <w:pPr>
        <w:ind w:left="620" w:right="160" w:hanging="306"/>
        <w:spacing w:after="0" w:line="291"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Lanasera is responsible for authoring, and this consent pertains to, Sections 1.12, 12.6, 19 and 22.12 of the Technical Report Summary.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September 2,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Brett Roughan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8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Brett Roughan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Authorized Person for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Lanasera Pty Ltd,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287020</wp:posOffset>
            </wp:positionV>
            <wp:extent cx="71380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1"/>
          <w:szCs w:val="21"/>
          <w:b w:val="1"/>
          <w:bCs w:val="1"/>
          <w:color w:val="auto"/>
        </w:rPr>
        <w:t>Exhibit 23.8</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Anthony O’Sullivan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TMC the metals company Inc.</w:t>
      </w:r>
    </w:p>
    <w:p>
      <w:pPr>
        <w:spacing w:after="0" w:line="193" w:lineRule="auto"/>
        <w:rPr>
          <w:sz w:val="20"/>
          <w:szCs w:val="20"/>
          <w:color w:val="auto"/>
        </w:rPr>
      </w:pPr>
      <w:r>
        <w:rPr>
          <w:rFonts w:ascii="Times New Roman" w:cs="Times New Roman" w:eastAsia="Times New Roman" w:hAnsi="Times New Roman"/>
          <w:sz w:val="17"/>
          <w:szCs w:val="17"/>
          <w:color w:val="auto"/>
        </w:rPr>
        <w:t>1111 West Hastings Street,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rPr>
          <w:sz w:val="20"/>
          <w:szCs w:val="20"/>
          <w:color w:val="auto"/>
        </w:rPr>
      </w:pPr>
      <w:r>
        <w:rPr>
          <w:rFonts w:ascii="Times New Roman" w:cs="Times New Roman" w:eastAsia="Times New Roman" w:hAnsi="Times New Roman"/>
          <w:sz w:val="17"/>
          <w:szCs w:val="17"/>
          <w:color w:val="auto"/>
        </w:rPr>
        <w:t>Vancouver, BC V6E 2J3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QUALIFIED PERSON</w:t>
      </w:r>
    </w:p>
    <w:p>
      <w:pPr>
        <w:spacing w:after="0" w:line="200"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Anthony O’Sullivan (the “Qualified Person”),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spacing w:after="0" w:line="162" w:lineRule="exact"/>
        <w:rPr>
          <w:sz w:val="20"/>
          <w:szCs w:val="20"/>
          <w:color w:val="auto"/>
        </w:rPr>
      </w:pPr>
    </w:p>
    <w:p>
      <w:pPr>
        <w:ind w:left="620" w:right="120" w:hanging="306"/>
        <w:spacing w:after="0" w:line="273"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p>
      <w:pPr>
        <w:spacing w:after="0" w:line="161" w:lineRule="exact"/>
        <w:rPr>
          <w:rFonts w:ascii="Times New Roman" w:cs="Times New Roman" w:eastAsia="Times New Roman" w:hAnsi="Times New Roman"/>
          <w:sz w:val="17"/>
          <w:szCs w:val="17"/>
          <w:color w:val="auto"/>
        </w:rPr>
      </w:pPr>
    </w:p>
    <w:p>
      <w:pPr>
        <w:ind w:left="620" w:right="680" w:hanging="306"/>
        <w:spacing w:after="0" w:line="291"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S-K 1300), in the Technical Report Summary and the Registration Statement; and</w:t>
      </w:r>
    </w:p>
    <w:p>
      <w:pPr>
        <w:spacing w:after="0" w:line="147" w:lineRule="exact"/>
        <w:rPr>
          <w:rFonts w:ascii="Times New Roman" w:cs="Times New Roman" w:eastAsia="Times New Roman" w:hAnsi="Times New Roman"/>
          <w:sz w:val="17"/>
          <w:szCs w:val="17"/>
          <w:color w:val="auto"/>
        </w:rPr>
      </w:pPr>
    </w:p>
    <w:p>
      <w:pPr>
        <w:ind w:left="620" w:right="140" w:hanging="306"/>
        <w:spacing w:after="0" w:line="291"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Qualified Person is responsible for authoring, and this consent pertains to, Sections 1.1, 1.2, 1.3, 1.5, 1.8, 3, 12.2.1, 12.2.12-12.2.14, 16, 21, 22.1, 22.3, 22.8,</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22.9, 22.12 and 23 of the Technical Report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Summary.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September 2,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Anthony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8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Anthony O’Sullivan, a Qualified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295275</wp:posOffset>
            </wp:positionV>
            <wp:extent cx="71380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1"/>
          <w:szCs w:val="21"/>
          <w:b w:val="1"/>
          <w:bCs w:val="1"/>
          <w:color w:val="auto"/>
        </w:rPr>
        <w:t>Exhibit 23.9</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Rutger Bosland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TMC the metals company Inc.</w:t>
      </w:r>
    </w:p>
    <w:p>
      <w:pPr>
        <w:spacing w:after="0" w:line="193" w:lineRule="auto"/>
        <w:rPr>
          <w:sz w:val="20"/>
          <w:szCs w:val="20"/>
          <w:color w:val="auto"/>
        </w:rPr>
      </w:pPr>
      <w:r>
        <w:rPr>
          <w:rFonts w:ascii="Times New Roman" w:cs="Times New Roman" w:eastAsia="Times New Roman" w:hAnsi="Times New Roman"/>
          <w:sz w:val="17"/>
          <w:szCs w:val="17"/>
          <w:color w:val="auto"/>
        </w:rPr>
        <w:t>1111 West Hastings Street,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rPr>
          <w:sz w:val="20"/>
          <w:szCs w:val="20"/>
          <w:color w:val="auto"/>
        </w:rPr>
      </w:pPr>
      <w:r>
        <w:rPr>
          <w:rFonts w:ascii="Times New Roman" w:cs="Times New Roman" w:eastAsia="Times New Roman" w:hAnsi="Times New Roman"/>
          <w:sz w:val="17"/>
          <w:szCs w:val="17"/>
          <w:color w:val="auto"/>
        </w:rPr>
        <w:t>Vancouver, BC V6E 2J3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QUALIFIED PERSON</w:t>
      </w:r>
    </w:p>
    <w:p>
      <w:pPr>
        <w:spacing w:after="0" w:line="200"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Rutger Bosland (the “Qualified Person”),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spacing w:after="0" w:line="162" w:lineRule="exact"/>
        <w:rPr>
          <w:sz w:val="20"/>
          <w:szCs w:val="20"/>
          <w:color w:val="auto"/>
        </w:rPr>
      </w:pPr>
    </w:p>
    <w:p>
      <w:pPr>
        <w:ind w:left="620" w:right="120" w:hanging="306"/>
        <w:spacing w:after="0" w:line="273"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p>
      <w:pPr>
        <w:spacing w:after="0" w:line="161" w:lineRule="exact"/>
        <w:rPr>
          <w:rFonts w:ascii="Times New Roman" w:cs="Times New Roman" w:eastAsia="Times New Roman" w:hAnsi="Times New Roman"/>
          <w:sz w:val="17"/>
          <w:szCs w:val="17"/>
          <w:color w:val="auto"/>
        </w:rPr>
      </w:pPr>
    </w:p>
    <w:p>
      <w:pPr>
        <w:ind w:left="620" w:right="680" w:hanging="306"/>
        <w:spacing w:after="0" w:line="291"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S-K 1300), in the Technical Report Summary and the Registration Statement; and</w:t>
      </w:r>
    </w:p>
    <w:p>
      <w:pPr>
        <w:spacing w:after="0" w:line="147" w:lineRule="exact"/>
        <w:rPr>
          <w:rFonts w:ascii="Times New Roman" w:cs="Times New Roman" w:eastAsia="Times New Roman" w:hAnsi="Times New Roman"/>
          <w:sz w:val="17"/>
          <w:szCs w:val="17"/>
          <w:color w:val="auto"/>
        </w:rPr>
      </w:pPr>
    </w:p>
    <w:p>
      <w:pPr>
        <w:ind w:left="620" w:right="140" w:hanging="306"/>
        <w:spacing w:after="0" w:line="291"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Qualified Person is responsible for authoring, and this consent pertains to, Sections 1.6, 12.2.3, 12.2.7, 12.2.9, 13 and 22.6 of the Technical Report Summary.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September 2,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Rutger Bosland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8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Rutger Bosland, a Qualified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295275</wp:posOffset>
            </wp:positionV>
            <wp:extent cx="71380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1"/>
          <w:szCs w:val="21"/>
          <w:b w:val="1"/>
          <w:bCs w:val="1"/>
          <w:color w:val="auto"/>
        </w:rPr>
        <w:t>Exhibit 23.10</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 Michael Clarke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TMC the metals company Inc.</w:t>
      </w:r>
    </w:p>
    <w:p>
      <w:pPr>
        <w:spacing w:after="0" w:line="193" w:lineRule="auto"/>
        <w:rPr>
          <w:sz w:val="20"/>
          <w:szCs w:val="20"/>
          <w:color w:val="auto"/>
        </w:rPr>
      </w:pPr>
      <w:r>
        <w:rPr>
          <w:rFonts w:ascii="Times New Roman" w:cs="Times New Roman" w:eastAsia="Times New Roman" w:hAnsi="Times New Roman"/>
          <w:sz w:val="17"/>
          <w:szCs w:val="17"/>
          <w:color w:val="auto"/>
        </w:rPr>
        <w:t>1111 West Hastings Street,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rPr>
          <w:sz w:val="20"/>
          <w:szCs w:val="20"/>
          <w:color w:val="auto"/>
        </w:rPr>
      </w:pPr>
      <w:r>
        <w:rPr>
          <w:rFonts w:ascii="Times New Roman" w:cs="Times New Roman" w:eastAsia="Times New Roman" w:hAnsi="Times New Roman"/>
          <w:sz w:val="17"/>
          <w:szCs w:val="17"/>
          <w:color w:val="auto"/>
        </w:rPr>
        <w:t>Vancouver, BC V6E 2J3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1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CONSENT OF QUALIFIED PERSON</w:t>
      </w:r>
    </w:p>
    <w:p>
      <w:pPr>
        <w:spacing w:after="0" w:line="221"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Dr. Michael Clarke (the “Qualified Person”),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spacing w:after="0" w:line="162" w:lineRule="exact"/>
        <w:rPr>
          <w:sz w:val="20"/>
          <w:szCs w:val="20"/>
          <w:color w:val="auto"/>
        </w:rPr>
      </w:pPr>
    </w:p>
    <w:p>
      <w:pPr>
        <w:ind w:left="620" w:right="120" w:hanging="306"/>
        <w:spacing w:after="0" w:line="273"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p>
      <w:pPr>
        <w:spacing w:after="0" w:line="161" w:lineRule="exact"/>
        <w:rPr>
          <w:rFonts w:ascii="Times New Roman" w:cs="Times New Roman" w:eastAsia="Times New Roman" w:hAnsi="Times New Roman"/>
          <w:sz w:val="17"/>
          <w:szCs w:val="17"/>
          <w:color w:val="auto"/>
        </w:rPr>
      </w:pPr>
    </w:p>
    <w:p>
      <w:pPr>
        <w:ind w:left="620" w:right="700" w:hanging="306"/>
        <w:spacing w:after="0" w:line="291"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S-K 1300), in the Technical Report Summary and the Registration Statement; and</w:t>
      </w:r>
    </w:p>
    <w:p>
      <w:pPr>
        <w:spacing w:after="0" w:line="147" w:lineRule="exact"/>
        <w:rPr>
          <w:rFonts w:ascii="Times New Roman" w:cs="Times New Roman" w:eastAsia="Times New Roman" w:hAnsi="Times New Roman"/>
          <w:sz w:val="17"/>
          <w:szCs w:val="17"/>
          <w:color w:val="auto"/>
        </w:rPr>
      </w:pPr>
    </w:p>
    <w:p>
      <w:pPr>
        <w:ind w:left="620" w:right="160" w:hanging="306"/>
        <w:spacing w:after="0" w:line="291"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Qualified Person is responsible for authoring, and this consent pertains to, Sections 1.9, 12.2.1, 17 and 22.10 of the Technical Report Summary.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September 2,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Michael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8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 Michael Clarke, a Qualified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295275</wp:posOffset>
            </wp:positionV>
            <wp:extent cx="71380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1"/>
          <w:szCs w:val="21"/>
          <w:b w:val="1"/>
          <w:bCs w:val="1"/>
          <w:color w:val="auto"/>
        </w:rPr>
        <w:t>Exhibit 23.11</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Adam Price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TMC the metals company Inc.</w:t>
      </w:r>
    </w:p>
    <w:p>
      <w:pPr>
        <w:spacing w:after="0" w:line="193" w:lineRule="auto"/>
        <w:rPr>
          <w:sz w:val="20"/>
          <w:szCs w:val="20"/>
          <w:color w:val="auto"/>
        </w:rPr>
      </w:pPr>
      <w:r>
        <w:rPr>
          <w:rFonts w:ascii="Times New Roman" w:cs="Times New Roman" w:eastAsia="Times New Roman" w:hAnsi="Times New Roman"/>
          <w:sz w:val="17"/>
          <w:szCs w:val="17"/>
          <w:color w:val="auto"/>
        </w:rPr>
        <w:t>1111 West Hastings Street,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rPr>
          <w:sz w:val="20"/>
          <w:szCs w:val="20"/>
          <w:color w:val="auto"/>
        </w:rPr>
      </w:pPr>
      <w:r>
        <w:rPr>
          <w:rFonts w:ascii="Times New Roman" w:cs="Times New Roman" w:eastAsia="Times New Roman" w:hAnsi="Times New Roman"/>
          <w:sz w:val="17"/>
          <w:szCs w:val="17"/>
          <w:color w:val="auto"/>
        </w:rPr>
        <w:t>Vancouver, BC V6E 2J3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QUALIFIED PERSON</w:t>
      </w:r>
    </w:p>
    <w:p>
      <w:pPr>
        <w:spacing w:after="0" w:line="221" w:lineRule="exact"/>
        <w:rPr>
          <w:sz w:val="20"/>
          <w:szCs w:val="20"/>
          <w:color w:val="auto"/>
        </w:rPr>
      </w:pPr>
    </w:p>
    <w:p>
      <w:pPr>
        <w:jc w:val="both"/>
        <w:ind w:right="340"/>
        <w:spacing w:after="0" w:line="273" w:lineRule="auto"/>
        <w:rPr>
          <w:sz w:val="20"/>
          <w:szCs w:val="20"/>
          <w:color w:val="auto"/>
        </w:rPr>
      </w:pPr>
      <w:r>
        <w:rPr>
          <w:rFonts w:ascii="Times New Roman" w:cs="Times New Roman" w:eastAsia="Times New Roman" w:hAnsi="Times New Roman"/>
          <w:sz w:val="17"/>
          <w:szCs w:val="17"/>
          <w:color w:val="auto"/>
        </w:rPr>
        <w:t>Adam Price (the "Qualified Person"),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spacing w:after="0" w:line="162" w:lineRule="exact"/>
        <w:rPr>
          <w:sz w:val="20"/>
          <w:szCs w:val="20"/>
          <w:color w:val="auto"/>
        </w:rPr>
      </w:pPr>
    </w:p>
    <w:p>
      <w:pPr>
        <w:ind w:left="620" w:right="120" w:hanging="306"/>
        <w:spacing w:after="0" w:line="273"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p>
      <w:pPr>
        <w:spacing w:after="0" w:line="161" w:lineRule="exact"/>
        <w:rPr>
          <w:rFonts w:ascii="Times New Roman" w:cs="Times New Roman" w:eastAsia="Times New Roman" w:hAnsi="Times New Roman"/>
          <w:sz w:val="17"/>
          <w:szCs w:val="17"/>
          <w:color w:val="auto"/>
        </w:rPr>
      </w:pPr>
    </w:p>
    <w:p>
      <w:pPr>
        <w:ind w:left="620" w:right="680" w:hanging="306"/>
        <w:spacing w:after="0" w:line="291"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S-K 1300), in the Technical Report Summary and the Registration Statement; and</w:t>
      </w:r>
    </w:p>
    <w:p>
      <w:pPr>
        <w:spacing w:after="0" w:line="147" w:lineRule="exact"/>
        <w:rPr>
          <w:rFonts w:ascii="Times New Roman" w:cs="Times New Roman" w:eastAsia="Times New Roman" w:hAnsi="Times New Roman"/>
          <w:sz w:val="17"/>
          <w:szCs w:val="17"/>
          <w:color w:val="auto"/>
        </w:rPr>
      </w:pPr>
    </w:p>
    <w:p>
      <w:pPr>
        <w:ind w:left="620" w:right="140" w:hanging="306"/>
        <w:spacing w:after="0" w:line="291"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Qualified Person is responsible for authoring, and this consent pertains to, Sections 1.11, 18 and 22.11 of the Technical Report Summary.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September 2,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Adam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8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Adam Price, a Qualified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295275</wp:posOffset>
            </wp:positionV>
            <wp:extent cx="71380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1"/>
          <w:szCs w:val="21"/>
          <w:b w:val="1"/>
          <w:bCs w:val="1"/>
          <w:color w:val="auto"/>
        </w:rPr>
        <w:t>Exhibit 23.12</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AMC Consultants Pty Ltd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12</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477 Collins Street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Melbourne VIC 3000</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THIRD-PARTY QUALIFIED PERSON</w:t>
      </w:r>
    </w:p>
    <w:p>
      <w:pPr>
        <w:spacing w:after="0" w:line="221" w:lineRule="exact"/>
        <w:rPr>
          <w:sz w:val="20"/>
          <w:szCs w:val="20"/>
          <w:color w:val="auto"/>
        </w:rPr>
      </w:pPr>
    </w:p>
    <w:p>
      <w:pPr>
        <w:jc w:val="both"/>
        <w:ind w:right="360"/>
        <w:spacing w:after="0" w:line="273" w:lineRule="auto"/>
        <w:rPr>
          <w:sz w:val="20"/>
          <w:szCs w:val="20"/>
          <w:color w:val="auto"/>
        </w:rPr>
      </w:pPr>
      <w:r>
        <w:rPr>
          <w:rFonts w:ascii="Times New Roman" w:cs="Times New Roman" w:eastAsia="Times New Roman" w:hAnsi="Times New Roman"/>
          <w:sz w:val="17"/>
          <w:szCs w:val="17"/>
          <w:color w:val="auto"/>
        </w:rPr>
        <w:t>AMC Consultants Pty Ltd (“AMC”),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spacing w:after="0" w:line="162" w:lineRule="exact"/>
        <w:rPr>
          <w:sz w:val="20"/>
          <w:szCs w:val="20"/>
          <w:color w:val="auto"/>
        </w:rPr>
      </w:pPr>
    </w:p>
    <w:p>
      <w:pPr>
        <w:jc w:val="both"/>
        <w:ind w:left="620" w:right="20" w:hanging="306"/>
        <w:spacing w:after="0" w:line="273"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p>
      <w:pPr>
        <w:spacing w:after="0" w:line="161" w:lineRule="exact"/>
        <w:rPr>
          <w:rFonts w:ascii="Times New Roman" w:cs="Times New Roman" w:eastAsia="Times New Roman" w:hAnsi="Times New Roman"/>
          <w:sz w:val="17"/>
          <w:szCs w:val="17"/>
          <w:color w:val="auto"/>
        </w:rPr>
      </w:pPr>
    </w:p>
    <w:p>
      <w:pPr>
        <w:ind w:left="620" w:right="680" w:hanging="306"/>
        <w:spacing w:after="0" w:line="291"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S-K 1300), in the Technical Report Summary and the Registration Statement; and</w:t>
      </w:r>
    </w:p>
    <w:p>
      <w:pPr>
        <w:spacing w:after="0" w:line="147" w:lineRule="exact"/>
        <w:rPr>
          <w:rFonts w:ascii="Times New Roman" w:cs="Times New Roman" w:eastAsia="Times New Roman" w:hAnsi="Times New Roman"/>
          <w:sz w:val="17"/>
          <w:szCs w:val="17"/>
          <w:color w:val="auto"/>
        </w:rPr>
      </w:pPr>
    </w:p>
    <w:p>
      <w:pPr>
        <w:ind w:left="620" w:right="140" w:hanging="306"/>
        <w:spacing w:after="0" w:line="291"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p>
      <w:pPr>
        <w:spacing w:after="0" w:line="148" w:lineRule="exact"/>
        <w:rPr>
          <w:sz w:val="20"/>
          <w:szCs w:val="20"/>
          <w:color w:val="auto"/>
        </w:rPr>
      </w:pPr>
    </w:p>
    <w:p>
      <w:pPr>
        <w:ind w:right="300"/>
        <w:spacing w:after="0" w:line="291" w:lineRule="auto"/>
        <w:rPr>
          <w:sz w:val="20"/>
          <w:szCs w:val="20"/>
          <w:color w:val="auto"/>
        </w:rPr>
      </w:pPr>
      <w:r>
        <w:rPr>
          <w:rFonts w:ascii="Times New Roman" w:cs="Times New Roman" w:eastAsia="Times New Roman" w:hAnsi="Times New Roman"/>
          <w:sz w:val="17"/>
          <w:szCs w:val="17"/>
          <w:color w:val="auto"/>
        </w:rPr>
        <w:t>AMC is responsible for authoring, and this consent pertains to, Sections I.I, 1.4, 2.1, 2.2, 2.3, 2.4, 4, 5.1, 5.3, 6.8, 6.9, 6.10, 6.11.2, 7.1, 7.2, 7.3, 7.4, 8.1, 8.2.1, 8.2.2, 8.3, 9.2, 11, 12, 13.7, 13.8.1, 13.8.2, 13.9, 20, 21, 22.2, 22.4, 22.6, 23, 24 and 25 of the Technical Report Summary.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September 2,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Felicia Mackenzie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8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Felicia Mackenzie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Performance Officer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Authorized Person for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AMC Consultants Pty Ltd,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287020</wp:posOffset>
            </wp:positionV>
            <wp:extent cx="71380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21"/>
          <w:szCs w:val="21"/>
          <w:b w:val="1"/>
          <w:bCs w:val="1"/>
          <w:color w:val="auto"/>
        </w:rPr>
        <w:t>Exhibit 23.13</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Margin – Marine Geoscience Innovation</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21 Kalang Circuit</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Coffs Harbour NSW 2450</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Australia</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CONSENT OF THIRD-PARTY QUALIFIED PERSON</w:t>
      </w:r>
    </w:p>
    <w:p>
      <w:pPr>
        <w:spacing w:after="0" w:line="221"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Margin - Marine Geoscience Innovation (“MMGI”),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spacing w:after="0" w:line="162" w:lineRule="exact"/>
        <w:rPr>
          <w:sz w:val="20"/>
          <w:szCs w:val="20"/>
          <w:color w:val="auto"/>
        </w:rPr>
      </w:pPr>
    </w:p>
    <w:p>
      <w:pPr>
        <w:jc w:val="both"/>
        <w:ind w:left="620" w:right="20" w:hanging="306"/>
        <w:spacing w:after="0" w:line="273"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p>
      <w:pPr>
        <w:spacing w:after="0" w:line="161" w:lineRule="exact"/>
        <w:rPr>
          <w:rFonts w:ascii="Times New Roman" w:cs="Times New Roman" w:eastAsia="Times New Roman" w:hAnsi="Times New Roman"/>
          <w:sz w:val="17"/>
          <w:szCs w:val="17"/>
          <w:color w:val="auto"/>
        </w:rPr>
      </w:pPr>
    </w:p>
    <w:p>
      <w:pPr>
        <w:ind w:left="620" w:right="680" w:hanging="306"/>
        <w:spacing w:after="0" w:line="291"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S-K 1300), in the Technical Report Summary and the Registration Statement; and</w:t>
      </w:r>
    </w:p>
    <w:p>
      <w:pPr>
        <w:spacing w:after="0" w:line="147" w:lineRule="exact"/>
        <w:rPr>
          <w:rFonts w:ascii="Times New Roman" w:cs="Times New Roman" w:eastAsia="Times New Roman" w:hAnsi="Times New Roman"/>
          <w:sz w:val="17"/>
          <w:szCs w:val="17"/>
          <w:color w:val="auto"/>
        </w:rPr>
      </w:pPr>
    </w:p>
    <w:p>
      <w:pPr>
        <w:ind w:left="620" w:right="140" w:hanging="306"/>
        <w:spacing w:after="0" w:line="291"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p>
      <w:pPr>
        <w:spacing w:after="0" w:line="148" w:lineRule="exact"/>
        <w:rPr>
          <w:sz w:val="20"/>
          <w:szCs w:val="20"/>
          <w:color w:val="auto"/>
        </w:rPr>
      </w:pPr>
    </w:p>
    <w:p>
      <w:pPr>
        <w:ind w:left="20" w:right="240"/>
        <w:spacing w:after="0" w:line="291" w:lineRule="auto"/>
        <w:rPr>
          <w:sz w:val="20"/>
          <w:szCs w:val="20"/>
          <w:color w:val="auto"/>
        </w:rPr>
      </w:pPr>
      <w:r>
        <w:rPr>
          <w:rFonts w:ascii="Times New Roman" w:cs="Times New Roman" w:eastAsia="Times New Roman" w:hAnsi="Times New Roman"/>
          <w:sz w:val="17"/>
          <w:szCs w:val="17"/>
          <w:color w:val="auto"/>
        </w:rPr>
        <w:t>MMGI is responsible for authoring, and this consent pertains to, Sections 6.1, 6.2, 6.3, 6.4, 6.5, 6.6, 6.11.1, 7.6.2, 7.6.3, 7.6.4 and 7.6.5 of the Technical Report Summary.</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Dated this September 2,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Ian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8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Dr. Ian Stevenson Geoscience Consultant</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Signature of Authorized Person for</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Margin - Marine Geoscience Innovation,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287020</wp:posOffset>
            </wp:positionV>
            <wp:extent cx="7138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1"/>
          <w:szCs w:val="21"/>
          <w:b w:val="1"/>
          <w:bCs w:val="1"/>
          <w:color w:val="auto"/>
        </w:rPr>
        <w:t>Exhibit 23.14</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APYS Subsea Ltd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The Macies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Bath, United Kingdom</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BA1 4HS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THIRD-PARTY QUALIFIED PERSON</w:t>
      </w:r>
    </w:p>
    <w:p>
      <w:pPr>
        <w:spacing w:after="0" w:line="200" w:lineRule="exact"/>
        <w:rPr>
          <w:sz w:val="20"/>
          <w:szCs w:val="20"/>
          <w:color w:val="auto"/>
        </w:rPr>
      </w:pPr>
    </w:p>
    <w:p>
      <w:pPr>
        <w:jc w:val="both"/>
        <w:ind w:right="180"/>
        <w:spacing w:after="0" w:line="291" w:lineRule="auto"/>
        <w:rPr>
          <w:sz w:val="20"/>
          <w:szCs w:val="20"/>
          <w:color w:val="auto"/>
        </w:rPr>
      </w:pPr>
      <w:r>
        <w:rPr>
          <w:rFonts w:ascii="Times New Roman" w:cs="Times New Roman" w:eastAsia="Times New Roman" w:hAnsi="Times New Roman"/>
          <w:sz w:val="17"/>
          <w:szCs w:val="17"/>
          <w:color w:val="auto"/>
        </w:rPr>
        <w:t>APYS Subsea Ltd (“APYS”),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spacing w:after="0" w:line="148" w:lineRule="exact"/>
        <w:rPr>
          <w:sz w:val="20"/>
          <w:szCs w:val="20"/>
          <w:color w:val="auto"/>
        </w:rPr>
      </w:pPr>
    </w:p>
    <w:p>
      <w:pPr>
        <w:ind w:left="620" w:right="140" w:hanging="306"/>
        <w:spacing w:after="0" w:line="273"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p>
      <w:pPr>
        <w:spacing w:after="0" w:line="161" w:lineRule="exact"/>
        <w:rPr>
          <w:rFonts w:ascii="Times New Roman" w:cs="Times New Roman" w:eastAsia="Times New Roman" w:hAnsi="Times New Roman"/>
          <w:sz w:val="17"/>
          <w:szCs w:val="17"/>
          <w:color w:val="auto"/>
        </w:rPr>
      </w:pPr>
    </w:p>
    <w:p>
      <w:pPr>
        <w:ind w:left="620" w:right="680" w:hanging="306"/>
        <w:spacing w:after="0" w:line="291"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S-K 1300), in the Technical Report Summary and the Registration Statement; and</w:t>
      </w:r>
    </w:p>
    <w:p>
      <w:pPr>
        <w:spacing w:after="0" w:line="147" w:lineRule="exact"/>
        <w:rPr>
          <w:rFonts w:ascii="Times New Roman" w:cs="Times New Roman" w:eastAsia="Times New Roman" w:hAnsi="Times New Roman"/>
          <w:sz w:val="17"/>
          <w:szCs w:val="17"/>
          <w:color w:val="auto"/>
        </w:rPr>
      </w:pPr>
    </w:p>
    <w:p>
      <w:pPr>
        <w:ind w:left="620" w:right="380" w:hanging="306"/>
        <w:spacing w:after="0" w:line="273"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APYS is responsible for authoring, and this consent pertains to, Sections 7.6.6 and 7.7.6 of the Technical Report Summary. Dated this September 2,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John Buckell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8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Buckell Consultant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Authorized Person for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APYS Subsea Ltd,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287020</wp:posOffset>
            </wp:positionV>
            <wp:extent cx="71380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21"/>
          <w:szCs w:val="21"/>
          <w:b w:val="1"/>
          <w:bCs w:val="1"/>
          <w:color w:val="auto"/>
        </w:rPr>
        <w:t>Exhibit 23.15</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Canadian Engineering Associates Ltd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2544 Weston Road, Unit 208</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Toronto, ON M9N 2A6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THIRD-PARTY QUALIFIED PERSON</w:t>
      </w:r>
    </w:p>
    <w:p>
      <w:pPr>
        <w:spacing w:after="0" w:line="2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Canadian Engineering Associates Ltd (“CEA”),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spacing w:after="0" w:line="162" w:lineRule="exact"/>
        <w:rPr>
          <w:sz w:val="20"/>
          <w:szCs w:val="20"/>
          <w:color w:val="auto"/>
        </w:rPr>
      </w:pPr>
    </w:p>
    <w:p>
      <w:pPr>
        <w:jc w:val="both"/>
        <w:ind w:left="620" w:right="20" w:hanging="306"/>
        <w:spacing w:after="0" w:line="273"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p>
      <w:pPr>
        <w:spacing w:after="0" w:line="161" w:lineRule="exact"/>
        <w:rPr>
          <w:rFonts w:ascii="Times New Roman" w:cs="Times New Roman" w:eastAsia="Times New Roman" w:hAnsi="Times New Roman"/>
          <w:sz w:val="17"/>
          <w:szCs w:val="17"/>
          <w:color w:val="auto"/>
        </w:rPr>
      </w:pPr>
    </w:p>
    <w:p>
      <w:pPr>
        <w:ind w:left="620" w:right="680" w:hanging="306"/>
        <w:spacing w:after="0" w:line="291"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S-K 1300), in the Technical Report Summary and the Registration Statement; and</w:t>
      </w:r>
    </w:p>
    <w:p>
      <w:pPr>
        <w:spacing w:after="0" w:line="147" w:lineRule="exact"/>
        <w:rPr>
          <w:rFonts w:ascii="Times New Roman" w:cs="Times New Roman" w:eastAsia="Times New Roman" w:hAnsi="Times New Roman"/>
          <w:sz w:val="17"/>
          <w:szCs w:val="17"/>
          <w:color w:val="auto"/>
        </w:rPr>
      </w:pPr>
    </w:p>
    <w:p>
      <w:pPr>
        <w:ind w:left="620" w:right="140" w:hanging="306"/>
        <w:spacing w:after="0" w:line="291"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CEA is responsible for authoring, and this consent pertains to, Sections 1.6, 10, 14, 15, 22.3, 22.7, and 22.8 of the Technical Report Summary.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September 2,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Cameron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8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Cameron Harris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Smelting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Authorized Person for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Canadian Engineering Associates Ltd,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71380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1"/>
          <w:szCs w:val="21"/>
          <w:b w:val="1"/>
          <w:bCs w:val="1"/>
          <w:color w:val="auto"/>
        </w:rPr>
        <w:t>Exhibit 23.16</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Lanasera Pty Ltd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29 Ellen Street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Oxley QLD 4075</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THIRD-PARTY QUALIFIED PERSON</w:t>
      </w:r>
    </w:p>
    <w:p>
      <w:pPr>
        <w:spacing w:after="0" w:line="200"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7"/>
          <w:szCs w:val="17"/>
          <w:color w:val="auto"/>
        </w:rPr>
        <w:t>Lanasera Pty Ltd (“Lanasera”),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spacing w:after="0" w:line="148" w:lineRule="exact"/>
        <w:rPr>
          <w:sz w:val="20"/>
          <w:szCs w:val="20"/>
          <w:color w:val="auto"/>
        </w:rPr>
      </w:pPr>
    </w:p>
    <w:p>
      <w:pPr>
        <w:jc w:val="both"/>
        <w:ind w:left="620" w:right="20" w:hanging="306"/>
        <w:spacing w:after="0" w:line="273"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p>
      <w:pPr>
        <w:spacing w:after="0" w:line="161" w:lineRule="exact"/>
        <w:rPr>
          <w:rFonts w:ascii="Times New Roman" w:cs="Times New Roman" w:eastAsia="Times New Roman" w:hAnsi="Times New Roman"/>
          <w:sz w:val="17"/>
          <w:szCs w:val="17"/>
          <w:color w:val="auto"/>
        </w:rPr>
      </w:pPr>
    </w:p>
    <w:p>
      <w:pPr>
        <w:ind w:left="620" w:right="680" w:hanging="306"/>
        <w:spacing w:after="0" w:line="291"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S-K 1300), in the Technical Report Summary and the Registration Statement; and</w:t>
      </w:r>
    </w:p>
    <w:p>
      <w:pPr>
        <w:spacing w:after="0" w:line="147" w:lineRule="exact"/>
        <w:rPr>
          <w:rFonts w:ascii="Times New Roman" w:cs="Times New Roman" w:eastAsia="Times New Roman" w:hAnsi="Times New Roman"/>
          <w:sz w:val="17"/>
          <w:szCs w:val="17"/>
          <w:color w:val="auto"/>
        </w:rPr>
      </w:pPr>
    </w:p>
    <w:p>
      <w:pPr>
        <w:ind w:left="620" w:right="140" w:hanging="306"/>
        <w:spacing w:after="0" w:line="291"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Lanasera is responsible for authoring, and this consent pertains to, Sections 1.10, 19 and 22.12 of the Technical Report Summary.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September 2,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Brett Roughan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8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Brett Roughan Principal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Authorized Person for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Lanasera Pty Ltd,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287020</wp:posOffset>
            </wp:positionV>
            <wp:extent cx="71380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1"/>
          <w:szCs w:val="21"/>
          <w:b w:val="1"/>
          <w:bCs w:val="1"/>
          <w:color w:val="auto"/>
        </w:rPr>
        <w:t>Exhibit 23.17</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Anthony O’Sullivan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TMC the metals company Inc.</w:t>
      </w:r>
    </w:p>
    <w:p>
      <w:pPr>
        <w:spacing w:after="0" w:line="193" w:lineRule="auto"/>
        <w:rPr>
          <w:sz w:val="20"/>
          <w:szCs w:val="20"/>
          <w:color w:val="auto"/>
        </w:rPr>
      </w:pPr>
      <w:r>
        <w:rPr>
          <w:rFonts w:ascii="Times New Roman" w:cs="Times New Roman" w:eastAsia="Times New Roman" w:hAnsi="Times New Roman"/>
          <w:sz w:val="17"/>
          <w:szCs w:val="17"/>
          <w:color w:val="auto"/>
        </w:rPr>
        <w:t>1111 West Hastings Street,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rPr>
          <w:sz w:val="20"/>
          <w:szCs w:val="20"/>
          <w:color w:val="auto"/>
        </w:rPr>
      </w:pPr>
      <w:r>
        <w:rPr>
          <w:rFonts w:ascii="Times New Roman" w:cs="Times New Roman" w:eastAsia="Times New Roman" w:hAnsi="Times New Roman"/>
          <w:sz w:val="17"/>
          <w:szCs w:val="17"/>
          <w:color w:val="auto"/>
        </w:rPr>
        <w:t>Vancouver, BC V6E 2J3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QUALIFIED PERSON</w:t>
      </w:r>
    </w:p>
    <w:p>
      <w:pPr>
        <w:spacing w:after="0" w:line="200"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Anthony O’Sullivan (the “Qualified Person”),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spacing w:after="0" w:line="162" w:lineRule="exact"/>
        <w:rPr>
          <w:sz w:val="20"/>
          <w:szCs w:val="20"/>
          <w:color w:val="auto"/>
        </w:rPr>
      </w:pPr>
    </w:p>
    <w:p>
      <w:pPr>
        <w:jc w:val="both"/>
        <w:ind w:left="620" w:right="20" w:hanging="306"/>
        <w:spacing w:after="0" w:line="273"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p>
      <w:pPr>
        <w:spacing w:after="0" w:line="161" w:lineRule="exact"/>
        <w:rPr>
          <w:rFonts w:ascii="Times New Roman" w:cs="Times New Roman" w:eastAsia="Times New Roman" w:hAnsi="Times New Roman"/>
          <w:sz w:val="17"/>
          <w:szCs w:val="17"/>
          <w:color w:val="auto"/>
        </w:rPr>
      </w:pPr>
    </w:p>
    <w:p>
      <w:pPr>
        <w:ind w:left="620" w:right="680" w:hanging="306"/>
        <w:spacing w:after="0" w:line="291"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S-K 1300), in the Technical Report Summary and the Registration Statement; and</w:t>
      </w:r>
    </w:p>
    <w:p>
      <w:pPr>
        <w:spacing w:after="0" w:line="147" w:lineRule="exact"/>
        <w:rPr>
          <w:rFonts w:ascii="Times New Roman" w:cs="Times New Roman" w:eastAsia="Times New Roman" w:hAnsi="Times New Roman"/>
          <w:sz w:val="17"/>
          <w:szCs w:val="17"/>
          <w:color w:val="auto"/>
        </w:rPr>
      </w:pPr>
    </w:p>
    <w:p>
      <w:pPr>
        <w:ind w:left="620" w:right="140" w:hanging="306"/>
        <w:spacing w:after="0" w:line="291"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p>
      <w:pPr>
        <w:spacing w:after="0" w:line="148"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7"/>
          <w:szCs w:val="17"/>
          <w:color w:val="auto"/>
        </w:rPr>
        <w:t>The Qualified Person is responsible for authoring, and this consent pertains to, Sections 1.2, 1.3, 1.7, 3.1, 3.1.1, 3.1.1.1, 3.1.2, 3.1.2.1, 3.2, 3.2.1, 3.2.2, 5.2, 5.4, 6.7, 6.11.3, 7.5.1, 7.5.2, 7.6.1, 7.7.1, 7.7.2, 7.7.3, 7.7.4, 7.7.5, 8.2, 9.1, 16, 22.1 and 22.9 of the Technical Report Summary.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September 2,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Anthony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8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Anthony O’Sullivan, a Qualified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295275</wp:posOffset>
            </wp:positionV>
            <wp:extent cx="71380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1"/>
          <w:szCs w:val="21"/>
          <w:b w:val="1"/>
          <w:bCs w:val="1"/>
          <w:color w:val="auto"/>
        </w:rPr>
        <w:t>Exhibit 23.18</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Rutger Bosland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TMC the metals company Inc.</w:t>
      </w:r>
    </w:p>
    <w:p>
      <w:pPr>
        <w:spacing w:after="0" w:line="193" w:lineRule="auto"/>
        <w:rPr>
          <w:sz w:val="20"/>
          <w:szCs w:val="20"/>
          <w:color w:val="auto"/>
        </w:rPr>
      </w:pPr>
      <w:r>
        <w:rPr>
          <w:rFonts w:ascii="Times New Roman" w:cs="Times New Roman" w:eastAsia="Times New Roman" w:hAnsi="Times New Roman"/>
          <w:sz w:val="17"/>
          <w:szCs w:val="17"/>
          <w:color w:val="auto"/>
        </w:rPr>
        <w:t>1111 West Hastings Street,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rPr>
          <w:sz w:val="20"/>
          <w:szCs w:val="20"/>
          <w:color w:val="auto"/>
        </w:rPr>
      </w:pPr>
      <w:r>
        <w:rPr>
          <w:rFonts w:ascii="Times New Roman" w:cs="Times New Roman" w:eastAsia="Times New Roman" w:hAnsi="Times New Roman"/>
          <w:sz w:val="17"/>
          <w:szCs w:val="17"/>
          <w:color w:val="auto"/>
        </w:rPr>
        <w:t>Vancouver, BC V6E 2J3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QUALIFIED PERSON</w:t>
      </w:r>
    </w:p>
    <w:p>
      <w:pPr>
        <w:spacing w:after="0" w:line="200"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Rutger Bosland (the “Qualified Person”),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spacing w:after="0" w:line="162" w:lineRule="exact"/>
        <w:rPr>
          <w:sz w:val="20"/>
          <w:szCs w:val="20"/>
          <w:color w:val="auto"/>
        </w:rPr>
      </w:pPr>
    </w:p>
    <w:p>
      <w:pPr>
        <w:jc w:val="both"/>
        <w:ind w:left="620" w:right="20" w:hanging="306"/>
        <w:spacing w:after="0" w:line="273"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p>
      <w:pPr>
        <w:spacing w:after="0" w:line="161" w:lineRule="exact"/>
        <w:rPr>
          <w:rFonts w:ascii="Times New Roman" w:cs="Times New Roman" w:eastAsia="Times New Roman" w:hAnsi="Times New Roman"/>
          <w:sz w:val="17"/>
          <w:szCs w:val="17"/>
          <w:color w:val="auto"/>
        </w:rPr>
      </w:pPr>
    </w:p>
    <w:p>
      <w:pPr>
        <w:ind w:left="620" w:right="680" w:hanging="306"/>
        <w:spacing w:after="0" w:line="291"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S-K 1300), in the Technical Report Summary and the Registration Statement; and</w:t>
      </w:r>
    </w:p>
    <w:p>
      <w:pPr>
        <w:spacing w:after="0" w:line="147" w:lineRule="exact"/>
        <w:rPr>
          <w:rFonts w:ascii="Times New Roman" w:cs="Times New Roman" w:eastAsia="Times New Roman" w:hAnsi="Times New Roman"/>
          <w:sz w:val="17"/>
          <w:szCs w:val="17"/>
          <w:color w:val="auto"/>
        </w:rPr>
      </w:pPr>
    </w:p>
    <w:p>
      <w:pPr>
        <w:ind w:left="620" w:right="140" w:hanging="306"/>
        <w:spacing w:after="0" w:line="291"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p>
      <w:pPr>
        <w:spacing w:after="0" w:line="148"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7"/>
          <w:szCs w:val="17"/>
          <w:color w:val="auto"/>
        </w:rPr>
        <w:t>The Qualified Person is responsible for authoring, and this consent pertains to, Sections 1.5, 13.1, 13.2, 13.3, 13.4, 13.5, 13.6, 13.8.3, and 22.5 of the Technical Report Summary.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September 2,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Rutger Bosland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8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Rutger Bosland, a Qualified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295275</wp:posOffset>
            </wp:positionV>
            <wp:extent cx="71380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1"/>
          <w:szCs w:val="21"/>
          <w:b w:val="1"/>
          <w:bCs w:val="1"/>
          <w:color w:val="auto"/>
        </w:rPr>
        <w:t>Exhibit 23.19</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 Michael Clarke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TMC the metals company Inc.</w:t>
      </w:r>
    </w:p>
    <w:p>
      <w:pPr>
        <w:spacing w:after="0" w:line="193" w:lineRule="auto"/>
        <w:rPr>
          <w:sz w:val="20"/>
          <w:szCs w:val="20"/>
          <w:color w:val="auto"/>
        </w:rPr>
      </w:pPr>
      <w:r>
        <w:rPr>
          <w:rFonts w:ascii="Times New Roman" w:cs="Times New Roman" w:eastAsia="Times New Roman" w:hAnsi="Times New Roman"/>
          <w:sz w:val="17"/>
          <w:szCs w:val="17"/>
          <w:color w:val="auto"/>
        </w:rPr>
        <w:t>1111 West Hastings Street,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rPr>
          <w:sz w:val="20"/>
          <w:szCs w:val="20"/>
          <w:color w:val="auto"/>
        </w:rPr>
      </w:pPr>
      <w:r>
        <w:rPr>
          <w:rFonts w:ascii="Times New Roman" w:cs="Times New Roman" w:eastAsia="Times New Roman" w:hAnsi="Times New Roman"/>
          <w:sz w:val="17"/>
          <w:szCs w:val="17"/>
          <w:color w:val="auto"/>
        </w:rPr>
        <w:t>Vancouver, BC V6E 2J3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QUALIFIED PERSON</w:t>
      </w:r>
    </w:p>
    <w:p>
      <w:pPr>
        <w:spacing w:after="0" w:line="221"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Dr. Michael Clarke (the “Qualified Person”),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spacing w:after="0" w:line="162" w:lineRule="exact"/>
        <w:rPr>
          <w:sz w:val="20"/>
          <w:szCs w:val="20"/>
          <w:color w:val="auto"/>
        </w:rPr>
      </w:pPr>
    </w:p>
    <w:p>
      <w:pPr>
        <w:ind w:left="780" w:right="440" w:hanging="310"/>
        <w:spacing w:after="0" w:line="273" w:lineRule="auto"/>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p>
      <w:pPr>
        <w:spacing w:after="0" w:line="161" w:lineRule="exact"/>
        <w:rPr>
          <w:rFonts w:ascii="Times New Roman" w:cs="Times New Roman" w:eastAsia="Times New Roman" w:hAnsi="Times New Roman"/>
          <w:sz w:val="17"/>
          <w:szCs w:val="17"/>
          <w:color w:val="auto"/>
        </w:rPr>
      </w:pPr>
    </w:p>
    <w:p>
      <w:pPr>
        <w:ind w:left="780" w:right="520" w:hanging="310"/>
        <w:spacing w:after="0" w:line="291" w:lineRule="auto"/>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S-K 1300), in the Technical Report Summary and the Registration Statement; and</w:t>
      </w:r>
    </w:p>
    <w:p>
      <w:pPr>
        <w:spacing w:after="0" w:line="147" w:lineRule="exact"/>
        <w:rPr>
          <w:rFonts w:ascii="Times New Roman" w:cs="Times New Roman" w:eastAsia="Times New Roman" w:hAnsi="Times New Roman"/>
          <w:sz w:val="17"/>
          <w:szCs w:val="17"/>
          <w:color w:val="auto"/>
        </w:rPr>
      </w:pPr>
    </w:p>
    <w:p>
      <w:pPr>
        <w:ind w:left="780" w:right="440" w:hanging="310"/>
        <w:spacing w:after="0" w:line="273" w:lineRule="auto"/>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Qualified Person is responsible for authoring, and this consent pertains to, Sections 1.8, 17, and 22.10 of the Technical Report Summary.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September 2,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Michael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8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 Michael Clarke, a Qualified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295275</wp:posOffset>
            </wp:positionV>
            <wp:extent cx="71380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1"/>
          <w:szCs w:val="21"/>
          <w:b w:val="1"/>
          <w:bCs w:val="1"/>
          <w:color w:val="auto"/>
        </w:rPr>
        <w:t>Exhibit 23.20</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Adam Price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TMC the metals company Inc.</w:t>
      </w:r>
    </w:p>
    <w:p>
      <w:pPr>
        <w:spacing w:after="0" w:line="193" w:lineRule="auto"/>
        <w:rPr>
          <w:sz w:val="20"/>
          <w:szCs w:val="20"/>
          <w:color w:val="auto"/>
        </w:rPr>
      </w:pPr>
      <w:r>
        <w:rPr>
          <w:rFonts w:ascii="Times New Roman" w:cs="Times New Roman" w:eastAsia="Times New Roman" w:hAnsi="Times New Roman"/>
          <w:sz w:val="17"/>
          <w:szCs w:val="17"/>
          <w:color w:val="auto"/>
        </w:rPr>
        <w:t>1111 West Hastings Street,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Vancouver, BC V6E 2J3</w:t>
      </w: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QUALIFIED PERSON</w:t>
      </w:r>
    </w:p>
    <w:p>
      <w:pPr>
        <w:spacing w:after="0" w:line="221" w:lineRule="exact"/>
        <w:rPr>
          <w:sz w:val="20"/>
          <w:szCs w:val="20"/>
          <w:color w:val="auto"/>
        </w:rPr>
      </w:pPr>
    </w:p>
    <w:p>
      <w:pPr>
        <w:jc w:val="both"/>
        <w:ind w:right="340"/>
        <w:spacing w:after="0" w:line="273" w:lineRule="auto"/>
        <w:rPr>
          <w:sz w:val="20"/>
          <w:szCs w:val="20"/>
          <w:color w:val="auto"/>
        </w:rPr>
      </w:pPr>
      <w:r>
        <w:rPr>
          <w:rFonts w:ascii="Times New Roman" w:cs="Times New Roman" w:eastAsia="Times New Roman" w:hAnsi="Times New Roman"/>
          <w:sz w:val="17"/>
          <w:szCs w:val="17"/>
          <w:color w:val="auto"/>
        </w:rPr>
        <w:t>Adam Price (the "Qualified Person"),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spacing w:after="0" w:line="162" w:lineRule="exact"/>
        <w:rPr>
          <w:sz w:val="20"/>
          <w:szCs w:val="20"/>
          <w:color w:val="auto"/>
        </w:rPr>
      </w:pPr>
    </w:p>
    <w:p>
      <w:pPr>
        <w:jc w:val="both"/>
        <w:ind w:left="620" w:right="20" w:hanging="306"/>
        <w:spacing w:after="0" w:line="273" w:lineRule="auto"/>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p>
      <w:pPr>
        <w:spacing w:after="0" w:line="161" w:lineRule="exact"/>
        <w:rPr>
          <w:rFonts w:ascii="Times New Roman" w:cs="Times New Roman" w:eastAsia="Times New Roman" w:hAnsi="Times New Roman"/>
          <w:sz w:val="17"/>
          <w:szCs w:val="17"/>
          <w:color w:val="auto"/>
        </w:rPr>
      </w:pPr>
    </w:p>
    <w:p>
      <w:pPr>
        <w:ind w:left="620" w:right="680" w:hanging="306"/>
        <w:spacing w:after="0" w:line="291" w:lineRule="auto"/>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S-K 1300), in the Technical Report Summary and the Registration Statement; and</w:t>
      </w:r>
    </w:p>
    <w:p>
      <w:pPr>
        <w:spacing w:after="0" w:line="147" w:lineRule="exact"/>
        <w:rPr>
          <w:rFonts w:ascii="Times New Roman" w:cs="Times New Roman" w:eastAsia="Times New Roman" w:hAnsi="Times New Roman"/>
          <w:sz w:val="17"/>
          <w:szCs w:val="17"/>
          <w:color w:val="auto"/>
        </w:rPr>
      </w:pPr>
    </w:p>
    <w:p>
      <w:pPr>
        <w:ind w:left="620" w:right="140" w:hanging="306"/>
        <w:spacing w:after="0" w:line="291" w:lineRule="auto"/>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Qualified Person is responsible for authoring, and this consent pertains to, Sections 1.9, 18, and 22.11 of the Technical Report Summary.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September 2,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Adam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3568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Adam Price, a Qualified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295275</wp:posOffset>
            </wp:positionV>
            <wp:extent cx="71380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27" w:name="page28"/>
    <w:bookmarkEnd w:id="27"/>
    <w:p>
      <w:pPr>
        <w:ind w:left="242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472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ind w:left="3100"/>
        <w:spacing w:after="0"/>
        <w:rPr>
          <w:sz w:val="20"/>
          <w:szCs w:val="20"/>
          <w:color w:val="auto"/>
        </w:rPr>
      </w:pPr>
      <w:r>
        <w:rPr>
          <w:rFonts w:ascii="Arial" w:cs="Arial" w:eastAsia="Arial" w:hAnsi="Arial"/>
          <w:sz w:val="35"/>
          <w:szCs w:val="35"/>
          <w:b w:val="1"/>
          <w:bCs w:val="1"/>
          <w:color w:val="auto"/>
        </w:rPr>
        <w:t>TMC the metals Co Inc.</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00" w:type="dxa"/>
            <w:vAlign w:val="bottom"/>
            <w:vMerge w:val="restart"/>
            <w:shd w:val="clear" w:color="auto" w:fill="9ADAF6"/>
          </w:tcPr>
          <w:p>
            <w:pPr>
              <w:ind w:left="14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00" w:type="dxa"/>
            <w:vAlign w:val="bottom"/>
            <w:vMerge w:val="restart"/>
            <w:shd w:val="clear" w:color="auto" w:fill="9ADAF6"/>
          </w:tcPr>
          <w:p>
            <w:pPr>
              <w:jc w:val="right"/>
              <w:ind w:right="56"/>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3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20"/>
                <w:szCs w:val="20"/>
                <w:color w:val="auto"/>
              </w:rPr>
            </w:pPr>
          </w:p>
        </w:tc>
        <w:tc>
          <w:tcPr>
            <w:tcW w:w="10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Calculation</w:t>
            </w:r>
          </w:p>
        </w:tc>
        <w:tc>
          <w:tcPr>
            <w:tcW w:w="20" w:type="dxa"/>
            <w:vAlign w:val="bottom"/>
          </w:tcPr>
          <w:p>
            <w:pPr>
              <w:spacing w:after="0"/>
              <w:rPr>
                <w:sz w:val="18"/>
                <w:szCs w:val="18"/>
                <w:color w:val="auto"/>
              </w:rPr>
            </w:pPr>
          </w:p>
        </w:tc>
        <w:tc>
          <w:tcPr>
            <w:tcW w:w="11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7"/>
              </w:rPr>
              <w:t>Offering</w:t>
            </w:r>
          </w:p>
        </w:tc>
        <w:tc>
          <w:tcPr>
            <w:tcW w:w="20" w:type="dxa"/>
            <w:vAlign w:val="bottom"/>
          </w:tcPr>
          <w:p>
            <w:pPr>
              <w:spacing w:after="0"/>
              <w:rPr>
                <w:sz w:val="18"/>
                <w:szCs w:val="18"/>
                <w:color w:val="auto"/>
              </w:rPr>
            </w:pPr>
          </w:p>
        </w:tc>
        <w:tc>
          <w:tcPr>
            <w:tcW w:w="15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18"/>
                <w:szCs w:val="18"/>
                <w:color w:val="auto"/>
              </w:rPr>
            </w:pPr>
          </w:p>
        </w:tc>
        <w:tc>
          <w:tcPr>
            <w:tcW w:w="10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Fee Rate</w:t>
            </w:r>
          </w:p>
        </w:tc>
        <w:tc>
          <w:tcPr>
            <w:tcW w:w="40" w:type="dxa"/>
            <w:vAlign w:val="bottom"/>
          </w:tcPr>
          <w:p>
            <w:pPr>
              <w:spacing w:after="0"/>
              <w:rPr>
                <w:sz w:val="18"/>
                <w:szCs w:val="18"/>
                <w:color w:val="auto"/>
              </w:rPr>
            </w:pPr>
          </w:p>
        </w:tc>
        <w:tc>
          <w:tcPr>
            <w:tcW w:w="14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1100" w:type="dxa"/>
            <w:vAlign w:val="bottom"/>
            <w:shd w:val="clear" w:color="auto" w:fill="9ADAF6"/>
          </w:tcPr>
          <w:p>
            <w:pPr>
              <w:ind w:left="20"/>
              <w:spacing w:after="0" w:line="233" w:lineRule="exact"/>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20"/>
                <w:szCs w:val="2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20" w:type="dxa"/>
            <w:vAlign w:val="bottom"/>
          </w:tcPr>
          <w:p>
            <w:pPr>
              <w:spacing w:after="0"/>
              <w:rPr>
                <w:sz w:val="20"/>
                <w:szCs w:val="20"/>
                <w:color w:val="auto"/>
              </w:rPr>
            </w:pPr>
          </w:p>
        </w:tc>
        <w:tc>
          <w:tcPr>
            <w:tcW w:w="13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Price Per</w:t>
            </w:r>
          </w:p>
        </w:tc>
        <w:tc>
          <w:tcPr>
            <w:tcW w:w="20" w:type="dxa"/>
            <w:vAlign w:val="bottom"/>
          </w:tcPr>
          <w:p>
            <w:pPr>
              <w:spacing w:after="0"/>
              <w:rPr>
                <w:sz w:val="20"/>
                <w:szCs w:val="20"/>
                <w:color w:val="auto"/>
              </w:rPr>
            </w:pPr>
          </w:p>
        </w:tc>
        <w:tc>
          <w:tcPr>
            <w:tcW w:w="15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0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6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shd w:val="clear" w:color="auto" w:fill="9ADAF6"/>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3"/>
                <w:szCs w:val="23"/>
                <w:color w:val="auto"/>
              </w:rPr>
            </w:pPr>
          </w:p>
        </w:tc>
        <w:tc>
          <w:tcPr>
            <w:tcW w:w="15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shd w:val="clear" w:color="auto" w:fill="9ADAF6"/>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shares</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without par</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reserved</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60" w:type="dxa"/>
            <w:vAlign w:val="bottom"/>
            <w:shd w:val="clear" w:color="auto" w:fill="E7E7E2"/>
          </w:tcPr>
          <w:p>
            <w:pPr>
              <w:jc w:val="right"/>
              <w:spacing w:after="0" w:line="208" w:lineRule="exact"/>
              <w:rPr>
                <w:sz w:val="20"/>
                <w:szCs w:val="20"/>
                <w:color w:val="auto"/>
              </w:rPr>
            </w:pPr>
            <w:r>
              <w:rPr>
                <w:rFonts w:ascii="Arial" w:cs="Arial" w:eastAsia="Arial" w:hAnsi="Arial"/>
                <w:sz w:val="21"/>
                <w:szCs w:val="21"/>
                <w:color w:val="auto"/>
                <w:w w:val="85"/>
              </w:rPr>
              <w:t>1</w:t>
            </w:r>
          </w:p>
        </w:tc>
        <w:tc>
          <w:tcPr>
            <w:tcW w:w="20" w:type="dxa"/>
            <w:vAlign w:val="bottom"/>
          </w:tcPr>
          <w:p>
            <w:pPr>
              <w:spacing w:after="0"/>
              <w:rPr>
                <w:sz w:val="18"/>
                <w:szCs w:val="18"/>
                <w:color w:val="auto"/>
              </w:rPr>
            </w:pPr>
          </w:p>
        </w:tc>
        <w:tc>
          <w:tcPr>
            <w:tcW w:w="960" w:type="dxa"/>
            <w:vAlign w:val="bottom"/>
            <w:shd w:val="clear" w:color="auto" w:fill="E7E7E2"/>
          </w:tcPr>
          <w:p>
            <w:pPr>
              <w:ind w:left="20"/>
              <w:spacing w:after="0" w:line="208"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18"/>
                <w:szCs w:val="18"/>
                <w:color w:val="auto"/>
              </w:rPr>
            </w:pPr>
          </w:p>
        </w:tc>
        <w:tc>
          <w:tcPr>
            <w:tcW w:w="1100" w:type="dxa"/>
            <w:vAlign w:val="bottom"/>
            <w:shd w:val="clear" w:color="auto" w:fill="E7E7E2"/>
          </w:tcPr>
          <w:p>
            <w:pPr>
              <w:spacing w:after="0" w:line="208" w:lineRule="exact"/>
              <w:rPr>
                <w:sz w:val="20"/>
                <w:szCs w:val="20"/>
                <w:color w:val="auto"/>
              </w:rPr>
            </w:pPr>
            <w:r>
              <w:rPr>
                <w:rFonts w:ascii="Arial" w:cs="Arial" w:eastAsia="Arial" w:hAnsi="Arial"/>
                <w:sz w:val="21"/>
                <w:szCs w:val="21"/>
                <w:color w:val="auto"/>
              </w:rPr>
              <w:t>for</w:t>
            </w:r>
          </w:p>
        </w:tc>
        <w:tc>
          <w:tcPr>
            <w:tcW w:w="20" w:type="dxa"/>
            <w:vAlign w:val="bottom"/>
          </w:tcPr>
          <w:p>
            <w:pPr>
              <w:spacing w:after="0"/>
              <w:rPr>
                <w:sz w:val="18"/>
                <w:szCs w:val="18"/>
                <w:color w:val="auto"/>
              </w:rPr>
            </w:pPr>
          </w:p>
        </w:tc>
        <w:tc>
          <w:tcPr>
            <w:tcW w:w="1160" w:type="dxa"/>
            <w:vAlign w:val="bottom"/>
            <w:shd w:val="clear" w:color="auto" w:fill="E7E7E2"/>
          </w:tcPr>
          <w:p>
            <w:pPr>
              <w:jc w:val="center"/>
              <w:spacing w:after="0" w:line="208" w:lineRule="exact"/>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8"/>
                <w:szCs w:val="18"/>
                <w:color w:val="auto"/>
              </w:rPr>
            </w:pPr>
          </w:p>
        </w:tc>
        <w:tc>
          <w:tcPr>
            <w:tcW w:w="1100" w:type="dxa"/>
            <w:vAlign w:val="bottom"/>
            <w:shd w:val="clear" w:color="auto" w:fill="E7E7E2"/>
          </w:tcPr>
          <w:p>
            <w:pPr>
              <w:jc w:val="right"/>
              <w:spacing w:after="0" w:line="208" w:lineRule="exact"/>
              <w:rPr>
                <w:sz w:val="20"/>
                <w:szCs w:val="20"/>
                <w:color w:val="auto"/>
              </w:rPr>
            </w:pPr>
            <w:r>
              <w:rPr>
                <w:rFonts w:ascii="Arial" w:cs="Arial" w:eastAsia="Arial" w:hAnsi="Arial"/>
                <w:sz w:val="21"/>
                <w:szCs w:val="21"/>
                <w:color w:val="auto"/>
              </w:rPr>
              <w:t>33,500,000</w:t>
            </w:r>
          </w:p>
        </w:tc>
        <w:tc>
          <w:tcPr>
            <w:tcW w:w="20" w:type="dxa"/>
            <w:vAlign w:val="bottom"/>
          </w:tcPr>
          <w:p>
            <w:pPr>
              <w:spacing w:after="0"/>
              <w:rPr>
                <w:sz w:val="18"/>
                <w:szCs w:val="18"/>
                <w:color w:val="auto"/>
              </w:rPr>
            </w:pPr>
          </w:p>
        </w:tc>
        <w:tc>
          <w:tcPr>
            <w:tcW w:w="1340" w:type="dxa"/>
            <w:vAlign w:val="bottom"/>
            <w:shd w:val="clear" w:color="auto" w:fill="E7E7E2"/>
          </w:tcPr>
          <w:p>
            <w:pPr>
              <w:jc w:val="right"/>
              <w:spacing w:after="0" w:line="208" w:lineRule="exact"/>
              <w:rPr>
                <w:sz w:val="20"/>
                <w:szCs w:val="20"/>
                <w:color w:val="auto"/>
              </w:rPr>
            </w:pPr>
            <w:r>
              <w:rPr>
                <w:rFonts w:ascii="Arial" w:cs="Arial" w:eastAsia="Arial" w:hAnsi="Arial"/>
                <w:sz w:val="21"/>
                <w:szCs w:val="21"/>
                <w:color w:val="auto"/>
              </w:rPr>
              <w:t>$ 5.09</w:t>
            </w:r>
          </w:p>
        </w:tc>
        <w:tc>
          <w:tcPr>
            <w:tcW w:w="20" w:type="dxa"/>
            <w:vAlign w:val="bottom"/>
          </w:tcPr>
          <w:p>
            <w:pPr>
              <w:spacing w:after="0"/>
              <w:rPr>
                <w:sz w:val="18"/>
                <w:szCs w:val="18"/>
                <w:color w:val="auto"/>
              </w:rPr>
            </w:pPr>
          </w:p>
        </w:tc>
        <w:tc>
          <w:tcPr>
            <w:tcW w:w="15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jc w:val="center"/>
              <w:spacing w:after="0" w:line="208" w:lineRule="exact"/>
              <w:rPr>
                <w:sz w:val="20"/>
                <w:szCs w:val="20"/>
                <w:color w:val="auto"/>
              </w:rPr>
            </w:pPr>
            <w:r>
              <w:rPr>
                <w:rFonts w:ascii="Arial" w:cs="Arial" w:eastAsia="Arial" w:hAnsi="Arial"/>
                <w:sz w:val="21"/>
                <w:szCs w:val="21"/>
                <w:color w:val="auto"/>
                <w:w w:val="98"/>
              </w:rPr>
              <w:t>0.0001531</w:t>
            </w:r>
          </w:p>
        </w:tc>
        <w:tc>
          <w:tcPr>
            <w:tcW w:w="40" w:type="dxa"/>
            <w:vAlign w:val="bottom"/>
          </w:tcPr>
          <w:p>
            <w:pPr>
              <w:spacing w:after="0"/>
              <w:rPr>
                <w:sz w:val="18"/>
                <w:szCs w:val="18"/>
                <w:color w:val="auto"/>
              </w:rPr>
            </w:pPr>
          </w:p>
        </w:tc>
        <w:tc>
          <w:tcPr>
            <w:tcW w:w="1460" w:type="dxa"/>
            <w:vAlign w:val="bottom"/>
            <w:shd w:val="clear" w:color="auto" w:fill="E7E7E2"/>
          </w:tcPr>
          <w:p>
            <w:pPr>
              <w:jc w:val="right"/>
              <w:spacing w:after="0" w:line="208" w:lineRule="exact"/>
              <w:rPr>
                <w:sz w:val="20"/>
                <w:szCs w:val="20"/>
                <w:color w:val="auto"/>
              </w:rPr>
            </w:pPr>
            <w:r>
              <w:rPr>
                <w:rFonts w:ascii="Arial" w:cs="Arial" w:eastAsia="Arial" w:hAnsi="Arial"/>
                <w:sz w:val="21"/>
                <w:szCs w:val="21"/>
                <w:color w:val="auto"/>
              </w:rPr>
              <w:t>$ 26,105.85</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issuance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170,515,000.00</w:t>
            </w: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6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vMerge w:val="continue"/>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shd w:val="clear" w:color="auto" w:fill="E7E7E2"/>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pursuant to</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the 2021</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0"/>
                <w:szCs w:val="20"/>
                <w:color w:val="auto"/>
              </w:rPr>
            </w:pPr>
            <w:r>
              <w:rPr>
                <w:rFonts w:ascii="Arial" w:cs="Arial" w:eastAsia="Arial" w:hAnsi="Arial"/>
                <w:sz w:val="21"/>
                <w:szCs w:val="21"/>
                <w:color w:val="auto"/>
              </w:rPr>
              <w:t>Equity Plan</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shares</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without par</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reserved</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for</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issuance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w w:val="85"/>
              </w:rPr>
              <w:t>2</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upon the</w:t>
            </w:r>
          </w:p>
        </w:tc>
        <w:tc>
          <w:tcPr>
            <w:tcW w:w="20" w:type="dxa"/>
            <w:vAlign w:val="bottom"/>
          </w:tcPr>
          <w:p>
            <w:pPr>
              <w:spacing w:after="0"/>
              <w:rPr>
                <w:sz w:val="20"/>
                <w:szCs w:val="20"/>
                <w:color w:val="auto"/>
              </w:rPr>
            </w:pPr>
          </w:p>
        </w:tc>
        <w:tc>
          <w:tcPr>
            <w:tcW w:w="116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6,500,000</w:t>
            </w:r>
          </w:p>
        </w:tc>
        <w:tc>
          <w:tcPr>
            <w:tcW w:w="20" w:type="dxa"/>
            <w:vAlign w:val="bottom"/>
          </w:tcPr>
          <w:p>
            <w:pPr>
              <w:spacing w:after="0"/>
              <w:rPr>
                <w:sz w:val="20"/>
                <w:szCs w:val="20"/>
                <w:color w:val="auto"/>
              </w:rPr>
            </w:pPr>
          </w:p>
        </w:tc>
        <w:tc>
          <w:tcPr>
            <w:tcW w:w="13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$ 4.66</w:t>
            </w:r>
          </w:p>
        </w:tc>
        <w:tc>
          <w:tcPr>
            <w:tcW w:w="20" w:type="dxa"/>
            <w:vAlign w:val="bottom"/>
          </w:tcPr>
          <w:p>
            <w:pPr>
              <w:spacing w:after="0"/>
              <w:rPr>
                <w:sz w:val="20"/>
                <w:szCs w:val="20"/>
                <w:color w:val="auto"/>
              </w:rPr>
            </w:pPr>
          </w:p>
        </w:tc>
        <w:tc>
          <w:tcPr>
            <w:tcW w:w="156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$ 30,290,000.00</w:t>
            </w:r>
          </w:p>
        </w:tc>
        <w:tc>
          <w:tcPr>
            <w:tcW w:w="20" w:type="dxa"/>
            <w:vAlign w:val="bottom"/>
          </w:tcPr>
          <w:p>
            <w:pPr>
              <w:spacing w:after="0"/>
              <w:rPr>
                <w:sz w:val="20"/>
                <w:szCs w:val="20"/>
                <w:color w:val="auto"/>
              </w:rPr>
            </w:pPr>
          </w:p>
        </w:tc>
        <w:tc>
          <w:tcPr>
            <w:tcW w:w="10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0.0001531</w:t>
            </w:r>
          </w:p>
        </w:tc>
        <w:tc>
          <w:tcPr>
            <w:tcW w:w="40" w:type="dxa"/>
            <w:vAlign w:val="bottom"/>
          </w:tcPr>
          <w:p>
            <w:pPr>
              <w:spacing w:after="0"/>
              <w:rPr>
                <w:sz w:val="20"/>
                <w:szCs w:val="20"/>
                <w:color w:val="auto"/>
              </w:rPr>
            </w:pPr>
          </w:p>
        </w:tc>
        <w:tc>
          <w:tcPr>
            <w:tcW w:w="146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$ 4,637.40</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exercise of</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w w:val="99"/>
              </w:rPr>
              <w:t>outstanding</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options</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under the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2021</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0"/>
                <w:szCs w:val="20"/>
                <w:color w:val="auto"/>
              </w:rPr>
            </w:pPr>
            <w:r>
              <w:rPr>
                <w:rFonts w:ascii="Arial" w:cs="Arial" w:eastAsia="Arial" w:hAnsi="Arial"/>
                <w:sz w:val="21"/>
                <w:szCs w:val="21"/>
                <w:color w:val="auto"/>
              </w:rPr>
              <w:t>Equity Plan</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0" w:type="dxa"/>
            <w:vAlign w:val="bottom"/>
            <w:tcBorders>
              <w:lef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$ 30,743.25</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Borders>
              <w:lef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200,805,000.00</w:t>
            </w: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$ 30,743.25</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w:t>
      </w:r>
    </w:p>
    <w:p>
      <w:pPr>
        <w:spacing w:after="0" w:line="70" w:lineRule="exact"/>
        <w:rPr>
          <w:sz w:val="20"/>
          <w:szCs w:val="20"/>
          <w:color w:val="auto"/>
        </w:rPr>
      </w:pPr>
    </w:p>
    <w:p>
      <w:pPr>
        <w:ind w:left="260" w:right="100" w:firstLine="6"/>
        <w:spacing w:after="0" w:line="238" w:lineRule="auto"/>
        <w:tabs>
          <w:tab w:leader="none" w:pos="571" w:val="left"/>
        </w:tabs>
        <w:numPr>
          <w:ilvl w:val="0"/>
          <w:numId w:val="30"/>
        </w:numPr>
        <w:rPr>
          <w:rFonts w:ascii="Arial" w:cs="Arial" w:eastAsia="Arial" w:hAnsi="Arial"/>
          <w:sz w:val="21"/>
          <w:szCs w:val="21"/>
          <w:color w:val="auto"/>
        </w:rPr>
      </w:pPr>
      <w:r>
        <w:rPr>
          <w:rFonts w:ascii="Arial" w:cs="Arial" w:eastAsia="Arial" w:hAnsi="Arial"/>
          <w:sz w:val="21"/>
          <w:szCs w:val="21"/>
          <w:color w:val="auto"/>
        </w:rPr>
        <w:t>Represents common shares, without par value ("Common Shares"), that may be issued under the TMC the metals company Inc. 2021 Incentive Equity Plan, as amended (the "Plan"). Pursuant to Rule 416(a) under the Securities Act of 1933, as amended (the "Securities Act"), this registration statement shall also cover any additional Common Shares that become issuable under the Plan as a result of any stock dividend, stock split, recapitalization or similar transaction effected without the receipt of consideration that results in an increase to the number of outstanding Common Shares.</w:t>
      </w:r>
    </w:p>
    <w:p>
      <w:pPr>
        <w:spacing w:after="0" w:line="194" w:lineRule="exact"/>
        <w:rPr>
          <w:rFonts w:ascii="Arial" w:cs="Arial" w:eastAsia="Arial" w:hAnsi="Arial"/>
          <w:sz w:val="21"/>
          <w:szCs w:val="21"/>
          <w:color w:val="auto"/>
        </w:rPr>
      </w:pPr>
    </w:p>
    <w:p>
      <w:pPr>
        <w:ind w:left="260" w:right="100" w:firstLine="6"/>
        <w:spacing w:after="0" w:line="249" w:lineRule="auto"/>
        <w:tabs>
          <w:tab w:leader="none" w:pos="571"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Represents 33,500,000 Common Shares reserved for issuance under the Plan. The number of shares reserved for issuance pursuant to awards under the Plan will be increased annually on the first day of each fiscal year, beginning in fiscal year 2026 and ending on the tenth anniversary of the closing of the going-public business combination transaction in September 2021, in an amount equal to the lesser of (i) 4% of the number of outstanding Common Shares on such date and (ii) an amount determined by the plan administrator. In addition, to the extent outstanding options under the Plan expire, lapse or are forfeited, cancelled, or otherwise terminated, or result in any Common Shares not being issued, the unissued or reacquired Common Shares subject to such awards will be available for future issuance under the Plan.</w:t>
      </w:r>
    </w:p>
    <w:p>
      <w:pPr>
        <w:spacing w:after="0" w:line="189" w:lineRule="exact"/>
        <w:rPr>
          <w:rFonts w:ascii="Arial" w:cs="Arial" w:eastAsia="Arial" w:hAnsi="Arial"/>
          <w:sz w:val="20"/>
          <w:szCs w:val="20"/>
          <w:color w:val="auto"/>
        </w:rPr>
      </w:pPr>
    </w:p>
    <w:p>
      <w:pPr>
        <w:ind w:left="260" w:right="300" w:firstLine="6"/>
        <w:spacing w:after="0" w:line="239" w:lineRule="auto"/>
        <w:tabs>
          <w:tab w:leader="none" w:pos="559" w:val="left"/>
        </w:tabs>
        <w:numPr>
          <w:ilvl w:val="0"/>
          <w:numId w:val="30"/>
        </w:numPr>
        <w:rPr>
          <w:rFonts w:ascii="Arial" w:cs="Arial" w:eastAsia="Arial" w:hAnsi="Arial"/>
          <w:sz w:val="21"/>
          <w:szCs w:val="21"/>
          <w:color w:val="auto"/>
        </w:rPr>
      </w:pPr>
      <w:r>
        <w:rPr>
          <w:rFonts w:ascii="Arial" w:cs="Arial" w:eastAsia="Arial" w:hAnsi="Arial"/>
          <w:sz w:val="21"/>
          <w:szCs w:val="21"/>
          <w:color w:val="auto"/>
        </w:rPr>
        <w:t>Estimated solely for the purpose of calculating the amount of the registration fee pursuant to Rule 457(c) and Rule 457(h) promulgated under the Securities Act. The proposed maximum offering price per share and the proposed maximum aggregate offering price are based on the average of the high and the low price of Registrant's Common Shares as reported on the Nasdaq Stock Market LLC on August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79375</wp:posOffset>
            </wp:positionV>
            <wp:extent cx="6398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ectPr>
          <w:pgSz w:w="11900" w:h="16838" w:orient="portrait"/>
          <w:cols w:equalWidth="0" w:num="1">
            <w:col w:w="10140"/>
          </w:cols>
          <w:pgMar w:left="880" w:top="141" w:right="879" w:bottom="0" w:gutter="0" w:footer="0" w:header="0"/>
        </w:sectPr>
      </w:pPr>
    </w:p>
    <w:bookmarkStart w:id="28" w:name="page29"/>
    <w:bookmarkEnd w:id="28"/>
    <w:p>
      <w:pPr>
        <w:ind w:left="600"/>
        <w:spacing w:after="0"/>
        <w:rPr>
          <w:sz w:val="20"/>
          <w:szCs w:val="20"/>
          <w:color w:val="auto"/>
        </w:rPr>
      </w:pPr>
      <w:r>
        <w:rPr>
          <w:rFonts w:ascii="Arial" w:cs="Arial" w:eastAsia="Arial" w:hAnsi="Arial"/>
          <w:sz w:val="13"/>
          <w:szCs w:val="13"/>
          <w:color w:val="auto"/>
        </w:rPr>
        <w:t>2</w:t>
      </w:r>
    </w:p>
    <w:p>
      <w:pPr>
        <w:spacing w:after="0" w:line="70" w:lineRule="exact"/>
        <w:rPr>
          <w:sz w:val="20"/>
          <w:szCs w:val="20"/>
          <w:color w:val="auto"/>
        </w:rPr>
      </w:pPr>
    </w:p>
    <w:p>
      <w:pPr>
        <w:ind w:left="1140" w:hanging="314"/>
        <w:spacing w:after="0"/>
        <w:tabs>
          <w:tab w:leader="none" w:pos="1140" w:val="left"/>
        </w:tabs>
        <w:numPr>
          <w:ilvl w:val="0"/>
          <w:numId w:val="31"/>
        </w:numPr>
        <w:rPr>
          <w:rFonts w:ascii="Arial" w:cs="Arial" w:eastAsia="Arial" w:hAnsi="Arial"/>
          <w:sz w:val="21"/>
          <w:szCs w:val="21"/>
          <w:color w:val="auto"/>
        </w:rPr>
      </w:pPr>
      <w:r>
        <w:rPr>
          <w:rFonts w:ascii="Arial" w:cs="Arial" w:eastAsia="Arial" w:hAnsi="Arial"/>
          <w:sz w:val="21"/>
          <w:szCs w:val="21"/>
          <w:color w:val="auto"/>
        </w:rPr>
        <w:t>See Footnote 1(a).</w:t>
      </w:r>
    </w:p>
    <w:p>
      <w:pPr>
        <w:spacing w:after="0" w:line="224" w:lineRule="exact"/>
        <w:rPr>
          <w:rFonts w:ascii="Arial" w:cs="Arial" w:eastAsia="Arial" w:hAnsi="Arial"/>
          <w:sz w:val="21"/>
          <w:szCs w:val="21"/>
          <w:color w:val="auto"/>
        </w:rPr>
      </w:pPr>
    </w:p>
    <w:p>
      <w:pPr>
        <w:ind w:left="820" w:right="760" w:firstLine="6"/>
        <w:spacing w:after="0" w:line="239" w:lineRule="auto"/>
        <w:tabs>
          <w:tab w:leader="none" w:pos="1131" w:val="left"/>
        </w:tabs>
        <w:numPr>
          <w:ilvl w:val="0"/>
          <w:numId w:val="31"/>
        </w:numPr>
        <w:rPr>
          <w:rFonts w:ascii="Arial" w:cs="Arial" w:eastAsia="Arial" w:hAnsi="Arial"/>
          <w:sz w:val="21"/>
          <w:szCs w:val="21"/>
          <w:color w:val="auto"/>
        </w:rPr>
      </w:pPr>
      <w:r>
        <w:rPr>
          <w:rFonts w:ascii="Arial" w:cs="Arial" w:eastAsia="Arial" w:hAnsi="Arial"/>
          <w:sz w:val="21"/>
          <w:szCs w:val="21"/>
          <w:color w:val="auto"/>
        </w:rPr>
        <w:t>Represents 6,500,000 Common Shares issuable upon the exercise of outstanding options granted under the Plan, at a weighted-average exercise price of $4.66 per share. To the extent outstanding options under the Plan expire, lapse or are forfeited, cancelled, or otherwise terminated, or result in any Common Shares not being issued, the unissued or reacquired Common Shares subject to such awards will be available for future issuance under the Plan.</w:t>
      </w:r>
    </w:p>
    <w:p>
      <w:pPr>
        <w:spacing w:after="0" w:line="196" w:lineRule="exact"/>
        <w:rPr>
          <w:rFonts w:ascii="Arial" w:cs="Arial" w:eastAsia="Arial" w:hAnsi="Arial"/>
          <w:sz w:val="21"/>
          <w:szCs w:val="21"/>
          <w:color w:val="auto"/>
        </w:rPr>
      </w:pPr>
    </w:p>
    <w:p>
      <w:pPr>
        <w:ind w:left="820" w:right="860" w:firstLine="6"/>
        <w:spacing w:after="0" w:line="242" w:lineRule="auto"/>
        <w:tabs>
          <w:tab w:leader="none" w:pos="1119" w:val="left"/>
        </w:tabs>
        <w:numPr>
          <w:ilvl w:val="0"/>
          <w:numId w:val="31"/>
        </w:numPr>
        <w:rPr>
          <w:rFonts w:ascii="Arial" w:cs="Arial" w:eastAsia="Arial" w:hAnsi="Arial"/>
          <w:sz w:val="21"/>
          <w:szCs w:val="21"/>
          <w:color w:val="auto"/>
        </w:rPr>
      </w:pPr>
      <w:r>
        <w:rPr>
          <w:rFonts w:ascii="Arial" w:cs="Arial" w:eastAsia="Arial" w:hAnsi="Arial"/>
          <w:sz w:val="21"/>
          <w:szCs w:val="21"/>
          <w:color w:val="auto"/>
        </w:rPr>
        <w:t>Estimated solely for the purpose of calculating the amount of registration fee pursuant to Rule 457(h) promulgated under the Securities Act. The proposed maximum offering price per share and the proposed maximum aggregate offering price are based on $4.66 per share, which is the weighted-average exercise price of the outstanding options granted under the Plan being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76200</wp:posOffset>
            </wp:positionV>
            <wp:extent cx="6398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324"/>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jc w:val="right"/>
              <w:ind w:right="136"/>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4"/>
                <w:szCs w:val="24"/>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ind w:left="120"/>
              <w:spacing w:after="0" w:line="233"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20"/>
                <w:szCs w:val="20"/>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20"/>
                <w:szCs w:val="20"/>
                <w:color w:val="auto"/>
              </w:rPr>
            </w:pPr>
          </w:p>
        </w:tc>
        <w:tc>
          <w:tcPr>
            <w:tcW w:w="84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80" w:type="dxa"/>
            <w:vAlign w:val="bottom"/>
            <w:tcBorders>
              <w:right w:val="single" w:sz="8" w:color="auto"/>
            </w:tcBorders>
          </w:tcPr>
          <w:p>
            <w:pPr>
              <w:spacing w:after="0"/>
              <w:rPr>
                <w:sz w:val="12"/>
                <w:szCs w:val="12"/>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upperLetter"/>
      <w:start w:val="2"/>
    </w:lvl>
  </w:abstractNum>
  <w:abstractNum w:abstractNumId="5">
    <w:nsid w:val="3F2DBA31"/>
    <w:multiLevelType w:val="hybridMultilevel"/>
    <w:lvl w:ilvl="0">
      <w:lvlJc w:val="left"/>
      <w:lvlText w:val="%1."/>
      <w:numFmt w:val="upperLetter"/>
      <w:start w:val="3"/>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upperLetter"/>
      <w:start w:val="1"/>
    </w:lvl>
    <w:lvl w:ilvl="1">
      <w:lvlJc w:val="left"/>
      <w:lvlText w:val="%2."/>
      <w:numFmt w:val="decimal"/>
      <w:start w:val="5"/>
    </w:lvl>
  </w:abstractNum>
  <w:abstractNum w:abstractNumId="8">
    <w:nsid w:val="62BBD95A"/>
    <w:multiLevelType w:val="hybridMultilevel"/>
    <w:lvl w:ilvl="0">
      <w:lvlJc w:val="left"/>
      <w:lvlText w:val="%1."/>
      <w:numFmt w:val="upperLetter"/>
      <w:start w:val="4"/>
    </w:lvl>
    <w:lvl w:ilvl="1">
      <w:lvlJc w:val="left"/>
      <w:lvlText w:val="%2"/>
      <w:numFmt w:val="decimal"/>
      <w:start w:val="1"/>
    </w:lvl>
  </w:abstractNum>
  <w:abstractNum w:abstractNumId="9">
    <w:nsid w:val="436C6125"/>
    <w:multiLevelType w:val="hybridMultilevel"/>
    <w:lvl w:ilvl="0">
      <w:lvlJc w:val="left"/>
      <w:lvlText w:val="%1."/>
      <w:numFmt w:val="upperLetter"/>
      <w:start w:val="5"/>
    </w:lvl>
  </w:abstractNum>
  <w:abstractNum w:abstractNumId="10">
    <w:nsid w:val="628C895D"/>
    <w:multiLevelType w:val="hybridMultilevel"/>
    <w:lvl w:ilvl="0">
      <w:lvlJc w:val="left"/>
      <w:lvlText w:val="%1."/>
      <w:numFmt w:val="upperLetter"/>
      <w:start w:val="6"/>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jpeg"/><Relationship Id="rId42" Type="http://schemas.openxmlformats.org/officeDocument/2006/relationships/image" Target="media/image23.png"/><Relationship Id="rId43" Type="http://schemas.openxmlformats.org/officeDocument/2006/relationships/image" Target="media/image24.jpeg"/><Relationship Id="rId44" Type="http://schemas.openxmlformats.org/officeDocument/2006/relationships/image" Target="media/image25.png"/><Relationship Id="rId45" Type="http://schemas.openxmlformats.org/officeDocument/2006/relationships/image" Target="media/image26.jpeg"/><Relationship Id="rId46" Type="http://schemas.openxmlformats.org/officeDocument/2006/relationships/image" Target="media/image27.png"/><Relationship Id="rId47" Type="http://schemas.openxmlformats.org/officeDocument/2006/relationships/image" Target="media/image28.jpe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13" Type="http://schemas.openxmlformats.org/officeDocument/2006/relationships/hyperlink" Target="https://www.sec.gov/Archives/edgar/data/1798562/000110465921141752/tm2133318d1_s8.htm" TargetMode="External"/><Relationship Id="rId14" Type="http://schemas.openxmlformats.org/officeDocument/2006/relationships/hyperlink" Target="https://www.sec.gov/Archives/edgar/data/1798562/000110465922066566/tm2217188d1_s8.htm" TargetMode="External"/><Relationship Id="rId15" Type="http://schemas.openxmlformats.org/officeDocument/2006/relationships/hyperlink" Target="https://www.sec.gov/Archives/edgar/data/1798562/000110465923037156/tm2310193d1_s8.htm" TargetMode="External"/><Relationship Id="rId16" Type="http://schemas.openxmlformats.org/officeDocument/2006/relationships/hyperlink" Target="https://www.sec.gov/Archives/edgar/data/1798562/000110465924038567/tm249497d1_s8.htm" TargetMode="External"/><Relationship Id="rId17" Type="http://schemas.openxmlformats.org/officeDocument/2006/relationships/hyperlink" Target="https://www.sec.gov/Archives/edgar/data/1798562/000110465925028835/tm2510319d2_s8.htm" TargetMode="External"/><Relationship Id="rId19" Type="http://schemas.openxmlformats.org/officeDocument/2006/relationships/hyperlink" Target="https://www.sec.gov/Archives/edgar/data/1798562/000141057825001821/tmc-20250630xex3d1.htm" TargetMode="External"/><Relationship Id="rId20" Type="http://schemas.openxmlformats.org/officeDocument/2006/relationships/hyperlink" Target="https://www.sec.gov/Archives/edgar/data/1798562/000121390021048261/ea147253ex3-2_tmcthemet.htm" TargetMode="External"/><Relationship Id="rId21" Type="http://schemas.openxmlformats.org/officeDocument/2006/relationships/hyperlink" Target="https://www.sec.gov/Archives/edgar/data/1798562/000110465925056465/tm2516970d1_ex3-1.htm" TargetMode="External"/><Relationship Id="rId22" Type="http://schemas.openxmlformats.org/officeDocument/2006/relationships/hyperlink" Target="https://www.sec.gov/Archives/edgar/data/1798562/000121390021048261/ea147253ex4-1_tmcthemet.htm" TargetMode="External"/><Relationship Id="rId23" Type="http://schemas.openxmlformats.org/officeDocument/2006/relationships/hyperlink" Target="https://www.sec.gov/Archives/edgar/data/1798562/000110465925084948/tm2524639d1_ex10-1.htm" TargetMode="External"/><Relationship Id="rId24" Type="http://schemas.openxmlformats.org/officeDocument/2006/relationships/hyperlink" Target="https://www.sec.gov/Archives/edgar/data/1798562/000121390021048261/ea147253ex10-23ii_tmcthemet.htm" TargetMode="External"/><Relationship Id="rId25" Type="http://schemas.openxmlformats.org/officeDocument/2006/relationships/hyperlink" Target="https://www.sec.gov/Archives/edgar/data/1798562/000110465921141752/tm2133318d1_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2025-09-02T16:41:29Z</dcterms:created>
  <dcterms:modified xsi:type="dcterms:W3CDTF">2025-09-02T16:41:29Z</dcterms:modified>
</cp:coreProperties>
</file>