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1799-3_4seq1.xml.htm"/>
      <w:bookmarkStart w:id="1" w:name="kstm2611799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Shesky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TMC THE METALS COMPANY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1111 WEST HASTINGS STREET, 15TH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A1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V6E 2J3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TMC the metals Co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1051"/>
        <w:gridCol w:w="443"/>
        <w:gridCol w:w="661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453,515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1,879,356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RSUs. Each RSU represents the right to receive one Share upon vesting. The RSUs were granted on April 13, 2026 as part of the Issuer's long-term incentive plan and vest, subject to continued service through the respective vesting date, over a three year period as follows: 1/3 on March 20, 2027, 1/3 on March 20, 2028 and 1/3 on March 20,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Michelle Ancosky,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4308" TargetMode="External"/><Relationship Id="rId5" Type="http://schemas.openxmlformats.org/officeDocument/2006/relationships/hyperlink" Target="http://www.sec.gov/cgi-bin/browse-edgar?action=getcompany&amp;CIK=00017985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3395</Characters>
  <CharactersWithSpaces>3971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