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tmc-20250930x10q.htm"/>
        <w:bookmarkStart w:id="1" w:name="kstmc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bookmarkStart w:id="2" w:name="_9fb6f90f_2faf_40ba_a9a2_e20f352340ea"/>
      <w:bookmarkEnd w:id="2"/>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3" w:name="iSkippedRange_91886"/>
      <w:bookmarkEnd w:id="3"/>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16"/>
        </w:rPr>
        <w:t>QUARTERLY REPORT PURSUANT TO SECTION 13 OR 15(d) OF THE SECURITIES EXCHANGE ACT OF 1934</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September 30, 2025</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16"/>
        </w:rPr>
        <w:t>TRANSITION REPORT PURSUANT TO SECTION 13 OR 15(d) OF THE SECURITIES EXCHANGE ACT OF 1934</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the transition period from</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001-39281</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TMC THE METALS COMPANY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 w:name="Tc_4P1uKE2nykeq0HlEUsnmtg_2_2"/>
      <w:bookmarkStart w:id="5" w:name="Tc_bbFY-9kLNE-3qVV837Cs4w_2_0"/>
      <w:bookmarkStart w:id="6" w:name="Tc_QAOkw6YnM0yRjA9xn_hFhw_0_0"/>
      <w:bookmarkStart w:id="7" w:name="_489ed942_4f0d_47f6_a1b5_4fa1fa7265de"/>
      <w:bookmarkStart w:id="8" w:name="Tc_4P1uKE2nykeq0HlEUsnmtg_2_2"/>
      <w:bookmarkStart w:id="9" w:name="Tc_bbFY-9kLNE-3qVV837Cs4w_2_0"/>
      <w:bookmarkStart w:id="10" w:name="Tc_QAOkw6YnM0yRjA9xn_hFhw_0_0"/>
      <w:bookmarkStart w:id="11" w:name="_489ed942_4f0d_47f6_a1b5_4fa1fa7265de"/>
      <w:bookmarkEnd w:id="8"/>
      <w:bookmarkEnd w:id="9"/>
      <w:bookmarkEnd w:id="10"/>
      <w:bookmarkEnd w:id="11"/>
    </w:p>
    <w:tbl>
      <w:tblPr>
        <w:tblW w:w="7228" w:type="dxa"/>
        <w:jc w:val="left"/>
        <w:tblInd w:w="0" w:type="dxa"/>
        <w:tblLayout w:type="fixed"/>
        <w:tblCellMar>
          <w:top w:w="0" w:type="dxa"/>
          <w:left w:w="0" w:type="dxa"/>
          <w:bottom w:w="0" w:type="dxa"/>
          <w:right w:w="0" w:type="dxa"/>
        </w:tblCellMar>
      </w:tblPr>
      <w:tblGrid>
        <w:gridCol w:w="4321"/>
        <w:gridCol w:w="326"/>
        <w:gridCol w:w="2581"/>
      </w:tblGrid>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British Columbia, Canada</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 Applicable</w:t>
            </w:r>
          </w:p>
        </w:tc>
      </w:tr>
      <w:tr>
        <w:trPr/>
        <w:tc>
          <w:tcPr>
            <w:tcW w:w="4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2" w:name="Tc__eLHplLxVEWOkWYkohFTyw_4_2"/>
      <w:bookmarkStart w:id="13" w:name="Tc_H5quxJLtLkuceBX2MEQiBQ_4_0"/>
      <w:bookmarkStart w:id="14" w:name="Tc_E4AkLSLY6Ey_hsXNzADewQ_2_0"/>
      <w:bookmarkStart w:id="15" w:name="_d7746b50_3e4f_49be_95d2_6cd734f1f800"/>
      <w:bookmarkStart w:id="16" w:name="Tc__eLHplLxVEWOkWYkohFTyw_4_2"/>
      <w:bookmarkStart w:id="17" w:name="Tc_H5quxJLtLkuceBX2MEQiBQ_4_0"/>
      <w:bookmarkStart w:id="18" w:name="Tc_E4AkLSLY6Ey_hsXNzADewQ_2_0"/>
      <w:bookmarkStart w:id="19" w:name="_d7746b50_3e4f_49be_95d2_6cd734f1f800"/>
      <w:bookmarkEnd w:id="16"/>
      <w:bookmarkEnd w:id="17"/>
      <w:bookmarkEnd w:id="18"/>
      <w:bookmarkEnd w:id="19"/>
    </w:p>
    <w:tbl>
      <w:tblPr>
        <w:tblW w:w="4273" w:type="dxa"/>
        <w:jc w:val="left"/>
        <w:tblInd w:w="0" w:type="dxa"/>
        <w:tblLayout w:type="fixed"/>
        <w:tblCellMar>
          <w:top w:w="0" w:type="dxa"/>
          <w:left w:w="0" w:type="dxa"/>
          <w:bottom w:w="0" w:type="dxa"/>
          <w:right w:w="0" w:type="dxa"/>
        </w:tblCellMar>
      </w:tblPr>
      <w:tblGrid>
        <w:gridCol w:w="3016"/>
        <w:gridCol w:w="326"/>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1111 West Hastings Street, 15th Floor</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Vancouver, British Columbia</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V6E 2J3</w: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(888) 458-3420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0" w:name="Tc_9SzfkQ24REuzAUcBjQusMw_4_4"/>
      <w:bookmarkStart w:id="21" w:name="Tc_Hi48-nNZKUm0lvEYdc6fdg_2_4"/>
      <w:bookmarkStart w:id="22" w:name="Tc_6npEvGhODE6DwmM6MyLeZw_0_4"/>
      <w:bookmarkStart w:id="23" w:name="Tc_fpEugMOu6EGeCTGk16OJWg_0_2"/>
      <w:bookmarkStart w:id="24" w:name="Tc_dnFh58p9MkyWgH_QOOSZDA_0_0"/>
      <w:bookmarkStart w:id="25" w:name="_077cefb7_0cdf_49f9_8c5e_1b4ce430b0fa"/>
      <w:bookmarkStart w:id="26" w:name="Tc_9SzfkQ24REuzAUcBjQusMw_4_4"/>
      <w:bookmarkStart w:id="27" w:name="Tc_Hi48-nNZKUm0lvEYdc6fdg_2_4"/>
      <w:bookmarkStart w:id="28" w:name="Tc_6npEvGhODE6DwmM6MyLeZw_0_4"/>
      <w:bookmarkStart w:id="29" w:name="Tc_fpEugMOu6EGeCTGk16OJWg_0_2"/>
      <w:bookmarkStart w:id="30" w:name="Tc_dnFh58p9MkyWgH_QOOSZDA_0_0"/>
      <w:bookmarkStart w:id="31" w:name="_077cefb7_0cdf_49f9_8c5e_1b4ce430b0fa"/>
      <w:bookmarkEnd w:id="26"/>
      <w:bookmarkEnd w:id="27"/>
      <w:bookmarkEnd w:id="28"/>
      <w:bookmarkEnd w:id="29"/>
      <w:bookmarkEnd w:id="30"/>
      <w:bookmarkEnd w:id="31"/>
    </w:p>
    <w:tbl>
      <w:tblPr>
        <w:tblW w:w="9130" w:type="dxa"/>
        <w:jc w:val="left"/>
        <w:tblInd w:w="0" w:type="dxa"/>
        <w:tblLayout w:type="fixed"/>
        <w:tblCellMar>
          <w:top w:w="0" w:type="dxa"/>
          <w:left w:w="0" w:type="dxa"/>
          <w:bottom w:w="28" w:type="dxa"/>
          <w:right w:w="0" w:type="dxa"/>
        </w:tblCellMar>
      </w:tblPr>
      <w:tblGrid>
        <w:gridCol w:w="3436"/>
        <w:gridCol w:w="326"/>
        <w:gridCol w:w="1561"/>
        <w:gridCol w:w="326"/>
        <w:gridCol w:w="3481"/>
      </w:tblGrid>
      <w:tr>
        <w:trPr/>
        <w:tc>
          <w:tcPr>
            <w:tcW w:w="343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56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48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436"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561"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481"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34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Shares, without par value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5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TMC</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4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r>
        <w:trPr/>
        <w:tc>
          <w:tcPr>
            <w:tcW w:w="343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56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481" w:type="dxa"/>
            <w:tcBorders/>
            <w:tcMar>
              <w:bottom w:w="0" w:type="dxa"/>
            </w:tcMar>
            <w:vAlign w:val="center"/>
          </w:tcPr>
          <w:p>
            <w:pPr>
              <w:pStyle w:val="TableContents"/>
              <w:bidi w:val="0"/>
              <w:spacing w:before="0" w:after="0"/>
              <w:ind w:left="0" w:right="0" w:hanging="0"/>
              <w:jc w:val="center"/>
              <w:rPr/>
            </w:pPr>
            <w:r>
              <w:rPr/>
              <w:t>​</w:t>
            </w:r>
          </w:p>
        </w:tc>
      </w:tr>
      <w:tr>
        <w:trPr/>
        <w:tc>
          <w:tcPr>
            <w:tcW w:w="34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Redeemable warrants, each whole warrant </w:t>
              <w:br/>
              <w:t xml:space="preserve">exercisable for one Common Share, each at an </w:t>
              <w:br/>
              <w:t>exercise price of $11.50 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5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TMCWW</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4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2" w:name="Tc_wjM8noivgEazKSIBUwOFkA_4_2"/>
      <w:bookmarkStart w:id="33" w:name="Tc_s7BchiqMq0CqjEkjLp5bMw_3_2"/>
      <w:bookmarkStart w:id="34" w:name="Tc_00bMkSPS1km4vNniNO2RAg_3_0"/>
      <w:bookmarkStart w:id="35" w:name="Tc_8XhF-9kzPUO4VWWLkFQaHQ_2_4"/>
      <w:bookmarkStart w:id="36" w:name="Tc_rN39ulZuoEurWZYqb-3Q3A_2_2"/>
      <w:bookmarkStart w:id="37" w:name="Tc_srjTGSVrf0KBCEzQmdFqwA_2_0"/>
      <w:bookmarkStart w:id="38" w:name="_ec628ae9_ea58_4763_add7_ea6585c32108"/>
      <w:bookmarkStart w:id="39" w:name="Tc_wjM8noivgEazKSIBUwOFkA_4_2"/>
      <w:bookmarkStart w:id="40" w:name="Tc_s7BchiqMq0CqjEkjLp5bMw_3_2"/>
      <w:bookmarkStart w:id="41" w:name="Tc_00bMkSPS1km4vNniNO2RAg_3_0"/>
      <w:bookmarkStart w:id="42" w:name="Tc_8XhF-9kzPUO4VWWLkFQaHQ_2_4"/>
      <w:bookmarkStart w:id="43" w:name="Tc_rN39ulZuoEurWZYqb-3Q3A_2_2"/>
      <w:bookmarkStart w:id="44" w:name="Tc_srjTGSVrf0KBCEzQmdFqwA_2_0"/>
      <w:bookmarkStart w:id="45" w:name="_ec628ae9_ea58_4763_add7_ea6585c32108"/>
      <w:bookmarkEnd w:id="39"/>
      <w:bookmarkEnd w:id="40"/>
      <w:bookmarkEnd w:id="41"/>
      <w:bookmarkEnd w:id="42"/>
      <w:bookmarkEnd w:id="43"/>
      <w:bookmarkEnd w:id="44"/>
      <w:bookmarkEnd w:id="45"/>
    </w:p>
    <w:tbl>
      <w:tblPr>
        <w:tblW w:w="4960" w:type="dxa"/>
        <w:jc w:val="left"/>
        <w:tblInd w:w="0" w:type="dxa"/>
        <w:tblLayout w:type="fixed"/>
        <w:tblCellMar>
          <w:top w:w="0" w:type="dxa"/>
          <w:left w:w="0" w:type="dxa"/>
          <w:bottom w:w="0" w:type="dxa"/>
          <w:right w:w="0" w:type="dxa"/>
        </w:tblCellMar>
      </w:tblPr>
      <w:tblGrid>
        <w:gridCol w:w="1906"/>
        <w:gridCol w:w="326"/>
        <w:gridCol w:w="2041"/>
        <w:gridCol w:w="326"/>
        <w:gridCol w:w="36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10310" cy="29210"/>
                      <wp:effectExtent l="0" t="0" r="0" b="0"/>
                      <wp:wrapNone/>
                      <wp:docPr id="1" name="Frame1"/>
                      <a:graphic xmlns:a="http://schemas.openxmlformats.org/drawingml/2006/main">
                        <a:graphicData uri="http://schemas.microsoft.com/office/word/2010/wordprocessingShape">
                          <wps:wsp>
                            <wps:cNvSpPr txBox="1"/>
                            <wps:spPr>
                              <a:xfrm>
                                <a:off x="0" y="0"/>
                                <a:ext cx="1210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96035" cy="29210"/>
                      <wp:effectExtent l="0" t="0" r="0" b="0"/>
                      <wp:wrapNone/>
                      <wp:docPr id="3" name="Frame3"/>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29235" cy="29210"/>
                      <wp:effectExtent l="0" t="0" r="0" b="0"/>
                      <wp:wrapNone/>
                      <wp:docPr id="5" name="Frame5"/>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10310" cy="29210"/>
                      <wp:effectExtent l="0" t="0" r="0" b="0"/>
                      <wp:wrapNone/>
                      <wp:docPr id="6" name="Frame6"/>
                      <a:graphic xmlns:a="http://schemas.openxmlformats.org/drawingml/2006/main">
                        <a:graphicData uri="http://schemas.microsoft.com/office/word/2010/wordprocessingShape">
                          <wps:wsp>
                            <wps:cNvSpPr txBox="1"/>
                            <wps:spPr>
                              <a:xfrm>
                                <a:off x="0" y="0"/>
                                <a:ext cx="1210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29210"/>
                      <wp:effectExtent l="0" t="0" r="0" b="0"/>
                      <wp:wrapNone/>
                      <wp:docPr id="7" name="Frame7"/>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96035" cy="29210"/>
                      <wp:effectExtent l="0" t="0" r="0" b="0"/>
                      <wp:wrapNone/>
                      <wp:docPr id="8" name="Frame8"/>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29210"/>
                      <wp:effectExtent l="0" t="0" r="0" b="0"/>
                      <wp:wrapNone/>
                      <wp:docPr id="9" name="Frame9"/>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9235" cy="29210"/>
                      <wp:effectExtent l="0" t="0" r="0" b="0"/>
                      <wp:wrapNone/>
                      <wp:docPr id="10" name="Frame10"/>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tc>
        <w:tc>
          <w:tcPr>
            <w:tcW w:w="32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November 12, 2025, the registrant had 413,492,045 common shares outstanding.</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240"/>
        <w:ind w:left="0" w:right="0" w:firstLine="360"/>
        <w:jc w:val="center"/>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6" w:name="_4dd985c8_ee49_4260_8d22_25f8b6bd429a"/>
      <w:bookmarkEnd w:id="46"/>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 the quarterly period ended September 30, 2025</w:t>
      </w:r>
    </w:p>
    <w:p>
      <w:pPr>
        <w:pStyle w:val="TextBody"/>
        <w:bidi w:val="0"/>
        <w:spacing w:before="0" w:after="0"/>
        <w:ind w:left="0" w:right="0" w:hanging="0"/>
        <w:jc w:val="center"/>
        <w:rPr>
          <w:rFonts w:ascii="Times New Roman;Times;serif" w:hAnsi="Times New Roman;Times;serif"/>
          <w:b/>
          <w:sz w:val="20"/>
        </w:rPr>
      </w:pPr>
      <w:bookmarkStart w:id="47" w:name="TOC"/>
      <w:bookmarkEnd w:id="47"/>
      <w:r>
        <w:rPr>
          <w:rFonts w:ascii="Times New Roman;Times;serif" w:hAnsi="Times New Roman;Times;serif"/>
          <w:b/>
          <w:sz w:val="20"/>
        </w:rPr>
        <w:t>TABLE OF CONTENTS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76"/>
        <w:gridCol w:w="326"/>
        <w:gridCol w:w="8006"/>
        <w:gridCol w:w="326"/>
        <w:gridCol w:w="5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19760" cy="525780"/>
                      <wp:effectExtent l="0" t="0" r="0" b="0"/>
                      <wp:wrapNone/>
                      <wp:docPr id="11" name="Frame11"/>
                      <a:graphic xmlns:a="http://schemas.openxmlformats.org/drawingml/2006/main">
                        <a:graphicData uri="http://schemas.microsoft.com/office/word/2010/wordprocessingShape">
                          <wps:wsp>
                            <wps:cNvSpPr txBox="1"/>
                            <wps:spPr>
                              <a:xfrm>
                                <a:off x="0" y="0"/>
                                <a:ext cx="619760" cy="525780"/>
                              </a:xfrm>
                              <a:prstGeom prst="rect"/>
                              <a:solidFill>
                                <a:srgbClr val="FFFFFF"/>
                              </a:solidFill>
                            </wps:spPr>
                            <wps:txbx>
                              <w:txbxContent>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29210"/>
                      <wp:effectExtent l="0" t="0" r="0" b="0"/>
                      <wp:wrapNone/>
                      <wp:docPr id="12" name="Frame1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83810" cy="175260"/>
                      <wp:effectExtent l="0" t="0" r="0" b="0"/>
                      <wp:wrapNone/>
                      <wp:docPr id="13" name="Frame13"/>
                      <a:graphic xmlns:a="http://schemas.openxmlformats.org/drawingml/2006/main">
                        <a:graphicData uri="http://schemas.microsoft.com/office/word/2010/wordprocessingShape">
                          <wps:wsp>
                            <wps:cNvSpPr txBox="1"/>
                            <wps:spPr>
                              <a:xfrm>
                                <a:off x="0" y="0"/>
                                <a:ext cx="508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29210"/>
                      <wp:effectExtent l="0" t="0" r="0" b="0"/>
                      <wp:wrapNone/>
                      <wp:docPr id="14" name="Frame1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2585" cy="29210"/>
                      <wp:effectExtent l="0" t="0" r="0" b="0"/>
                      <wp:wrapNone/>
                      <wp:docPr id="15" name="Frame15"/>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Part I</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Financial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Item 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Financial Statements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BalanceSheets_49440">
              <w:r>
                <w:rPr>
                  <w:rStyle w:val="InternetLink"/>
                  <w:rFonts w:ascii="Times New Roman;Times;serif" w:hAnsi="Times New Roman;Times;serif"/>
                  <w:b w:val="false"/>
                  <w:i w:val="false"/>
                  <w:caps w:val="false"/>
                  <w:smallCaps w:val="false"/>
                  <w:sz w:val="20"/>
                </w:rPr>
                <w:t>Condensed Consolidated Balance Sheets as of September 30, 2025 and December 31, 2024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StatementsofLossand">
              <w:r>
                <w:rPr>
                  <w:rStyle w:val="InternetLink"/>
                  <w:rFonts w:ascii="Times New Roman;Times;serif" w:hAnsi="Times New Roman;Times;serif"/>
                  <w:b w:val="false"/>
                  <w:i w:val="false"/>
                  <w:caps w:val="false"/>
                  <w:smallCaps w:val="false"/>
                  <w:sz w:val="20"/>
                </w:rPr>
                <w:t>Condensed Consolidated Statements of Loss and Comprehensive Loss for the three and nine months ended September 30, 2025 and 2024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Equity for the three and nine months ended September 30, 2025 and 2024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and nine months ended September 30, 2025 and 2024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a1NatureofOperations_669125">
              <w:r>
                <w:rPr>
                  <w:rStyle w:val="InternetLink"/>
                  <w:rFonts w:ascii="Times New Roman;Times;serif" w:hAnsi="Times New Roman;Times;serif"/>
                  <w:b w:val="false"/>
                  <w:i w:val="false"/>
                  <w:caps w:val="false"/>
                  <w:smallCaps w:val="false"/>
                  <w:sz w:val="20"/>
                </w:rPr>
                <w:t>Notes to Interim Condensed Consolidated Financial Statements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Item 4.</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Part II</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Other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Item 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Legal Proceedings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Item 1A.</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Risk Factors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Item 3.</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Item 4.</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Mine Safety Disclosures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Item 5.</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Other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Item 6.</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Exhibits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SkippedRange_90101">
              <w:r>
                <w:rPr>
                  <w:rStyle w:val="InternetLink"/>
                  <w:rFonts w:ascii="Times New Roman;Times;serif" w:hAnsi="Times New Roman;Times;serif"/>
                  <w:b w:val="false"/>
                  <w:i w:val="false"/>
                  <w:caps w:val="false"/>
                  <w:smallCaps w:val="false"/>
                  <w:sz w:val="20"/>
                </w:rPr>
                <w:t>Signatures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48" w:name="_3fa9b30a_d4a4_41e6_a412_253c5b56f0b9"/>
      <w:bookmarkEnd w:id="48"/>
      <w:r>
        <w:rPr>
          <w:rFonts w:ascii="Times New Roman;Times;serif" w:hAnsi="Times New Roman;Times;serif"/>
          <w:sz w:val="20"/>
        </w:rPr>
        <w:t>In this Quarterly Report on Form 10-Q, the terms “we,” “us,” “our,” the “Company” and “TMC” mean TMC the metals company Inc. and our subsidiaries. TMC is incorporated under the laws of the province of British Columbia, Canada. The Company’s common shares and public warrants to purchase common shares trade on the Nasdaq Global Select Market (“Nasdaq”), under the symbols “TMC” and “TMCWW,” respectively.</w:t>
      </w:r>
    </w:p>
    <w:p>
      <w:pPr>
        <w:pStyle w:val="TextBody"/>
        <w:bidi w:val="0"/>
        <w:spacing w:before="0" w:after="240"/>
        <w:ind w:left="0" w:right="0" w:hanging="0"/>
        <w:jc w:val="center"/>
        <w:rPr>
          <w:rFonts w:ascii="Times New Roman;Times;serif" w:hAnsi="Times New Roman;Times;serif"/>
          <w:b/>
          <w:sz w:val="20"/>
        </w:rPr>
      </w:pPr>
      <w:bookmarkStart w:id="49" w:name="CAUTIONARYNOTEREGARDINGFORWARDLOOKINGSTA"/>
      <w:bookmarkEnd w:id="49"/>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and technical feasibility of seafloor polymetallic nodule collection and processing;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partners’ development and operational plans, including with respect to the planned uses of polymetallic nodules, where and how nodules will be obtained and processed, the expected environmental, social and governance (“ESG”) impacts thereof and our plans to assess these impacts and the timing and scope of these plans, including the timing and expectations with respect to our receipt of exploitation contracts and our commercialization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and demand for nickel and cobalt (including critical metals and battery cathode feedstocks), copper, manganese ores and other steel-making feedstocks;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prices of nickel and cobalt (including critical metals and battery cathode feedstocks), copper, manganese ores and other steel-making feedstocks;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exploration license and commercial recovery permit application review by the National Oceanographic and Atmospheric Administration (“NOAA”) of the United States under the Deep Seabed Hard Mineral Resources Act of 1980 (“DSHMRA”);</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 of mineral extraction from the deep seafloor and changes in mining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operational, environmental, social and governance risks of developing and deploying equipment to collect and ship polymetallic nodules at sea, and to process such nodules on 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and timing of potential revenue as well as the timing and amount of estimated future production, costs of production, other expenses, capital expenditures and requirements for additional capital;</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provided by operating activities;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activities of our partners under our key strategic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on hand to meet our working capital and capital expenditure requirements, the need for additional financing and our ability to continue as a going concern;</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financing in the future, the nature of any such financing and our plans with respect thereto;</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to which we are a party;</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limitations on insurance coverage;</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mitigate our material weakness in our internal control over financial reporting;</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metallurgical and geotechnical studies and opinions;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inherent in preliminary feasibility level estimates, including costs, production profiles and project economics, particularly given that the proposed nodule collection method has not yet been implemented at commercial scale and involves significant estimation uncertainty;</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reserve and resource estimates and our ability to define and declare further reserve estimates;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an emerging growth company, non-reporting Canadian issuer and passive foreign investment company;</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financial performance.</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2024 as filed with the Securities and Exchange Commission (“SEC”) on March 27, 2025 (“2024 Annual Report on Form 10-K”), Item 1A of Part II of our Quarterly Report on Form 10 - Q for the quarter ended March 31, 2025 as filed with the SEC on May 14, 2025 and Item 1A of Part II of our Quarterly Report on Form 10 - Q for the quarter ended June 30, 2025 as filed with the SEC on August 14, 2025.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0" w:name="PARTIFINANCIALINFORMATION_598400"/>
      <w:bookmarkStart w:id="51" w:name="_d07afaf8_3c11_4ef7_90c1_109909c09376"/>
      <w:bookmarkStart w:id="52" w:name="FinancialStatements_913138"/>
      <w:bookmarkEnd w:id="50"/>
      <w:bookmarkEnd w:id="51"/>
      <w:bookmarkEnd w:id="52"/>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sz w:val="20"/>
        </w:rPr>
      </w:pPr>
      <w:bookmarkStart w:id="53" w:name="Item1FinancialStatements_168789"/>
      <w:bookmarkEnd w:id="53"/>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54" w:name="CondensedConsolidatedBalanceSheets_49440"/>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5" w:name="Tc_8MzL4Kbb8kei7b-Rs8YrkA_38_7"/>
      <w:bookmarkStart w:id="56" w:name="Tc_fNasryjiIUS_wunVRLHjug_38_4"/>
      <w:bookmarkStart w:id="57" w:name="Tc_2gPL6XSWpEaIc6lv1okFDQ_38_0"/>
      <w:bookmarkStart w:id="58" w:name="Tc_lsg9dijzk0W9nLV6adg7Pw_36_0"/>
      <w:bookmarkStart w:id="59" w:name="Tc_Cg7_iU0XYUWeT90TzBEhyQ_35_0"/>
      <w:bookmarkStart w:id="60" w:name="Tc_YQfiY7EOdEyM9lEaEVB0dA_34_0"/>
      <w:bookmarkStart w:id="61" w:name="Tc_BzvTPkv31EqMwMO5sIbrSQ_33_0"/>
      <w:bookmarkStart w:id="62" w:name="Tc_NL_4-5UsC0Gr2vOMzhy0qw_32_0"/>
      <w:bookmarkStart w:id="63" w:name="Tc__mi6Cs1GOUqUYluPPeNvrQ_31_0"/>
      <w:bookmarkStart w:id="64" w:name="Tc_jGhxfp47zUyNdrq-L1219g_29_7"/>
      <w:bookmarkStart w:id="65" w:name="Tc_PYbEG6kL-U-rz2J8PRWkSw_29_4"/>
      <w:bookmarkStart w:id="66" w:name="Tc_PLXZeGGhGESbdAC6kAsM_g_29_0"/>
      <w:bookmarkStart w:id="67" w:name="Tc_50ifrGw-gESFQz7oHhWIGA_26_2"/>
      <w:bookmarkStart w:id="68" w:name="Tc_vgtggiTL80m88MitGYWzhw_26_0"/>
      <w:bookmarkStart w:id="69" w:name="Tc_V_SYMkKWzkGC8V0mmzyxRA_25_2"/>
      <w:bookmarkStart w:id="70" w:name="Tc_jWG6Gg-S8kKosrXD8lyHVw_25_0"/>
      <w:bookmarkStart w:id="71" w:name="Tc_cyPdQh1AkUidxb3zwAUp5w_24_0"/>
      <w:bookmarkStart w:id="72" w:name="Tc_HJla52GJlk2p8oexIi12GA_23_0"/>
      <w:bookmarkStart w:id="73" w:name="Tc_uPBaV8lYBUav5lyWTnvQCg_21_5"/>
      <w:bookmarkStart w:id="74" w:name="Tc_rCoMnSKk0UmCIwX68WN2wA_21_2"/>
      <w:bookmarkStart w:id="75" w:name="Tc_iWSjJDlCJ0GQiEFD5YTcbA_21_0"/>
      <w:bookmarkStart w:id="76" w:name="Tc_zvq6jBakWE2mL6htSUtIQQ_20_2"/>
      <w:bookmarkStart w:id="77" w:name="Tc_n0cN__her0-wggHVRgD3bQ_20_0"/>
      <w:bookmarkStart w:id="78" w:name="Tc_Q3CTKygWGUC-jDxoD799UA_19_0"/>
      <w:bookmarkStart w:id="79" w:name="Tc_84iGdZlqnUCUiQKQLSQbrg_18_0"/>
      <w:bookmarkStart w:id="80" w:name="Tc_qaeudNeyvE68DRB_Ec_QPw_16_7"/>
      <w:bookmarkStart w:id="81" w:name="Tc_Y384dIIzCkSExJqD3mpx6Q_16_4"/>
      <w:bookmarkStart w:id="82" w:name="Tc_ZK-QWIqtFEi0xbqGkf_wxw_16_0"/>
      <w:bookmarkStart w:id="83" w:name="Tc_hlTIUawDEEOt3I2cc5Ydrw_13_2"/>
      <w:bookmarkStart w:id="84" w:name="Tc_pTsVnxyD9UuXn4whGNMQ2A_13_0"/>
      <w:bookmarkStart w:id="85" w:name="Tc_kSqJ-ETxnkO4WJdenCfc9Q_12_2"/>
      <w:bookmarkStart w:id="86" w:name="Tc_vDYPrXaDKkKRgv3NswlPFA_12_0"/>
      <w:bookmarkStart w:id="87" w:name="Tc_Kp9wOBynNE2bTzNdB5KxwA_11_0"/>
      <w:bookmarkStart w:id="88" w:name="Tc_PLXViiq9ZU2OjibYLsgngQ_10_0"/>
      <w:bookmarkStart w:id="89" w:name="Tc_It2ASo_-9kepYWrEVr1uWA_9_0"/>
      <w:bookmarkStart w:id="90" w:name="Tc_ZnPk8HMwEEyUx6rZI-1qOQ_8_0"/>
      <w:bookmarkStart w:id="91" w:name="Tc_ilh0DRdJlEK-INr-_FOuxg_6_0"/>
      <w:bookmarkStart w:id="92" w:name="Tc_a_VnR2_-3Uy016W8ukae6w_5_7"/>
      <w:bookmarkStart w:id="93" w:name="Tc_LGw12b5wb0yKp1LA2ST6aw_5_4"/>
      <w:bookmarkStart w:id="94" w:name="Tc_Jzx8BW395UKHpBgtJVSilA_5_0"/>
      <w:bookmarkStart w:id="95" w:name="Tc_f51_mfHCF0O21gFhuDAcFw_4_0"/>
      <w:bookmarkStart w:id="96" w:name="Tc_KawN17X1oUSGeNt5t2Hc0Q_3_7"/>
      <w:bookmarkStart w:id="97" w:name="Tc_D-mGEGSfHkeWNuDu5Y_UqQ_3_4"/>
      <w:bookmarkStart w:id="98" w:name="Tc_FEooTQwxuEOL6vVdvIF6gw_3_2"/>
      <w:bookmarkStart w:id="99" w:name="Tc__JlcsGaGWU6sPmp6agYhlw_3_0"/>
      <w:bookmarkStart w:id="100" w:name="Tc_RqLlTmxVVUOpN4rqUkwf_Q_2_7"/>
      <w:bookmarkStart w:id="101" w:name="Tc_RsNOpzfULEyFp1cFS3D4Nw_2_4"/>
      <w:bookmarkStart w:id="102" w:name="Tc_uFvchS89XUOg4Td73L25GQ_1_7"/>
      <w:bookmarkStart w:id="103" w:name="Tc_71X-0wAp4kaUnIErNk8IRw_1_4"/>
      <w:bookmarkStart w:id="104" w:name="_00ac2f38_1b33_436c_bec1_a19593469e83"/>
      <w:bookmarkStart w:id="105" w:name="Tc_8MzL4Kbb8kei7b-Rs8YrkA_38_7"/>
      <w:bookmarkStart w:id="106" w:name="Tc_fNasryjiIUS_wunVRLHjug_38_4"/>
      <w:bookmarkStart w:id="107" w:name="Tc_2gPL6XSWpEaIc6lv1okFDQ_38_0"/>
      <w:bookmarkStart w:id="108" w:name="Tc_lsg9dijzk0W9nLV6adg7Pw_36_0"/>
      <w:bookmarkStart w:id="109" w:name="Tc_Cg7_iU0XYUWeT90TzBEhyQ_35_0"/>
      <w:bookmarkStart w:id="110" w:name="Tc_YQfiY7EOdEyM9lEaEVB0dA_34_0"/>
      <w:bookmarkStart w:id="111" w:name="Tc_BzvTPkv31EqMwMO5sIbrSQ_33_0"/>
      <w:bookmarkStart w:id="112" w:name="Tc_NL_4-5UsC0Gr2vOMzhy0qw_32_0"/>
      <w:bookmarkStart w:id="113" w:name="Tc__mi6Cs1GOUqUYluPPeNvrQ_31_0"/>
      <w:bookmarkStart w:id="114" w:name="Tc_jGhxfp47zUyNdrq-L1219g_29_7"/>
      <w:bookmarkStart w:id="115" w:name="Tc_PYbEG6kL-U-rz2J8PRWkSw_29_4"/>
      <w:bookmarkStart w:id="116" w:name="Tc_PLXZeGGhGESbdAC6kAsM_g_29_0"/>
      <w:bookmarkStart w:id="117" w:name="Tc_50ifrGw-gESFQz7oHhWIGA_26_2"/>
      <w:bookmarkStart w:id="118" w:name="Tc_vgtggiTL80m88MitGYWzhw_26_0"/>
      <w:bookmarkStart w:id="119" w:name="Tc_V_SYMkKWzkGC8V0mmzyxRA_25_2"/>
      <w:bookmarkStart w:id="120" w:name="Tc_jWG6Gg-S8kKosrXD8lyHVw_25_0"/>
      <w:bookmarkStart w:id="121" w:name="Tc_cyPdQh1AkUidxb3zwAUp5w_24_0"/>
      <w:bookmarkStart w:id="122" w:name="Tc_HJla52GJlk2p8oexIi12GA_23_0"/>
      <w:bookmarkStart w:id="123" w:name="Tc_uPBaV8lYBUav5lyWTnvQCg_21_5"/>
      <w:bookmarkStart w:id="124" w:name="Tc_rCoMnSKk0UmCIwX68WN2wA_21_2"/>
      <w:bookmarkStart w:id="125" w:name="Tc_iWSjJDlCJ0GQiEFD5YTcbA_21_0"/>
      <w:bookmarkStart w:id="126" w:name="Tc_zvq6jBakWE2mL6htSUtIQQ_20_2"/>
      <w:bookmarkStart w:id="127" w:name="Tc_n0cN__her0-wggHVRgD3bQ_20_0"/>
      <w:bookmarkStart w:id="128" w:name="Tc_Q3CTKygWGUC-jDxoD799UA_19_0"/>
      <w:bookmarkStart w:id="129" w:name="Tc_84iGdZlqnUCUiQKQLSQbrg_18_0"/>
      <w:bookmarkStart w:id="130" w:name="Tc_qaeudNeyvE68DRB_Ec_QPw_16_7"/>
      <w:bookmarkStart w:id="131" w:name="Tc_Y384dIIzCkSExJqD3mpx6Q_16_4"/>
      <w:bookmarkStart w:id="132" w:name="Tc_ZK-QWIqtFEi0xbqGkf_wxw_16_0"/>
      <w:bookmarkStart w:id="133" w:name="Tc_hlTIUawDEEOt3I2cc5Ydrw_13_2"/>
      <w:bookmarkStart w:id="134" w:name="Tc_pTsVnxyD9UuXn4whGNMQ2A_13_0"/>
      <w:bookmarkStart w:id="135" w:name="Tc_kSqJ-ETxnkO4WJdenCfc9Q_12_2"/>
      <w:bookmarkStart w:id="136" w:name="Tc_vDYPrXaDKkKRgv3NswlPFA_12_0"/>
      <w:bookmarkStart w:id="137" w:name="Tc_Kp9wOBynNE2bTzNdB5KxwA_11_0"/>
      <w:bookmarkStart w:id="138" w:name="Tc_PLXViiq9ZU2OjibYLsgngQ_10_0"/>
      <w:bookmarkStart w:id="139" w:name="Tc_It2ASo_-9kepYWrEVr1uWA_9_0"/>
      <w:bookmarkStart w:id="140" w:name="Tc_ZnPk8HMwEEyUx6rZI-1qOQ_8_0"/>
      <w:bookmarkStart w:id="141" w:name="Tc_ilh0DRdJlEK-INr-_FOuxg_6_0"/>
      <w:bookmarkStart w:id="142" w:name="Tc_a_VnR2_-3Uy016W8ukae6w_5_7"/>
      <w:bookmarkStart w:id="143" w:name="Tc_LGw12b5wb0yKp1LA2ST6aw_5_4"/>
      <w:bookmarkStart w:id="144" w:name="Tc_Jzx8BW395UKHpBgtJVSilA_5_0"/>
      <w:bookmarkStart w:id="145" w:name="Tc_f51_mfHCF0O21gFhuDAcFw_4_0"/>
      <w:bookmarkStart w:id="146" w:name="Tc_KawN17X1oUSGeNt5t2Hc0Q_3_7"/>
      <w:bookmarkStart w:id="147" w:name="Tc_D-mGEGSfHkeWNuDu5Y_UqQ_3_4"/>
      <w:bookmarkStart w:id="148" w:name="Tc_FEooTQwxuEOL6vVdvIF6gw_3_2"/>
      <w:bookmarkStart w:id="149" w:name="Tc__JlcsGaGWU6sPmp6agYhlw_3_0"/>
      <w:bookmarkStart w:id="150" w:name="Tc_RqLlTmxVVUOpN4rqUkwf_Q_2_7"/>
      <w:bookmarkStart w:id="151" w:name="Tc_RsNOpzfULEyFp1cFS3D4Nw_2_4"/>
      <w:bookmarkStart w:id="152" w:name="Tc_uFvchS89XUOg4Td73L25GQ_1_7"/>
      <w:bookmarkStart w:id="153" w:name="Tc_71X-0wAp4kaUnIErNk8IRw_1_4"/>
      <w:bookmarkStart w:id="154" w:name="_00ac2f38_1b33_436c_bec1_a19593469e83"/>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tbl>
      <w:tblPr>
        <w:tblW w:w="10205" w:type="dxa"/>
        <w:jc w:val="left"/>
        <w:tblInd w:w="0" w:type="dxa"/>
        <w:tblLayout w:type="fixed"/>
        <w:tblCellMar>
          <w:top w:w="0" w:type="dxa"/>
          <w:left w:w="0" w:type="dxa"/>
          <w:bottom w:w="0" w:type="dxa"/>
          <w:right w:w="0" w:type="dxa"/>
        </w:tblCellMar>
      </w:tblPr>
      <w:tblGrid>
        <w:gridCol w:w="6447"/>
        <w:gridCol w:w="326"/>
        <w:gridCol w:w="466"/>
        <w:gridCol w:w="326"/>
        <w:gridCol w:w="220"/>
        <w:gridCol w:w="936"/>
        <w:gridCol w:w="326"/>
        <w:gridCol w:w="214"/>
        <w:gridCol w:w="944"/>
      </w:tblGrid>
      <w:tr>
        <w:trPr/>
        <w:tc>
          <w:tcPr>
            <w:tcW w:w="6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093845" cy="175260"/>
                      <wp:effectExtent l="0" t="0" r="0" b="0"/>
                      <wp:wrapNone/>
                      <wp:docPr id="16" name="Frame16"/>
                      <a:graphic xmlns:a="http://schemas.openxmlformats.org/drawingml/2006/main">
                        <a:graphicData uri="http://schemas.microsoft.com/office/word/2010/wordprocessingShape">
                          <wps:wsp>
                            <wps:cNvSpPr txBox="1"/>
                            <wps:spPr>
                              <a:xfrm>
                                <a:off x="0" y="0"/>
                                <a:ext cx="409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95910" cy="175260"/>
                      <wp:effectExtent l="0" t="0" r="0" b="0"/>
                      <wp:wrapNone/>
                      <wp:docPr id="18" name="Frame1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9700" cy="175260"/>
                      <wp:effectExtent l="0" t="0" r="0" b="0"/>
                      <wp:wrapNone/>
                      <wp:docPr id="20" name="Frame2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4360" cy="175260"/>
                      <wp:effectExtent l="0" t="0" r="0" b="0"/>
                      <wp:wrapNone/>
                      <wp:docPr id="21" name="Frame21"/>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5890" cy="175260"/>
                      <wp:effectExtent l="0" t="0" r="0" b="0"/>
                      <wp:wrapNone/>
                      <wp:docPr id="23" name="Frame2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9440" cy="175260"/>
                      <wp:effectExtent l="0" t="0" r="0" b="0"/>
                      <wp:wrapNone/>
                      <wp:docPr id="24" name="Frame24"/>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c>
          <w:tcPr>
            <w:tcW w:w="326" w:type="dxa"/>
            <w:tcBorders/>
            <w:vAlign w:val="center"/>
          </w:tcPr>
          <w:p>
            <w:pPr>
              <w:pStyle w:val="TableContents"/>
              <w:bidi w:val="0"/>
              <w:spacing w:before="0" w:after="0"/>
              <w:ind w:left="0" w:right="0" w:hanging="0"/>
              <w:jc w:val="left"/>
              <w:rPr/>
            </w:pPr>
            <w:r>
              <w:rPr/>
              <w:t>​</w:t>
            </w:r>
          </w:p>
        </w:tc>
        <w:tc>
          <w:tcPr>
            <w:tcW w:w="1158"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r>
      <w:tr>
        <w:trPr/>
        <w:tc>
          <w:tcPr>
            <w:tcW w:w="64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158"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6447"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  </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115,648</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3,480</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r>
      <w:tr>
        <w:trPr/>
        <w:tc>
          <w:tcPr>
            <w:tcW w:w="64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117,214</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5,331</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assets</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0"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42,951</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42,951</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development costs</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2,082</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10,387</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8,203</w:t>
            </w:r>
          </w:p>
        </w:tc>
      </w:tr>
      <w:tr>
        <w:trPr/>
        <w:tc>
          <w:tcPr>
            <w:tcW w:w="64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58,401</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57,667</w:t>
            </w:r>
          </w:p>
        </w:tc>
      </w:tr>
      <w:tr>
        <w:trPr/>
        <w:tc>
          <w:tcPr>
            <w:tcW w:w="64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175,615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62,998</w:t>
            </w:r>
          </w:p>
        </w:tc>
      </w:tr>
      <w:tr>
        <w:trPr/>
        <w:tc>
          <w:tcPr>
            <w:tcW w:w="64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center"/>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46,834</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42,754</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6,16</w:t>
            </w:r>
          </w:p>
        </w:tc>
        <w:tc>
          <w:tcPr>
            <w:tcW w:w="326" w:type="dxa"/>
            <w:tcBorders/>
            <w:vAlign w:val="center"/>
          </w:tcPr>
          <w:p>
            <w:pPr>
              <w:pStyle w:val="TableContents"/>
              <w:bidi w:val="0"/>
              <w:spacing w:before="0" w:after="0"/>
              <w:ind w:left="0" w:right="0" w:hanging="0"/>
              <w:jc w:val="center"/>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11,775</w:t>
            </w:r>
          </w:p>
        </w:tc>
      </w:tr>
      <w:tr>
        <w:trPr/>
        <w:tc>
          <w:tcPr>
            <w:tcW w:w="64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46,834</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54,529</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liability</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center"/>
              <w:rPr/>
            </w:pPr>
            <w:r>
              <w:rPr/>
              <w:t>​</w:t>
            </w:r>
          </w:p>
        </w:tc>
        <w:tc>
          <w:tcPr>
            <w:tcW w:w="220"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center"/>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13,730</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64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0"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169,405</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25,587</w:t>
            </w:r>
          </w:p>
        </w:tc>
      </w:tr>
      <w:tr>
        <w:trPr/>
        <w:tc>
          <w:tcPr>
            <w:tcW w:w="64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216,239</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80,116</w:t>
            </w:r>
          </w:p>
        </w:tc>
      </w:tr>
      <w:tr>
        <w:trPr/>
        <w:tc>
          <w:tcPr>
            <w:tcW w:w="64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shares </w:t>
            </w:r>
            <w:r>
              <w:rPr>
                <w:rFonts w:ascii="Times New Roman;Times;serif" w:hAnsi="Times New Roman;Times;serif"/>
                <w:i/>
                <w:sz w:val="20"/>
              </w:rPr>
              <w:t>(unlimited shares, no</w:t>
            </w:r>
            <w:r>
              <w:rPr>
                <w:rFonts w:ascii="Times New Roman;Times;serif" w:hAnsi="Times New Roman;Times;serif"/>
                <w:sz w:val="20"/>
              </w:rPr>
              <w:t xml:space="preserve"> </w:t>
            </w:r>
            <w:r>
              <w:rPr>
                <w:rFonts w:ascii="Times New Roman;Times;serif" w:hAnsi="Times New Roman;Times;serif"/>
                <w:i/>
                <w:sz w:val="20"/>
              </w:rPr>
              <w:t>par value – issued: 408,855,173</w:t>
            </w:r>
            <w:r>
              <w:rPr>
                <w:rFonts w:ascii="Times New Roman;Times;serif" w:hAnsi="Times New Roman;Times;serif"/>
                <w:sz w:val="20"/>
              </w:rPr>
              <w:t xml:space="preserve"> </w:t>
            </w:r>
            <w:r>
              <w:rPr>
                <w:rFonts w:ascii="Times New Roman;Times;serif" w:hAnsi="Times New Roman;Times;serif"/>
                <w:i/>
                <w:sz w:val="20"/>
              </w:rPr>
              <w:t>(December 31, 2024 –340,708,460))</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638,853</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477,217</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232,607</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138,303</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r>
      <w:tr>
        <w:trPr/>
        <w:tc>
          <w:tcPr>
            <w:tcW w:w="644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(910,881)</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(631,435)</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(40,624)</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(17,118)</w:t>
            </w:r>
          </w:p>
        </w:tc>
      </w:tr>
      <w:tr>
        <w:trPr/>
        <w:tc>
          <w:tcPr>
            <w:tcW w:w="64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4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175,615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62,998</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Nature of Operations </w:t>
      </w:r>
      <w:r>
        <w:rPr>
          <w:rFonts w:ascii="Times New Roman;Times;serif" w:hAnsi="Times New Roman;Times;serif"/>
          <w:i/>
          <w:sz w:val="20"/>
        </w:rPr>
        <w:t>(Note 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Contingent Liabilities </w:t>
      </w:r>
      <w:r>
        <w:rPr>
          <w:rFonts w:ascii="Times New Roman;Times;serif" w:hAnsi="Times New Roman;Times;serif"/>
          <w:i/>
          <w:sz w:val="20"/>
        </w:rPr>
        <w:t>(Note 17)</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5" w:name="_b3430915_6d2c_4414_93cf_5aa28ecb854d"/>
      <w:bookmarkEnd w:id="155"/>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156" w:name="CondensedConsolidatedStatementsofLossand"/>
      <w:bookmarkEnd w:id="156"/>
      <w:r>
        <w:rPr>
          <w:rFonts w:ascii="Times New Roman;Times;serif" w:hAnsi="Times New Roman;Times;serif"/>
          <w:b/>
          <w:sz w:val="20"/>
        </w:rPr>
        <w:t>Condensed Consolidated Statements of Loss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7" w:name="Tc_diGDz60JnEOFhHjaWJhAFw_28_0"/>
      <w:bookmarkStart w:id="158" w:name="Tc_kaNjXolWPkWH_1dcNDODdA_26_13"/>
      <w:bookmarkStart w:id="159" w:name="Tc_5bJ3T7lWkEGo66LXa3k0Bw_26_10"/>
      <w:bookmarkStart w:id="160" w:name="Tc_w3RiRUJM50Wy7A4LHJKM6w_26_7"/>
      <w:bookmarkStart w:id="161" w:name="Tc_njkb9XloR0mHB0jkzyCvvQ_26_4"/>
      <w:bookmarkStart w:id="162" w:name="Tc_IohEC_fZ00GfHDJNracVMA_26_0"/>
      <w:bookmarkStart w:id="163" w:name="Tc_8gu5Qd_GYESU9AK3Z1Bw5g_25_0"/>
      <w:bookmarkStart w:id="164" w:name="Tc_Cweek28EcU6MjE49M7n_Sg_23_13"/>
      <w:bookmarkStart w:id="165" w:name="Tc_4PWrF-mg1ECHOChXuux5-Q_23_10"/>
      <w:bookmarkStart w:id="166" w:name="Tc_Fm40Y-gu3kmejCvauAZv2Q_23_7"/>
      <w:bookmarkStart w:id="167" w:name="Tc_VB1PQdaO30W1E4XCv6gjLw_23_4"/>
      <w:bookmarkStart w:id="168" w:name="Tc_ls0KohDPmUqWjLgL0IE6GQ_23_0"/>
      <w:bookmarkStart w:id="169" w:name="Tc_N1I_2MThVE2v-aCrNWk5zg_21_14"/>
      <w:bookmarkStart w:id="170" w:name="Tc_zraa0DF5R0CaaO8DM4mCoA_21_8"/>
      <w:bookmarkStart w:id="171" w:name="Tc_zwooBIpFzEq-51M_Z4hqEQ_21_0"/>
      <w:bookmarkStart w:id="172" w:name="Tc_ULHdrgD_mkaHEAOu3i8AaA_19_13"/>
      <w:bookmarkStart w:id="173" w:name="Tc_8jE9I_cxUUCJmU6XNh0IXQ_19_10"/>
      <w:bookmarkStart w:id="174" w:name="Tc_BvHgE3CXvkyeUwVUcHKf4w_19_7"/>
      <w:bookmarkStart w:id="175" w:name="Tc_I10Z8TrODUW8xYXNlwR_yA_19_4"/>
      <w:bookmarkStart w:id="176" w:name="Tc_DvhqfIK5i0mMz6UIuiF4mA_19_0"/>
      <w:bookmarkStart w:id="177" w:name="Tc_zSSQGqSCrUavm3NpmhLc5g_17_2"/>
      <w:bookmarkStart w:id="178" w:name="Tc_zHnBf4_wM022X0T-cTh74g_17_0"/>
      <w:bookmarkStart w:id="179" w:name="Tc_Adw-dycDjUK_or_6jBTeEA_16_0"/>
      <w:bookmarkStart w:id="180" w:name="Tc_b_rIyIzBCkeQlcO428TfKg_15_0"/>
      <w:bookmarkStart w:id="181" w:name="Tc_7NWAOenyykO2Z7aefncRXA_14_2"/>
      <w:bookmarkStart w:id="182" w:name="Tc_n07bz-gRd02V1mI54U-XsA_14_0"/>
      <w:bookmarkStart w:id="183" w:name="Tc_QCSUYxx8fkeMGjP6dITCmQ_13_14"/>
      <w:bookmarkStart w:id="184" w:name="Tc_Wwju9SyGrE6_GH_iaBXN4A_13_8"/>
      <w:bookmarkStart w:id="185" w:name="Tc_ZLpFRyYCnkyHf5wVf2VKDw_13_2"/>
      <w:bookmarkStart w:id="186" w:name="Tc_0VlMTesOQUi8f3OqgEYlOA_13_0"/>
      <w:bookmarkStart w:id="187" w:name="Tc_uv_phHGaQ0CZFZ1G8YCoyw_12_14"/>
      <w:bookmarkStart w:id="188" w:name="Tc_HLdL-J7I4k6K9CVEbHeHbw_12_8"/>
      <w:bookmarkStart w:id="189" w:name="Tc_9CqxdEMjRUG6RLCWOhyJMw_12_2"/>
      <w:bookmarkStart w:id="190" w:name="Tc_SsjWg5XX1U-xeqIalNU_WA_12_0"/>
      <w:bookmarkStart w:id="191" w:name="Tc_M45jgsgdbEas5L0d6z6_Og_11_2"/>
      <w:bookmarkStart w:id="192" w:name="Tc_7zU4Ksn5gEuJdqfinqiDoA_11_0"/>
      <w:bookmarkStart w:id="193" w:name="Tc_5aWKJe9eW0eteu395_BNYQ_10_14"/>
      <w:bookmarkStart w:id="194" w:name="Tc_q2Au6IL4tU2vfyDfIut__w_10_8"/>
      <w:bookmarkStart w:id="195" w:name="Tc_xXplqVy6wEiNPzkZR6gSQA_10_2"/>
      <w:bookmarkStart w:id="196" w:name="Tc_0ETKPv8KT0a4tseqsohaaw_10_0"/>
      <w:bookmarkStart w:id="197" w:name="Tc_gcLlOKyr_0K4IkxPy0H9Qg_9_0"/>
      <w:bookmarkStart w:id="198" w:name="Tc_PjmyuzeOlkKp1ylY7N0IEQ_7_0"/>
      <w:bookmarkStart w:id="199" w:name="Tc_3BPXOA3UikmcvsNr0BmlAA_6_2"/>
      <w:bookmarkStart w:id="200" w:name="Tc_a_hJoSrsfUCC9o7a-XK83w_6_0"/>
      <w:bookmarkStart w:id="201" w:name="Tc_4b8muhZ0MkSM617ey2zB0g_5_13"/>
      <w:bookmarkStart w:id="202" w:name="Tc_y2wGd2_efEmCdalmfPwRVA_5_10"/>
      <w:bookmarkStart w:id="203" w:name="Tc_o_BR7EpB80K03gSKeZbBZQ_5_7"/>
      <w:bookmarkStart w:id="204" w:name="Tc_LIcznquhkkG1prZxCkbGKg_5_4"/>
      <w:bookmarkStart w:id="205" w:name="Tc_09iJQkYERUOaFFn1HyjtqQ_5_2"/>
      <w:bookmarkStart w:id="206" w:name="Tc_b6sYIFX-v0-Af-dLW4p_HA_5_0"/>
      <w:bookmarkStart w:id="207" w:name="Tc_7vtPv0WDXk6bD3kwB45B-A_4_0"/>
      <w:bookmarkStart w:id="208" w:name="Tc_Bphrltp6oUCizeAgsz__bQ_3_13"/>
      <w:bookmarkStart w:id="209" w:name="Tc_jKp8xCuzI0u1-SLeEt5Htw_3_10"/>
      <w:bookmarkStart w:id="210" w:name="Tc_1XC81EFBAk6E14nze-hcAQ_3_7"/>
      <w:bookmarkStart w:id="211" w:name="Tc_vufhmd44QkeIqy4QVJ_rzg_3_4"/>
      <w:bookmarkStart w:id="212" w:name="Tc_0OhzJA-bBkaxS40Js8hoDw_3_2"/>
      <w:bookmarkStart w:id="213" w:name="Tc_GAk2N5TK7kqrRP9M171x7A_2_10"/>
      <w:bookmarkStart w:id="214" w:name="Tc_AXVHItZ9EkWON__hRV-3-w_2_4"/>
      <w:bookmarkStart w:id="215" w:name="Tc_dx058D05YESE6rmu1uFM1A_1_10"/>
      <w:bookmarkStart w:id="216" w:name="Tc_d5NC_DOu-EufvVlbEVZvLQ_1_4"/>
      <w:bookmarkStart w:id="217" w:name="_3c378384_f80d_45b6_817c_5d7d2d2c0dc6"/>
      <w:bookmarkStart w:id="218" w:name="_83638f38_b21e_43d4_8831_7e9dd46db38b"/>
      <w:bookmarkStart w:id="219" w:name="Tc_diGDz60JnEOFhHjaWJhAFw_28_0"/>
      <w:bookmarkStart w:id="220" w:name="Tc_kaNjXolWPkWH_1dcNDODdA_26_13"/>
      <w:bookmarkStart w:id="221" w:name="Tc_5bJ3T7lWkEGo66LXa3k0Bw_26_10"/>
      <w:bookmarkStart w:id="222" w:name="Tc_w3RiRUJM50Wy7A4LHJKM6w_26_7"/>
      <w:bookmarkStart w:id="223" w:name="Tc_njkb9XloR0mHB0jkzyCvvQ_26_4"/>
      <w:bookmarkStart w:id="224" w:name="Tc_IohEC_fZ00GfHDJNracVMA_26_0"/>
      <w:bookmarkStart w:id="225" w:name="Tc_8gu5Qd_GYESU9AK3Z1Bw5g_25_0"/>
      <w:bookmarkStart w:id="226" w:name="Tc_Cweek28EcU6MjE49M7n_Sg_23_13"/>
      <w:bookmarkStart w:id="227" w:name="Tc_4PWrF-mg1ECHOChXuux5-Q_23_10"/>
      <w:bookmarkStart w:id="228" w:name="Tc_Fm40Y-gu3kmejCvauAZv2Q_23_7"/>
      <w:bookmarkStart w:id="229" w:name="Tc_VB1PQdaO30W1E4XCv6gjLw_23_4"/>
      <w:bookmarkStart w:id="230" w:name="Tc_ls0KohDPmUqWjLgL0IE6GQ_23_0"/>
      <w:bookmarkStart w:id="231" w:name="Tc_N1I_2MThVE2v-aCrNWk5zg_21_14"/>
      <w:bookmarkStart w:id="232" w:name="Tc_zraa0DF5R0CaaO8DM4mCoA_21_8"/>
      <w:bookmarkStart w:id="233" w:name="Tc_zwooBIpFzEq-51M_Z4hqEQ_21_0"/>
      <w:bookmarkStart w:id="234" w:name="Tc_ULHdrgD_mkaHEAOu3i8AaA_19_13"/>
      <w:bookmarkStart w:id="235" w:name="Tc_8jE9I_cxUUCJmU6XNh0IXQ_19_10"/>
      <w:bookmarkStart w:id="236" w:name="Tc_BvHgE3CXvkyeUwVUcHKf4w_19_7"/>
      <w:bookmarkStart w:id="237" w:name="Tc_I10Z8TrODUW8xYXNlwR_yA_19_4"/>
      <w:bookmarkStart w:id="238" w:name="Tc_DvhqfIK5i0mMz6UIuiF4mA_19_0"/>
      <w:bookmarkStart w:id="239" w:name="Tc_zSSQGqSCrUavm3NpmhLc5g_17_2"/>
      <w:bookmarkStart w:id="240" w:name="Tc_zHnBf4_wM022X0T-cTh74g_17_0"/>
      <w:bookmarkStart w:id="241" w:name="Tc_Adw-dycDjUK_or_6jBTeEA_16_0"/>
      <w:bookmarkStart w:id="242" w:name="Tc_b_rIyIzBCkeQlcO428TfKg_15_0"/>
      <w:bookmarkStart w:id="243" w:name="Tc_7NWAOenyykO2Z7aefncRXA_14_2"/>
      <w:bookmarkStart w:id="244" w:name="Tc_n07bz-gRd02V1mI54U-XsA_14_0"/>
      <w:bookmarkStart w:id="245" w:name="Tc_QCSUYxx8fkeMGjP6dITCmQ_13_14"/>
      <w:bookmarkStart w:id="246" w:name="Tc_Wwju9SyGrE6_GH_iaBXN4A_13_8"/>
      <w:bookmarkStart w:id="247" w:name="Tc_ZLpFRyYCnkyHf5wVf2VKDw_13_2"/>
      <w:bookmarkStart w:id="248" w:name="Tc_0VlMTesOQUi8f3OqgEYlOA_13_0"/>
      <w:bookmarkStart w:id="249" w:name="Tc_uv_phHGaQ0CZFZ1G8YCoyw_12_14"/>
      <w:bookmarkStart w:id="250" w:name="Tc_HLdL-J7I4k6K9CVEbHeHbw_12_8"/>
      <w:bookmarkStart w:id="251" w:name="Tc_9CqxdEMjRUG6RLCWOhyJMw_12_2"/>
      <w:bookmarkStart w:id="252" w:name="Tc_SsjWg5XX1U-xeqIalNU_WA_12_0"/>
      <w:bookmarkStart w:id="253" w:name="Tc_M45jgsgdbEas5L0d6z6_Og_11_2"/>
      <w:bookmarkStart w:id="254" w:name="Tc_7zU4Ksn5gEuJdqfinqiDoA_11_0"/>
      <w:bookmarkStart w:id="255" w:name="Tc_5aWKJe9eW0eteu395_BNYQ_10_14"/>
      <w:bookmarkStart w:id="256" w:name="Tc_q2Au6IL4tU2vfyDfIut__w_10_8"/>
      <w:bookmarkStart w:id="257" w:name="Tc_xXplqVy6wEiNPzkZR6gSQA_10_2"/>
      <w:bookmarkStart w:id="258" w:name="Tc_0ETKPv8KT0a4tseqsohaaw_10_0"/>
      <w:bookmarkStart w:id="259" w:name="Tc_gcLlOKyr_0K4IkxPy0H9Qg_9_0"/>
      <w:bookmarkStart w:id="260" w:name="Tc_PjmyuzeOlkKp1ylY7N0IEQ_7_0"/>
      <w:bookmarkStart w:id="261" w:name="Tc_3BPXOA3UikmcvsNr0BmlAA_6_2"/>
      <w:bookmarkStart w:id="262" w:name="Tc_a_hJoSrsfUCC9o7a-XK83w_6_0"/>
      <w:bookmarkStart w:id="263" w:name="Tc_4b8muhZ0MkSM617ey2zB0g_5_13"/>
      <w:bookmarkStart w:id="264" w:name="Tc_y2wGd2_efEmCdalmfPwRVA_5_10"/>
      <w:bookmarkStart w:id="265" w:name="Tc_o_BR7EpB80K03gSKeZbBZQ_5_7"/>
      <w:bookmarkStart w:id="266" w:name="Tc_LIcznquhkkG1prZxCkbGKg_5_4"/>
      <w:bookmarkStart w:id="267" w:name="Tc_09iJQkYERUOaFFn1HyjtqQ_5_2"/>
      <w:bookmarkStart w:id="268" w:name="Tc_b6sYIFX-v0-Af-dLW4p_HA_5_0"/>
      <w:bookmarkStart w:id="269" w:name="Tc_7vtPv0WDXk6bD3kwB45B-A_4_0"/>
      <w:bookmarkStart w:id="270" w:name="Tc_Bphrltp6oUCizeAgsz__bQ_3_13"/>
      <w:bookmarkStart w:id="271" w:name="Tc_jKp8xCuzI0u1-SLeEt5Htw_3_10"/>
      <w:bookmarkStart w:id="272" w:name="Tc_1XC81EFBAk6E14nze-hcAQ_3_7"/>
      <w:bookmarkStart w:id="273" w:name="Tc_vufhmd44QkeIqy4QVJ_rzg_3_4"/>
      <w:bookmarkStart w:id="274" w:name="Tc_0OhzJA-bBkaxS40Js8hoDw_3_2"/>
      <w:bookmarkStart w:id="275" w:name="Tc_GAk2N5TK7kqrRP9M171x7A_2_10"/>
      <w:bookmarkStart w:id="276" w:name="Tc_AXVHItZ9EkWON__hRV-3-w_2_4"/>
      <w:bookmarkStart w:id="277" w:name="Tc_dx058D05YESE6rmu1uFM1A_1_10"/>
      <w:bookmarkStart w:id="278" w:name="Tc_d5NC_DOu-EufvVlbEVZvLQ_1_4"/>
      <w:bookmarkStart w:id="279" w:name="_3c378384_f80d_45b6_817c_5d7d2d2c0dc6"/>
      <w:bookmarkStart w:id="280" w:name="_83638f38_b21e_43d4_8831_7e9dd46db38b"/>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tbl>
      <w:tblPr>
        <w:tblW w:w="10205" w:type="dxa"/>
        <w:jc w:val="left"/>
        <w:tblInd w:w="0" w:type="dxa"/>
        <w:tblLayout w:type="fixed"/>
        <w:tblCellMar>
          <w:top w:w="0" w:type="dxa"/>
          <w:left w:w="0" w:type="dxa"/>
          <w:bottom w:w="0" w:type="dxa"/>
          <w:right w:w="0" w:type="dxa"/>
        </w:tblCellMar>
      </w:tblPr>
      <w:tblGrid>
        <w:gridCol w:w="2598"/>
        <w:gridCol w:w="326"/>
        <w:gridCol w:w="463"/>
        <w:gridCol w:w="326"/>
        <w:gridCol w:w="211"/>
        <w:gridCol w:w="1141"/>
        <w:gridCol w:w="326"/>
        <w:gridCol w:w="211"/>
        <w:gridCol w:w="1141"/>
        <w:gridCol w:w="326"/>
        <w:gridCol w:w="211"/>
        <w:gridCol w:w="1141"/>
        <w:gridCol w:w="326"/>
        <w:gridCol w:w="211"/>
        <w:gridCol w:w="1247"/>
      </w:tblGrid>
      <w:tr>
        <w:trPr/>
        <w:tc>
          <w:tcPr>
            <w:tcW w:w="2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649730" cy="175260"/>
                      <wp:effectExtent l="0" t="0" r="0" b="0"/>
                      <wp:wrapNone/>
                      <wp:docPr id="25" name="Frame25"/>
                      <a:graphic xmlns:a="http://schemas.openxmlformats.org/drawingml/2006/main">
                        <a:graphicData uri="http://schemas.microsoft.com/office/word/2010/wordprocessingShape">
                          <wps:wsp>
                            <wps:cNvSpPr txBox="1"/>
                            <wps:spPr>
                              <a:xfrm>
                                <a:off x="0" y="0"/>
                                <a:ext cx="164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94005" cy="175260"/>
                      <wp:effectExtent l="0" t="0" r="0" b="0"/>
                      <wp:wrapNone/>
                      <wp:docPr id="27" name="Frame27"/>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24535" cy="175260"/>
                      <wp:effectExtent l="0" t="0" r="0" b="0"/>
                      <wp:wrapNone/>
                      <wp:docPr id="30" name="Frame3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24535" cy="175260"/>
                      <wp:effectExtent l="0" t="0" r="0" b="0"/>
                      <wp:wrapNone/>
                      <wp:docPr id="33" name="Frame3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24535" cy="175260"/>
                      <wp:effectExtent l="0" t="0" r="0" b="0"/>
                      <wp:wrapNone/>
                      <wp:docPr id="36" name="Frame3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91845" cy="175260"/>
                      <wp:effectExtent l="0" t="0" r="0" b="0"/>
                      <wp:wrapNone/>
                      <wp:docPr id="39" name="Frame39"/>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31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5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1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5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25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46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left"/>
              <w:rPr/>
            </w:pPr>
            <w:r>
              <w:rPr/>
              <w:t>  </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2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42,339</w:t>
            </w:r>
          </w:p>
        </w:tc>
      </w:tr>
      <w:tr>
        <w:trPr/>
        <w:tc>
          <w:tcPr>
            <w:tcW w:w="25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45,726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22,600</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55,359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19,962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95,349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64,939</w:t>
            </w:r>
          </w:p>
        </w:tc>
      </w:tr>
      <w:tr>
        <w:trPr/>
        <w:tc>
          <w:tcPr>
            <w:tcW w:w="25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items</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  </w:t>
            </w:r>
          </w:p>
        </w:tc>
      </w:tr>
      <w:tr>
        <w:trPr/>
        <w:tc>
          <w:tcPr>
            <w:tcW w:w="25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 and Tonga Warrant costs</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5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dilution of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royalty liability</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r>
      <w:tr>
        <w:trPr/>
        <w:tc>
          <w:tcPr>
            <w:tcW w:w="25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32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r>
      <w:tr>
        <w:trPr/>
        <w:tc>
          <w:tcPr>
            <w:tcW w:w="25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borrowings and credit facilities</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6, 16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r>
      <w:tr>
        <w:trPr/>
        <w:tc>
          <w:tcPr>
            <w:tcW w:w="25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and comprehensive loss for the period, before tax</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184,394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20,520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279,323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65,882</w:t>
            </w:r>
          </w:p>
        </w:tc>
      </w:tr>
      <w:tr>
        <w:trPr/>
        <w:tc>
          <w:tcPr>
            <w:tcW w:w="25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expense</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47" w:type="dxa"/>
            <w:tcBorders/>
            <w:vAlign w:val="center"/>
          </w:tcPr>
          <w:p>
            <w:pPr>
              <w:pStyle w:val="TableContents"/>
              <w:bidi w:val="0"/>
              <w:spacing w:before="0" w:after="0"/>
              <w:ind w:left="0" w:right="0" w:hanging="0"/>
              <w:jc w:val="right"/>
              <w:rPr/>
            </w:pPr>
            <w:r>
              <w:rPr/>
              <w:t>—</w:t>
            </w:r>
          </w:p>
        </w:tc>
      </w:tr>
      <w:tr>
        <w:trPr/>
        <w:tc>
          <w:tcPr>
            <w:tcW w:w="25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and comprehensive loss for the period, after tax</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184,517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20,520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279,446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65,882</w:t>
            </w:r>
          </w:p>
        </w:tc>
      </w:tr>
      <w:tr>
        <w:trPr/>
        <w:tc>
          <w:tcPr>
            <w:tcW w:w="25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share</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r>
      <w:tr>
        <w:trPr/>
        <w:tc>
          <w:tcPr>
            <w:tcW w:w="25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Basic and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4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0.21</w:t>
            </w:r>
          </w:p>
        </w:tc>
      </w:tr>
      <w:tr>
        <w:trPr/>
        <w:tc>
          <w:tcPr>
            <w:tcW w:w="25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r>
      <w:tr>
        <w:trPr/>
        <w:tc>
          <w:tcPr>
            <w:tcW w:w="25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 – basic and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4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405,506,978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323,663,607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372,713,658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318,710,622</w:t>
            </w:r>
          </w:p>
        </w:tc>
      </w:tr>
    </w:tbl>
    <w:p>
      <w:pPr>
        <w:pStyle w:val="TextBody"/>
        <w:bidi w:val="0"/>
        <w:spacing w:before="0" w:after="0"/>
        <w:ind w:left="0" w:right="0" w:hanging="0"/>
        <w:jc w:val="both"/>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1" w:name="_cf42ec75_41b8_42d9_8ed9_0801bf330a91"/>
      <w:bookmarkEnd w:id="281"/>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282" w:name="CondensedConsolidatedStatementsofChanges"/>
      <w:bookmarkEnd w:id="282"/>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83" w:name="Tc_dFlymH-uhECb43zr1eTOZQ_14_22"/>
      <w:bookmarkStart w:id="284" w:name="Tc_TLOkoCB0kUiMy-A3xCQ_SQ_14_19"/>
      <w:bookmarkStart w:id="285" w:name="Tc_IKrX3YQmQEaNHZ9DiwYkTA_14_16"/>
      <w:bookmarkStart w:id="286" w:name="Tc_tBTWuCptbka_eqXObpmz3g_14_13"/>
      <w:bookmarkStart w:id="287" w:name="Tc_ps3nXXRquEG-CwHgrcHeYg_14_11"/>
      <w:bookmarkStart w:id="288" w:name="Tc_HR607V5y20SleJwOVoggBw_14_10"/>
      <w:bookmarkStart w:id="289" w:name="Tc_xyl8x2kde0WtGyyFbx5Ucg_14_8"/>
      <w:bookmarkStart w:id="290" w:name="Tc_C7QC6oxBZUeCNHSpj8E3TQ_14_7"/>
      <w:bookmarkStart w:id="291" w:name="Tc_74Zr-ruSekOnuBWc-TUDBQ_14_4"/>
      <w:bookmarkStart w:id="292" w:name="Tc_lBXqN1JqBkynohYZVnGm5w_14_0"/>
      <w:bookmarkStart w:id="293" w:name="Tc_HtykvYOVcUqVoVrv0DnU_g_13_17"/>
      <w:bookmarkStart w:id="294" w:name="Tc_qpLRqH31EkSGt09WFoLdYA_13_14"/>
      <w:bookmarkStart w:id="295" w:name="Tc_IuK_d0PAtkeZwPHACGW7pA_13_11"/>
      <w:bookmarkStart w:id="296" w:name="Tc_m3e4t5Z8HkCOrcFneWPirw_13_8"/>
      <w:bookmarkStart w:id="297" w:name="Tc_pZbwAn9uMUWYsQSLwiERnA_13_5"/>
      <w:bookmarkStart w:id="298" w:name="Tc_2ZP43-KJe06MdblP2A4lbA_13_2"/>
      <w:bookmarkStart w:id="299" w:name="Tc_deMAVdR65EK8Rzx3vb-YvA_13_0"/>
      <w:bookmarkStart w:id="300" w:name="Tc_vMCarZXZfkSTIcIJHtK2pw_12_20"/>
      <w:bookmarkStart w:id="301" w:name="Tc_x9duMqNimUuWI_IjT1Juwg_12_17"/>
      <w:bookmarkStart w:id="302" w:name="Tc_G4e_9_wHfUuuuf_xnfAiow_12_11"/>
      <w:bookmarkStart w:id="303" w:name="Tc_1GMZiu43nUK7dRq80MSxLA_12_8"/>
      <w:bookmarkStart w:id="304" w:name="Tc_kmAKO_YPL0e6bHLzJLhtSQ_12_5"/>
      <w:bookmarkStart w:id="305" w:name="Tc_1ve9e_vKW0a2ivfxs9fvPA_12_2"/>
      <w:bookmarkStart w:id="306" w:name="Tc_iMNKdqN0Y0WtWFjEF8PzjA_12_0"/>
      <w:bookmarkStart w:id="307" w:name="Tc_4QyUSoda7E-vNhVE27YSmw_11_23"/>
      <w:bookmarkStart w:id="308" w:name="Tc_YNaflDbcREWKLyXgAV3B3g_11_20"/>
      <w:bookmarkStart w:id="309" w:name="Tc_Tl8odl5nN0-SOSlAdQ_2EQ_11_17"/>
      <w:bookmarkStart w:id="310" w:name="Tc_WspxhO8HUUq0Y0OhlCEZsg_11_11"/>
      <w:bookmarkStart w:id="311" w:name="Tc_KW3JC9ziYUK-2E75DnAThg_11_8"/>
      <w:bookmarkStart w:id="312" w:name="Tc_-vgsVzgaKkqWzmEbTu4FGg_11_0"/>
      <w:bookmarkStart w:id="313" w:name="Tc_2_NFcvu0k0uO4l5lgyhYhA_10_20"/>
      <w:bookmarkStart w:id="314" w:name="Tc_-YM-r9z_jU6FQO51O_kn2Q_10_17"/>
      <w:bookmarkStart w:id="315" w:name="Tc_n8Ff9qFXkUOHrAUvnieGgQ_10_11"/>
      <w:bookmarkStart w:id="316" w:name="Tc_eAP5BonmREuGWIJbHVgkOw_10_8"/>
      <w:bookmarkStart w:id="317" w:name="Tc_wCg5pMWVT0SUWq_9hBG22Q_10_5"/>
      <w:bookmarkStart w:id="318" w:name="Tc_wSUbm4WPc0-QFvDaRoLqXQ_10_2"/>
      <w:bookmarkStart w:id="319" w:name="Tc_CVIwj8JQRUuwR6jfqO-f0w_10_0"/>
      <w:bookmarkStart w:id="320" w:name="Tc_lTD_hZkuGEG_ZFA5QBw5kQ_9_20"/>
      <w:bookmarkStart w:id="321" w:name="Tc__Tqiy087KkOGllsL1XI0hw_9_17"/>
      <w:bookmarkStart w:id="322" w:name="Tc_UZnjJZ_PS0qq2-sx19njDg_9_11"/>
      <w:bookmarkStart w:id="323" w:name="Tc_lEfLz1itAkar3tJE-pL7Iw_9_8"/>
      <w:bookmarkStart w:id="324" w:name="Tc_5UL9nvUlu0uFUCVxL3463Q_9_0"/>
      <w:bookmarkStart w:id="325" w:name="Tc_8v3gnMOHKU2a-KnfL7XwAQ_8_23"/>
      <w:bookmarkStart w:id="326" w:name="Tc_-I9MLEj2nkGyNd5_Hv7D-Q_8_20"/>
      <w:bookmarkStart w:id="327" w:name="Tc_lPYGuEPi0E22g0g1Zok0YQ_8_17"/>
      <w:bookmarkStart w:id="328" w:name="Tc_lj9aKWzvVEa-ig3hLnT_rw_8_11"/>
      <w:bookmarkStart w:id="329" w:name="Tc_0aT878swfUSnt1LgFFt6Ww_8_8"/>
      <w:bookmarkStart w:id="330" w:name="Tc_8gbPuTwLPUCsGLDzS-Grcw_8_0"/>
      <w:bookmarkStart w:id="331" w:name="Tc_p4l7sQooEEuArtslfs5AZA_7_20"/>
      <w:bookmarkStart w:id="332" w:name="Tc_UQb0n3YZlEaUwYJ1zS9Syw_7_17"/>
      <w:bookmarkStart w:id="333" w:name="Tc_eEcknunFvU64lea24-as7Q_7_11"/>
      <w:bookmarkStart w:id="334" w:name="Tc_FUH6d0ENAkOc6xjU-jr7rQ_7_8"/>
      <w:bookmarkStart w:id="335" w:name="Tc_NPRlJ70AtESeSGcv86Y6Fg_7_0"/>
      <w:bookmarkStart w:id="336" w:name="Tc_CEiqyfTRBkmdVYocFwRhvw_6_20"/>
      <w:bookmarkStart w:id="337" w:name="Tc_jRqS6nwTv0GBbUfzlAUcJw_6_17"/>
      <w:bookmarkStart w:id="338" w:name="Tc_iqENdrE3FUiDhpzmgK9A7g_6_11"/>
      <w:bookmarkStart w:id="339" w:name="Tc_1-QTPjBR-0Sh_RJ9IHWnzQ_6_8"/>
      <w:bookmarkStart w:id="340" w:name="Tc_EKyGNVSNM0etE4poXfdEQQ_6_0"/>
      <w:bookmarkStart w:id="341" w:name="Tc_0XLH513C8kqhU6RXNIcKgA_5_22"/>
      <w:bookmarkStart w:id="342" w:name="Tc_ugc8uBIg50K73m785jMQxg_5_19"/>
      <w:bookmarkStart w:id="343" w:name="Tc_Yldvw-ABiU2pkmB3nhUadw_5_16"/>
      <w:bookmarkStart w:id="344" w:name="Tc_ZmE5aYUOQEGGHvfE2_6R-w_5_13"/>
      <w:bookmarkStart w:id="345" w:name="Tc_X1qf3siM3U-UZSq49HWimg_5_11"/>
      <w:bookmarkStart w:id="346" w:name="Tc_pZ-uSKgRU0SUhblMpxyBqw_5_10"/>
      <w:bookmarkStart w:id="347" w:name="Tc_VBco7ksXBEaoU9aLg2sucw_5_8"/>
      <w:bookmarkStart w:id="348" w:name="Tc_2kyX0C_m3E6mDM6PO6WtWQ_5_7"/>
      <w:bookmarkStart w:id="349" w:name="Tc_mgUNjNmtd0qYdy1bKWYnsw_5_4"/>
      <w:bookmarkStart w:id="350" w:name="Tc_aYJrDdNe20SjQxExd8FZCA_5_0"/>
      <w:bookmarkStart w:id="351" w:name="Tc_yhd-TRZGf0WVBAiAF7ewug_4_22"/>
      <w:bookmarkStart w:id="352" w:name="Tc_4838yhvJwU60krIMwP5iDg_4_19"/>
      <w:bookmarkStart w:id="353" w:name="Tc_aOh0RA_pj0mqalTK5T2NuQ_4_16"/>
      <w:bookmarkStart w:id="354" w:name="Tc_s4SeWBHOBkGJkqE0J02jig_4_13"/>
      <w:bookmarkStart w:id="355" w:name="Tc_gDBsM1Mzikyhp1ikajhluA_4_10"/>
      <w:bookmarkStart w:id="356" w:name="Tc_gzB48EVTB0CsETgFxUKAMw_4_7"/>
      <w:bookmarkStart w:id="357" w:name="Tc_lTIOOhAt60uIXgrMuApEUg_4_5"/>
      <w:bookmarkStart w:id="358" w:name="Tc_UNP9dPuwi0SoAJoEOyVVwA_4_2"/>
      <w:bookmarkStart w:id="359" w:name="Tc_oZRuTioKrUeut57YAh8n6g_4_0"/>
      <w:bookmarkStart w:id="360" w:name="Tc__HfYqhSxPUe7UnDwGy2TMg_3_16"/>
      <w:bookmarkStart w:id="361" w:name="Tc_EgeiJRmhOkiH7wbPssd3pA_3_13"/>
      <w:bookmarkStart w:id="362" w:name="Tc_j71BZFcaeU-l7GJg7ifopA_3_10"/>
      <w:bookmarkStart w:id="363" w:name="Tc_K60kc7pUXEmJbnECC4yEYw_3_7"/>
      <w:bookmarkStart w:id="364" w:name="Tc_8setMs5Ns0Kc2vKJqUnhtA_3_2"/>
      <w:bookmarkStart w:id="365" w:name="Tc_SyTSYJ_v_kqxfNMoM7ZT1g_2_16"/>
      <w:bookmarkStart w:id="366" w:name="Tc_VoxTF6arqEW2Y4s2PBcVdw_2_13"/>
      <w:bookmarkStart w:id="367" w:name="Tc_xHygIDqGKE6e1lLagKuRQg_1_16"/>
      <w:bookmarkStart w:id="368" w:name="_e0a85aaa_9394_41de_bf68_8fc47e235eca"/>
      <w:bookmarkStart w:id="369" w:name="Tc_dFlymH-uhECb43zr1eTOZQ_14_22"/>
      <w:bookmarkStart w:id="370" w:name="Tc_TLOkoCB0kUiMy-A3xCQ_SQ_14_19"/>
      <w:bookmarkStart w:id="371" w:name="Tc_IKrX3YQmQEaNHZ9DiwYkTA_14_16"/>
      <w:bookmarkStart w:id="372" w:name="Tc_tBTWuCptbka_eqXObpmz3g_14_13"/>
      <w:bookmarkStart w:id="373" w:name="Tc_ps3nXXRquEG-CwHgrcHeYg_14_11"/>
      <w:bookmarkStart w:id="374" w:name="Tc_HR607V5y20SleJwOVoggBw_14_10"/>
      <w:bookmarkStart w:id="375" w:name="Tc_xyl8x2kde0WtGyyFbx5Ucg_14_8"/>
      <w:bookmarkStart w:id="376" w:name="Tc_C7QC6oxBZUeCNHSpj8E3TQ_14_7"/>
      <w:bookmarkStart w:id="377" w:name="Tc_74Zr-ruSekOnuBWc-TUDBQ_14_4"/>
      <w:bookmarkStart w:id="378" w:name="Tc_lBXqN1JqBkynohYZVnGm5w_14_0"/>
      <w:bookmarkStart w:id="379" w:name="Tc_HtykvYOVcUqVoVrv0DnU_g_13_17"/>
      <w:bookmarkStart w:id="380" w:name="Tc_qpLRqH31EkSGt09WFoLdYA_13_14"/>
      <w:bookmarkStart w:id="381" w:name="Tc_IuK_d0PAtkeZwPHACGW7pA_13_11"/>
      <w:bookmarkStart w:id="382" w:name="Tc_m3e4t5Z8HkCOrcFneWPirw_13_8"/>
      <w:bookmarkStart w:id="383" w:name="Tc_pZbwAn9uMUWYsQSLwiERnA_13_5"/>
      <w:bookmarkStart w:id="384" w:name="Tc_2ZP43-KJe06MdblP2A4lbA_13_2"/>
      <w:bookmarkStart w:id="385" w:name="Tc_deMAVdR65EK8Rzx3vb-YvA_13_0"/>
      <w:bookmarkStart w:id="386" w:name="Tc_vMCarZXZfkSTIcIJHtK2pw_12_20"/>
      <w:bookmarkStart w:id="387" w:name="Tc_x9duMqNimUuWI_IjT1Juwg_12_17"/>
      <w:bookmarkStart w:id="388" w:name="Tc_G4e_9_wHfUuuuf_xnfAiow_12_11"/>
      <w:bookmarkStart w:id="389" w:name="Tc_1GMZiu43nUK7dRq80MSxLA_12_8"/>
      <w:bookmarkStart w:id="390" w:name="Tc_kmAKO_YPL0e6bHLzJLhtSQ_12_5"/>
      <w:bookmarkStart w:id="391" w:name="Tc_1ve9e_vKW0a2ivfxs9fvPA_12_2"/>
      <w:bookmarkStart w:id="392" w:name="Tc_iMNKdqN0Y0WtWFjEF8PzjA_12_0"/>
      <w:bookmarkStart w:id="393" w:name="Tc_4QyUSoda7E-vNhVE27YSmw_11_23"/>
      <w:bookmarkStart w:id="394" w:name="Tc_YNaflDbcREWKLyXgAV3B3g_11_20"/>
      <w:bookmarkStart w:id="395" w:name="Tc_Tl8odl5nN0-SOSlAdQ_2EQ_11_17"/>
      <w:bookmarkStart w:id="396" w:name="Tc_WspxhO8HUUq0Y0OhlCEZsg_11_11"/>
      <w:bookmarkStart w:id="397" w:name="Tc_KW3JC9ziYUK-2E75DnAThg_11_8"/>
      <w:bookmarkStart w:id="398" w:name="Tc_-vgsVzgaKkqWzmEbTu4FGg_11_0"/>
      <w:bookmarkStart w:id="399" w:name="Tc_2_NFcvu0k0uO4l5lgyhYhA_10_20"/>
      <w:bookmarkStart w:id="400" w:name="Tc_-YM-r9z_jU6FQO51O_kn2Q_10_17"/>
      <w:bookmarkStart w:id="401" w:name="Tc_n8Ff9qFXkUOHrAUvnieGgQ_10_11"/>
      <w:bookmarkStart w:id="402" w:name="Tc_eAP5BonmREuGWIJbHVgkOw_10_8"/>
      <w:bookmarkStart w:id="403" w:name="Tc_wCg5pMWVT0SUWq_9hBG22Q_10_5"/>
      <w:bookmarkStart w:id="404" w:name="Tc_wSUbm4WPc0-QFvDaRoLqXQ_10_2"/>
      <w:bookmarkStart w:id="405" w:name="Tc_CVIwj8JQRUuwR6jfqO-f0w_10_0"/>
      <w:bookmarkStart w:id="406" w:name="Tc_lTD_hZkuGEG_ZFA5QBw5kQ_9_20"/>
      <w:bookmarkStart w:id="407" w:name="Tc__Tqiy087KkOGllsL1XI0hw_9_17"/>
      <w:bookmarkStart w:id="408" w:name="Tc_UZnjJZ_PS0qq2-sx19njDg_9_11"/>
      <w:bookmarkStart w:id="409" w:name="Tc_lEfLz1itAkar3tJE-pL7Iw_9_8"/>
      <w:bookmarkStart w:id="410" w:name="Tc_5UL9nvUlu0uFUCVxL3463Q_9_0"/>
      <w:bookmarkStart w:id="411" w:name="Tc_8v3gnMOHKU2a-KnfL7XwAQ_8_23"/>
      <w:bookmarkStart w:id="412" w:name="Tc_-I9MLEj2nkGyNd5_Hv7D-Q_8_20"/>
      <w:bookmarkStart w:id="413" w:name="Tc_lPYGuEPi0E22g0g1Zok0YQ_8_17"/>
      <w:bookmarkStart w:id="414" w:name="Tc_lj9aKWzvVEa-ig3hLnT_rw_8_11"/>
      <w:bookmarkStart w:id="415" w:name="Tc_0aT878swfUSnt1LgFFt6Ww_8_8"/>
      <w:bookmarkStart w:id="416" w:name="Tc_8gbPuTwLPUCsGLDzS-Grcw_8_0"/>
      <w:bookmarkStart w:id="417" w:name="Tc_p4l7sQooEEuArtslfs5AZA_7_20"/>
      <w:bookmarkStart w:id="418" w:name="Tc_UQb0n3YZlEaUwYJ1zS9Syw_7_17"/>
      <w:bookmarkStart w:id="419" w:name="Tc_eEcknunFvU64lea24-as7Q_7_11"/>
      <w:bookmarkStart w:id="420" w:name="Tc_FUH6d0ENAkOc6xjU-jr7rQ_7_8"/>
      <w:bookmarkStart w:id="421" w:name="Tc_NPRlJ70AtESeSGcv86Y6Fg_7_0"/>
      <w:bookmarkStart w:id="422" w:name="Tc_CEiqyfTRBkmdVYocFwRhvw_6_20"/>
      <w:bookmarkStart w:id="423" w:name="Tc_jRqS6nwTv0GBbUfzlAUcJw_6_17"/>
      <w:bookmarkStart w:id="424" w:name="Tc_iqENdrE3FUiDhpzmgK9A7g_6_11"/>
      <w:bookmarkStart w:id="425" w:name="Tc_1-QTPjBR-0Sh_RJ9IHWnzQ_6_8"/>
      <w:bookmarkStart w:id="426" w:name="Tc_EKyGNVSNM0etE4poXfdEQQ_6_0"/>
      <w:bookmarkStart w:id="427" w:name="Tc_0XLH513C8kqhU6RXNIcKgA_5_22"/>
      <w:bookmarkStart w:id="428" w:name="Tc_ugc8uBIg50K73m785jMQxg_5_19"/>
      <w:bookmarkStart w:id="429" w:name="Tc_Yldvw-ABiU2pkmB3nhUadw_5_16"/>
      <w:bookmarkStart w:id="430" w:name="Tc_ZmE5aYUOQEGGHvfE2_6R-w_5_13"/>
      <w:bookmarkStart w:id="431" w:name="Tc_X1qf3siM3U-UZSq49HWimg_5_11"/>
      <w:bookmarkStart w:id="432" w:name="Tc_pZ-uSKgRU0SUhblMpxyBqw_5_10"/>
      <w:bookmarkStart w:id="433" w:name="Tc_VBco7ksXBEaoU9aLg2sucw_5_8"/>
      <w:bookmarkStart w:id="434" w:name="Tc_2kyX0C_m3E6mDM6PO6WtWQ_5_7"/>
      <w:bookmarkStart w:id="435" w:name="Tc_mgUNjNmtd0qYdy1bKWYnsw_5_4"/>
      <w:bookmarkStart w:id="436" w:name="Tc_aYJrDdNe20SjQxExd8FZCA_5_0"/>
      <w:bookmarkStart w:id="437" w:name="Tc_yhd-TRZGf0WVBAiAF7ewug_4_22"/>
      <w:bookmarkStart w:id="438" w:name="Tc_4838yhvJwU60krIMwP5iDg_4_19"/>
      <w:bookmarkStart w:id="439" w:name="Tc_aOh0RA_pj0mqalTK5T2NuQ_4_16"/>
      <w:bookmarkStart w:id="440" w:name="Tc_s4SeWBHOBkGJkqE0J02jig_4_13"/>
      <w:bookmarkStart w:id="441" w:name="Tc_gDBsM1Mzikyhp1ikajhluA_4_10"/>
      <w:bookmarkStart w:id="442" w:name="Tc_gzB48EVTB0CsETgFxUKAMw_4_7"/>
      <w:bookmarkStart w:id="443" w:name="Tc_lTIOOhAt60uIXgrMuApEUg_4_5"/>
      <w:bookmarkStart w:id="444" w:name="Tc_UNP9dPuwi0SoAJoEOyVVwA_4_2"/>
      <w:bookmarkStart w:id="445" w:name="Tc_oZRuTioKrUeut57YAh8n6g_4_0"/>
      <w:bookmarkStart w:id="446" w:name="Tc__HfYqhSxPUe7UnDwGy2TMg_3_16"/>
      <w:bookmarkStart w:id="447" w:name="Tc_EgeiJRmhOkiH7wbPssd3pA_3_13"/>
      <w:bookmarkStart w:id="448" w:name="Tc_j71BZFcaeU-l7GJg7ifopA_3_10"/>
      <w:bookmarkStart w:id="449" w:name="Tc_K60kc7pUXEmJbnECC4yEYw_3_7"/>
      <w:bookmarkStart w:id="450" w:name="Tc_8setMs5Ns0Kc2vKJqUnhtA_3_2"/>
      <w:bookmarkStart w:id="451" w:name="Tc_SyTSYJ_v_kqxfNMoM7ZT1g_2_16"/>
      <w:bookmarkStart w:id="452" w:name="Tc_VoxTF6arqEW2Y4s2PBcVdw_2_13"/>
      <w:bookmarkStart w:id="453" w:name="Tc_xHygIDqGKE6e1lLagKuRQg_1_16"/>
      <w:bookmarkStart w:id="454" w:name="_e0a85aaa_9394_41de_bf68_8fc47e235eca"/>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tbl>
      <w:tblPr>
        <w:tblW w:w="11531" w:type="dxa"/>
        <w:jc w:val="left"/>
        <w:tblInd w:w="0" w:type="dxa"/>
        <w:tblLayout w:type="fixed"/>
        <w:tblCellMar>
          <w:top w:w="0" w:type="dxa"/>
          <w:left w:w="0" w:type="dxa"/>
          <w:bottom w:w="0" w:type="dxa"/>
          <w:right w:w="0" w:type="dxa"/>
        </w:tblCellMar>
      </w:tblPr>
      <w:tblGrid>
        <w:gridCol w:w="1561"/>
        <w:gridCol w:w="326"/>
        <w:gridCol w:w="1006"/>
        <w:gridCol w:w="326"/>
        <w:gridCol w:w="196"/>
        <w:gridCol w:w="691"/>
        <w:gridCol w:w="326"/>
        <w:gridCol w:w="293"/>
        <w:gridCol w:w="518"/>
        <w:gridCol w:w="326"/>
        <w:gridCol w:w="222"/>
        <w:gridCol w:w="394"/>
        <w:gridCol w:w="326"/>
        <w:gridCol w:w="196"/>
        <w:gridCol w:w="691"/>
        <w:gridCol w:w="326"/>
        <w:gridCol w:w="310"/>
        <w:gridCol w:w="906"/>
        <w:gridCol w:w="326"/>
        <w:gridCol w:w="196"/>
        <w:gridCol w:w="751"/>
        <w:gridCol w:w="326"/>
        <w:gridCol w:w="196"/>
        <w:gridCol w:w="796"/>
      </w:tblGrid>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38810" cy="175260"/>
                      <wp:effectExtent l="0" t="0" r="0" b="0"/>
                      <wp:wrapNone/>
                      <wp:docPr id="41" name="Frame4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8785" cy="175260"/>
                      <wp:effectExtent l="0" t="0" r="0" b="0"/>
                      <wp:wrapNone/>
                      <wp:docPr id="44" name="Frame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86055" cy="175260"/>
                      <wp:effectExtent l="0" t="0" r="0" b="0"/>
                      <wp:wrapNone/>
                      <wp:docPr id="46" name="Frame46"/>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28930" cy="175260"/>
                      <wp:effectExtent l="0" t="0" r="0" b="0"/>
                      <wp:wrapNone/>
                      <wp:docPr id="47" name="Frame47"/>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0970" cy="175260"/>
                      <wp:effectExtent l="0" t="0" r="0" b="0"/>
                      <wp:wrapNone/>
                      <wp:docPr id="49" name="Frame4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50190" cy="175260"/>
                      <wp:effectExtent l="0" t="0" r="0" b="0"/>
                      <wp:wrapNone/>
                      <wp:docPr id="50" name="Frame50"/>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2"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38785" cy="175260"/>
                      <wp:effectExtent l="0" t="0" r="0" b="0"/>
                      <wp:wrapNone/>
                      <wp:docPr id="53" name="Frame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6850" cy="175260"/>
                      <wp:effectExtent l="0" t="0" r="0" b="0"/>
                      <wp:wrapNone/>
                      <wp:docPr id="55" name="Frame5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5310" cy="175260"/>
                      <wp:effectExtent l="0" t="0" r="0" b="0"/>
                      <wp:wrapNone/>
                      <wp:docPr id="56" name="Frame56"/>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8" name="Frame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76885" cy="175260"/>
                      <wp:effectExtent l="0" t="0" r="0" b="0"/>
                      <wp:wrapNone/>
                      <wp:docPr id="59" name="Frame5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05460" cy="175260"/>
                      <wp:effectExtent l="0" t="0" r="0" b="0"/>
                      <wp:wrapNone/>
                      <wp:docPr id="62" name="Frame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Preferred</w:t>
            </w:r>
          </w:p>
        </w:tc>
        <w:tc>
          <w:tcPr>
            <w:tcW w:w="326" w:type="dxa"/>
            <w:tcBorders/>
            <w:vAlign w:val="center"/>
          </w:tcPr>
          <w:p>
            <w:pPr>
              <w:pStyle w:val="TableContents"/>
              <w:bidi w:val="0"/>
              <w:spacing w:before="0" w:after="0"/>
              <w:ind w:left="0" w:right="0" w:hanging="0"/>
              <w:jc w:val="left"/>
              <w:rPr/>
            </w:pPr>
            <w:r>
              <w:rPr/>
              <w:t>​</w:t>
            </w:r>
          </w:p>
        </w:tc>
        <w:tc>
          <w:tcPr>
            <w:tcW w:w="6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5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September 30, 2025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July 1, 2025</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397,155,318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606,246</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203,181</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(726,364)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81,860</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(Note 14)</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3,498,760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10,110</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(7,989)</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2,121</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warrants under 2025 Registered Direct Offering, net of expenses (Notes 11, 13)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3,333,334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6,509</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6,970</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Class A warrants (Note 13)</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1,638,270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4,743</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(4,743)</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Class B warrants (Note 13)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2,525,000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7,778</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Nauru and Tonga Warrant cost (Note 13)</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4,977</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4,977</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 (Note 14)</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704,491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3,467</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(3,467)</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 (Note 14)</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42,965</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42,965</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(184,517)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(184,517)</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408,855,173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638,853</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232,607</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(910,881)</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(40,624)</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55" w:name="Tc_6tFjbkxJlkC4lcuruTjPCQ_13_22"/>
      <w:bookmarkStart w:id="456" w:name="Tc_3DiuefI8hUeNPzDtOnkzvA_13_19"/>
      <w:bookmarkStart w:id="457" w:name="Tc_i5sxDUgKX0C9RESjw95F0w_13_16"/>
      <w:bookmarkStart w:id="458" w:name="Tc_1Ks0LH6RfE68twxMjG1INA_13_13"/>
      <w:bookmarkStart w:id="459" w:name="Tc_Wk39YnN2zUGByL85HleQMQ_13_11"/>
      <w:bookmarkStart w:id="460" w:name="Tc_PV-HvJvayE6Cm_s2_9ryvw_13_10"/>
      <w:bookmarkStart w:id="461" w:name="Tc_uxUlcLtKlkGSfDfRKbF_yg_13_8"/>
      <w:bookmarkStart w:id="462" w:name="Tc_W3GABAYT4UagcOpytDzcoA_13_7"/>
      <w:bookmarkStart w:id="463" w:name="Tc_4kFon7sjmEe5rZrL-28Jig_13_4"/>
      <w:bookmarkStart w:id="464" w:name="Tc_ILi8EgW5M0ecIa9goXixaA_13_0"/>
      <w:bookmarkStart w:id="465" w:name="Tc_tPHoXN0hlUKf02UO3HChAg_12_17"/>
      <w:bookmarkStart w:id="466" w:name="Tc_0a1NxOcAJEa7tCL2uKDcpg_12_14"/>
      <w:bookmarkStart w:id="467" w:name="Tc_5XEbPX_rhEy5kXjSZTkymQ_12_11"/>
      <w:bookmarkStart w:id="468" w:name="Tc_92vHRqIeyEKm403TnotSOQ_12_8"/>
      <w:bookmarkStart w:id="469" w:name="Tc_MGSMMGlDIECRxQIFqBKyPQ_12_5"/>
      <w:bookmarkStart w:id="470" w:name="Tc_dRfPrNwoGUCBpsv1-LaIDA_12_2"/>
      <w:bookmarkStart w:id="471" w:name="Tc_26qp6ZkK10youuzQTTrg7A_12_0"/>
      <w:bookmarkStart w:id="472" w:name="Tc_MsZawhNlqUON4zNMmn7CgA_11_20"/>
      <w:bookmarkStart w:id="473" w:name="Tc_92ehOJ3le0SJj9_EFcDbaw_11_14"/>
      <w:bookmarkStart w:id="474" w:name="Tc_QmVhGxM3bUegN0t4fMOEMg_11_11"/>
      <w:bookmarkStart w:id="475" w:name="Tc_H_64C2Ypr0-bH6lKbKGSOQ_11_8"/>
      <w:bookmarkStart w:id="476" w:name="Tc_rHqDkmNgEkqIBiuc878dYQ_11_5"/>
      <w:bookmarkStart w:id="477" w:name="Tc_qMEs35LkWk2luuhPwhX88g_11_2"/>
      <w:bookmarkStart w:id="478" w:name="Tc_nmSdGzHYv0a_M7HCwzKDsw_11_0"/>
      <w:bookmarkStart w:id="479" w:name="Tc_yTBJfJXdsk-SceTC5Wrgrg_10_20"/>
      <w:bookmarkStart w:id="480" w:name="Tc_B88N6ZKX80-4rTWzdi1mOw_10_17"/>
      <w:bookmarkStart w:id="481" w:name="Tc_sk3c-XXq2UqOIeqNADz8ug_10_11"/>
      <w:bookmarkStart w:id="482" w:name="Tc_TjyGs5Zbj0uml1H8-fo-nA_10_8"/>
      <w:bookmarkStart w:id="483" w:name="Tc_2dAl5NmY-EatQ-SGdMrZhg_10_5"/>
      <w:bookmarkStart w:id="484" w:name="Tc_2LtrvEJR70eJE1k3zyGQeA_10_2"/>
      <w:bookmarkStart w:id="485" w:name="Tc_wlg_t8YU4k23hpxiNHb5uQ_10_0"/>
      <w:bookmarkStart w:id="486" w:name="Tc_vgqMRpT_v0yhv-Dyq8ZoyQ_9_23"/>
      <w:bookmarkStart w:id="487" w:name="Tc_JCuyIsNIaEGkgT-3EoKuFQ_9_20"/>
      <w:bookmarkStart w:id="488" w:name="Tc_o6jZo-_fHk6nxNrGSZtLMg_9_17"/>
      <w:bookmarkStart w:id="489" w:name="Tc_L-Hux1YJVk6V9AK_Zjyv6g_9_14"/>
      <w:bookmarkStart w:id="490" w:name="Tc_DO-cS_rKV0OtTJPyeFOLdw_9_11"/>
      <w:bookmarkStart w:id="491" w:name="Tc_fQjvPImllEy26ADg3Av1Sg_9_8"/>
      <w:bookmarkStart w:id="492" w:name="Tc_AmOTetDlHUSaKzqHeNpAJg_9_5"/>
      <w:bookmarkStart w:id="493" w:name="Tc_auWjrfzmHEmgp1Tp35gDjA_9_2"/>
      <w:bookmarkStart w:id="494" w:name="Tc_aS_EHoDw9EaNji7pzOfHRQ_9_0"/>
      <w:bookmarkStart w:id="495" w:name="Tc_aHsAhgcuJEO9SOGbl9fXTw_8_20"/>
      <w:bookmarkStart w:id="496" w:name="Tc_D0jua-fAtE6ukXjuCYBk7w_8_17"/>
      <w:bookmarkStart w:id="497" w:name="Tc_gKdhUzVG9Uy-06pyYEATYw_8_11"/>
      <w:bookmarkStart w:id="498" w:name="Tc_MFKyVPi6QUq0doBBIDWMOw_8_8"/>
      <w:bookmarkStart w:id="499" w:name="Tc_vPv8n2jHBkyJ6g7h1ULnyw_8_0"/>
      <w:bookmarkStart w:id="500" w:name="Tc_x9iJa9MWUkqN1Oof8yh87Q_7_20"/>
      <w:bookmarkStart w:id="501" w:name="Tc_AXEAbyylz0SrqYnPAIy7Lg_7_17"/>
      <w:bookmarkStart w:id="502" w:name="Tc_oqdo79PRB0iy-K1ukY3edQ_7_14"/>
      <w:bookmarkStart w:id="503" w:name="Tc_eqfnUaL4DUCkDhh2hhsPmw_7_11"/>
      <w:bookmarkStart w:id="504" w:name="Tc_ieTydaWT-kiSo-7VQjMI-w_7_8"/>
      <w:bookmarkStart w:id="505" w:name="Tc_t62FRsn3Ckifc_n5Zn3fCg_7_0"/>
      <w:bookmarkStart w:id="506" w:name="Tc_rZHej85c402Z3vgJFKyG0A_6_23"/>
      <w:bookmarkStart w:id="507" w:name="Tc_pyz1PdiH2kymyooj2d6voA_6_20"/>
      <w:bookmarkStart w:id="508" w:name="Tc_hog0k-6ZpkqoCEdjl5uL8Q_6_17"/>
      <w:bookmarkStart w:id="509" w:name="Tc_JBssoPaJV06yQVRmGqHMAA_6_11"/>
      <w:bookmarkStart w:id="510" w:name="Tc_7s_pSCaRNUOzviaY7Q7BGw_6_8"/>
      <w:bookmarkStart w:id="511" w:name="Tc_YD4xVcEp9kCaaFF2kBGvTQ_6_0"/>
      <w:bookmarkStart w:id="512" w:name="Tc_WxiNtWUHjUyIzR6KG3tjjg_5_22"/>
      <w:bookmarkStart w:id="513" w:name="Tc_IzheJ2-WOEaFZBAYDUX_kw_5_19"/>
      <w:bookmarkStart w:id="514" w:name="Tc_bnBAJ5S_FkSnYe0Rw_Ul4A_5_16"/>
      <w:bookmarkStart w:id="515" w:name="Tc_ZcdWnsMGPk6jw7bHn8N5zA_5_13"/>
      <w:bookmarkStart w:id="516" w:name="Tc_VACYsUuw2EmIiNkre03-qQ_5_11"/>
      <w:bookmarkStart w:id="517" w:name="Tc_PS_E95oTxkak6KoPbmDeUQ_5_10"/>
      <w:bookmarkStart w:id="518" w:name="Tc_xXtD4SVQdU-rymWQhOeH0A_5_8"/>
      <w:bookmarkStart w:id="519" w:name="Tc_UVc8_aYcjUW-8Nnbz6roYA_5_7"/>
      <w:bookmarkStart w:id="520" w:name="Tc_bx1Ag4WfTUKRzly8ppsrcA_5_4"/>
      <w:bookmarkStart w:id="521" w:name="Tc_OHl_Heqaa0a-Bztie49LhQ_5_0"/>
      <w:bookmarkStart w:id="522" w:name="Tc_WRpuKG-LhUmM-uQUCWelVw_4_22"/>
      <w:bookmarkStart w:id="523" w:name="Tc_1SaY0cbC6EiEYh3uxkeNpg_4_19"/>
      <w:bookmarkStart w:id="524" w:name="Tc_l0A-t1ddKkWU7lcmen_vXg_4_16"/>
      <w:bookmarkStart w:id="525" w:name="Tc_IpfqBuavpUGkbdPU5UsYnw_4_13"/>
      <w:bookmarkStart w:id="526" w:name="Tc_yy6Ups38V06MNdQEhD9cMg_4_10"/>
      <w:bookmarkStart w:id="527" w:name="Tc_RKVekJvJbE6fVseBY6Zddg_4_7"/>
      <w:bookmarkStart w:id="528" w:name="Tc_dSiABfUSskuWz3T_A8MUqg_4_4"/>
      <w:bookmarkStart w:id="529" w:name="Tc_H9YEdTSh7kuDoFAKSVTGoA_4_2"/>
      <w:bookmarkStart w:id="530" w:name="Tc_G85MCzg00ESvPEUbjtFoAQ_4_0"/>
      <w:bookmarkStart w:id="531" w:name="Tc_ziLKmK9KqUuWYc6zmvbegw_3_16"/>
      <w:bookmarkStart w:id="532" w:name="Tc_ANJFXwQFh0OZb7M2BZJbiA_3_13"/>
      <w:bookmarkStart w:id="533" w:name="Tc_a9PIw2Qfc0-7iJ3WHtK-Lw_3_10"/>
      <w:bookmarkStart w:id="534" w:name="Tc_El--3xrtVUmuoCwrLeu9Sw_3_7"/>
      <w:bookmarkStart w:id="535" w:name="Tc_whkCtS96pE2sG0KvCWPeQA_3_2"/>
      <w:bookmarkStart w:id="536" w:name="Tc_GrzL6FYG7UOLOyHZCXBDRA_2_16"/>
      <w:bookmarkStart w:id="537" w:name="Tc_r38lUPTKdESflxPdwgVXpA_2_13"/>
      <w:bookmarkStart w:id="538" w:name="Tc_lqK39a_X4UKc9sZcc5ojFQ_1_16"/>
      <w:bookmarkStart w:id="539" w:name="_89fbf542_da31_4161_9450_db00cbfb418b"/>
      <w:bookmarkStart w:id="540" w:name="Tc_6tFjbkxJlkC4lcuruTjPCQ_13_22"/>
      <w:bookmarkStart w:id="541" w:name="Tc_3DiuefI8hUeNPzDtOnkzvA_13_19"/>
      <w:bookmarkStart w:id="542" w:name="Tc_i5sxDUgKX0C9RESjw95F0w_13_16"/>
      <w:bookmarkStart w:id="543" w:name="Tc_1Ks0LH6RfE68twxMjG1INA_13_13"/>
      <w:bookmarkStart w:id="544" w:name="Tc_Wk39YnN2zUGByL85HleQMQ_13_11"/>
      <w:bookmarkStart w:id="545" w:name="Tc_PV-HvJvayE6Cm_s2_9ryvw_13_10"/>
      <w:bookmarkStart w:id="546" w:name="Tc_uxUlcLtKlkGSfDfRKbF_yg_13_8"/>
      <w:bookmarkStart w:id="547" w:name="Tc_W3GABAYT4UagcOpytDzcoA_13_7"/>
      <w:bookmarkStart w:id="548" w:name="Tc_4kFon7sjmEe5rZrL-28Jig_13_4"/>
      <w:bookmarkStart w:id="549" w:name="Tc_ILi8EgW5M0ecIa9goXixaA_13_0"/>
      <w:bookmarkStart w:id="550" w:name="Tc_tPHoXN0hlUKf02UO3HChAg_12_17"/>
      <w:bookmarkStart w:id="551" w:name="Tc_0a1NxOcAJEa7tCL2uKDcpg_12_14"/>
      <w:bookmarkStart w:id="552" w:name="Tc_5XEbPX_rhEy5kXjSZTkymQ_12_11"/>
      <w:bookmarkStart w:id="553" w:name="Tc_92vHRqIeyEKm403TnotSOQ_12_8"/>
      <w:bookmarkStart w:id="554" w:name="Tc_MGSMMGlDIECRxQIFqBKyPQ_12_5"/>
      <w:bookmarkStart w:id="555" w:name="Tc_dRfPrNwoGUCBpsv1-LaIDA_12_2"/>
      <w:bookmarkStart w:id="556" w:name="Tc_26qp6ZkK10youuzQTTrg7A_12_0"/>
      <w:bookmarkStart w:id="557" w:name="Tc_MsZawhNlqUON4zNMmn7CgA_11_20"/>
      <w:bookmarkStart w:id="558" w:name="Tc_92ehOJ3le0SJj9_EFcDbaw_11_14"/>
      <w:bookmarkStart w:id="559" w:name="Tc_QmVhGxM3bUegN0t4fMOEMg_11_11"/>
      <w:bookmarkStart w:id="560" w:name="Tc_H_64C2Ypr0-bH6lKbKGSOQ_11_8"/>
      <w:bookmarkStart w:id="561" w:name="Tc_rHqDkmNgEkqIBiuc878dYQ_11_5"/>
      <w:bookmarkStart w:id="562" w:name="Tc_qMEs35LkWk2luuhPwhX88g_11_2"/>
      <w:bookmarkStart w:id="563" w:name="Tc_nmSdGzHYv0a_M7HCwzKDsw_11_0"/>
      <w:bookmarkStart w:id="564" w:name="Tc_yTBJfJXdsk-SceTC5Wrgrg_10_20"/>
      <w:bookmarkStart w:id="565" w:name="Tc_B88N6ZKX80-4rTWzdi1mOw_10_17"/>
      <w:bookmarkStart w:id="566" w:name="Tc_sk3c-XXq2UqOIeqNADz8ug_10_11"/>
      <w:bookmarkStart w:id="567" w:name="Tc_TjyGs5Zbj0uml1H8-fo-nA_10_8"/>
      <w:bookmarkStart w:id="568" w:name="Tc_2dAl5NmY-EatQ-SGdMrZhg_10_5"/>
      <w:bookmarkStart w:id="569" w:name="Tc_2LtrvEJR70eJE1k3zyGQeA_10_2"/>
      <w:bookmarkStart w:id="570" w:name="Tc_wlg_t8YU4k23hpxiNHb5uQ_10_0"/>
      <w:bookmarkStart w:id="571" w:name="Tc_vgqMRpT_v0yhv-Dyq8ZoyQ_9_23"/>
      <w:bookmarkStart w:id="572" w:name="Tc_JCuyIsNIaEGkgT-3EoKuFQ_9_20"/>
      <w:bookmarkStart w:id="573" w:name="Tc_o6jZo-_fHk6nxNrGSZtLMg_9_17"/>
      <w:bookmarkStart w:id="574" w:name="Tc_L-Hux1YJVk6V9AK_Zjyv6g_9_14"/>
      <w:bookmarkStart w:id="575" w:name="Tc_DO-cS_rKV0OtTJPyeFOLdw_9_11"/>
      <w:bookmarkStart w:id="576" w:name="Tc_fQjvPImllEy26ADg3Av1Sg_9_8"/>
      <w:bookmarkStart w:id="577" w:name="Tc_AmOTetDlHUSaKzqHeNpAJg_9_5"/>
      <w:bookmarkStart w:id="578" w:name="Tc_auWjrfzmHEmgp1Tp35gDjA_9_2"/>
      <w:bookmarkStart w:id="579" w:name="Tc_aS_EHoDw9EaNji7pzOfHRQ_9_0"/>
      <w:bookmarkStart w:id="580" w:name="Tc_aHsAhgcuJEO9SOGbl9fXTw_8_20"/>
      <w:bookmarkStart w:id="581" w:name="Tc_D0jua-fAtE6ukXjuCYBk7w_8_17"/>
      <w:bookmarkStart w:id="582" w:name="Tc_gKdhUzVG9Uy-06pyYEATYw_8_11"/>
      <w:bookmarkStart w:id="583" w:name="Tc_MFKyVPi6QUq0doBBIDWMOw_8_8"/>
      <w:bookmarkStart w:id="584" w:name="Tc_vPv8n2jHBkyJ6g7h1ULnyw_8_0"/>
      <w:bookmarkStart w:id="585" w:name="Tc_x9iJa9MWUkqN1Oof8yh87Q_7_20"/>
      <w:bookmarkStart w:id="586" w:name="Tc_AXEAbyylz0SrqYnPAIy7Lg_7_17"/>
      <w:bookmarkStart w:id="587" w:name="Tc_oqdo79PRB0iy-K1ukY3edQ_7_14"/>
      <w:bookmarkStart w:id="588" w:name="Tc_eqfnUaL4DUCkDhh2hhsPmw_7_11"/>
      <w:bookmarkStart w:id="589" w:name="Tc_ieTydaWT-kiSo-7VQjMI-w_7_8"/>
      <w:bookmarkStart w:id="590" w:name="Tc_t62FRsn3Ckifc_n5Zn3fCg_7_0"/>
      <w:bookmarkStart w:id="591" w:name="Tc_rZHej85c402Z3vgJFKyG0A_6_23"/>
      <w:bookmarkStart w:id="592" w:name="Tc_pyz1PdiH2kymyooj2d6voA_6_20"/>
      <w:bookmarkStart w:id="593" w:name="Tc_hog0k-6ZpkqoCEdjl5uL8Q_6_17"/>
      <w:bookmarkStart w:id="594" w:name="Tc_JBssoPaJV06yQVRmGqHMAA_6_11"/>
      <w:bookmarkStart w:id="595" w:name="Tc_7s_pSCaRNUOzviaY7Q7BGw_6_8"/>
      <w:bookmarkStart w:id="596" w:name="Tc_YD4xVcEp9kCaaFF2kBGvTQ_6_0"/>
      <w:bookmarkStart w:id="597" w:name="Tc_WxiNtWUHjUyIzR6KG3tjjg_5_22"/>
      <w:bookmarkStart w:id="598" w:name="Tc_IzheJ2-WOEaFZBAYDUX_kw_5_19"/>
      <w:bookmarkStart w:id="599" w:name="Tc_bnBAJ5S_FkSnYe0Rw_Ul4A_5_16"/>
      <w:bookmarkStart w:id="600" w:name="Tc_ZcdWnsMGPk6jw7bHn8N5zA_5_13"/>
      <w:bookmarkStart w:id="601" w:name="Tc_VACYsUuw2EmIiNkre03-qQ_5_11"/>
      <w:bookmarkStart w:id="602" w:name="Tc_PS_E95oTxkak6KoPbmDeUQ_5_10"/>
      <w:bookmarkStart w:id="603" w:name="Tc_xXtD4SVQdU-rymWQhOeH0A_5_8"/>
      <w:bookmarkStart w:id="604" w:name="Tc_UVc8_aYcjUW-8Nnbz6roYA_5_7"/>
      <w:bookmarkStart w:id="605" w:name="Tc_bx1Ag4WfTUKRzly8ppsrcA_5_4"/>
      <w:bookmarkStart w:id="606" w:name="Tc_OHl_Heqaa0a-Bztie49LhQ_5_0"/>
      <w:bookmarkStart w:id="607" w:name="Tc_WRpuKG-LhUmM-uQUCWelVw_4_22"/>
      <w:bookmarkStart w:id="608" w:name="Tc_1SaY0cbC6EiEYh3uxkeNpg_4_19"/>
      <w:bookmarkStart w:id="609" w:name="Tc_l0A-t1ddKkWU7lcmen_vXg_4_16"/>
      <w:bookmarkStart w:id="610" w:name="Tc_IpfqBuavpUGkbdPU5UsYnw_4_13"/>
      <w:bookmarkStart w:id="611" w:name="Tc_yy6Ups38V06MNdQEhD9cMg_4_10"/>
      <w:bookmarkStart w:id="612" w:name="Tc_RKVekJvJbE6fVseBY6Zddg_4_7"/>
      <w:bookmarkStart w:id="613" w:name="Tc_dSiABfUSskuWz3T_A8MUqg_4_4"/>
      <w:bookmarkStart w:id="614" w:name="Tc_H9YEdTSh7kuDoFAKSVTGoA_4_2"/>
      <w:bookmarkStart w:id="615" w:name="Tc_G85MCzg00ESvPEUbjtFoAQ_4_0"/>
      <w:bookmarkStart w:id="616" w:name="Tc_ziLKmK9KqUuWYc6zmvbegw_3_16"/>
      <w:bookmarkStart w:id="617" w:name="Tc_ANJFXwQFh0OZb7M2BZJbiA_3_13"/>
      <w:bookmarkStart w:id="618" w:name="Tc_a9PIw2Qfc0-7iJ3WHtK-Lw_3_10"/>
      <w:bookmarkStart w:id="619" w:name="Tc_El--3xrtVUmuoCwrLeu9Sw_3_7"/>
      <w:bookmarkStart w:id="620" w:name="Tc_whkCtS96pE2sG0KvCWPeQA_3_2"/>
      <w:bookmarkStart w:id="621" w:name="Tc_GrzL6FYG7UOLOyHZCXBDRA_2_16"/>
      <w:bookmarkStart w:id="622" w:name="Tc_r38lUPTKdESflxPdwgVXpA_2_13"/>
      <w:bookmarkStart w:id="623" w:name="Tc_lqK39a_X4UKc9sZcc5ojFQ_1_16"/>
      <w:bookmarkStart w:id="624" w:name="_89fbf542_da31_4161_9450_db00cbfb418b"/>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tbl>
      <w:tblPr>
        <w:tblW w:w="11441" w:type="dxa"/>
        <w:jc w:val="left"/>
        <w:tblInd w:w="0" w:type="dxa"/>
        <w:tblLayout w:type="fixed"/>
        <w:tblCellMar>
          <w:top w:w="0" w:type="dxa"/>
          <w:left w:w="0" w:type="dxa"/>
          <w:bottom w:w="0" w:type="dxa"/>
          <w:right w:w="0" w:type="dxa"/>
        </w:tblCellMar>
      </w:tblPr>
      <w:tblGrid>
        <w:gridCol w:w="1561"/>
        <w:gridCol w:w="326"/>
        <w:gridCol w:w="1006"/>
        <w:gridCol w:w="326"/>
        <w:gridCol w:w="196"/>
        <w:gridCol w:w="691"/>
        <w:gridCol w:w="326"/>
        <w:gridCol w:w="293"/>
        <w:gridCol w:w="518"/>
        <w:gridCol w:w="326"/>
        <w:gridCol w:w="222"/>
        <w:gridCol w:w="394"/>
        <w:gridCol w:w="326"/>
        <w:gridCol w:w="196"/>
        <w:gridCol w:w="691"/>
        <w:gridCol w:w="326"/>
        <w:gridCol w:w="310"/>
        <w:gridCol w:w="906"/>
        <w:gridCol w:w="326"/>
        <w:gridCol w:w="196"/>
        <w:gridCol w:w="751"/>
        <w:gridCol w:w="326"/>
        <w:gridCol w:w="196"/>
        <w:gridCol w:w="70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91235" cy="175260"/>
                      <wp:effectExtent l="0" t="0" r="0" b="0"/>
                      <wp:wrapNone/>
                      <wp:docPr id="63" name="Frame63"/>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38810" cy="175260"/>
                      <wp:effectExtent l="0" t="0" r="0" b="0"/>
                      <wp:wrapNone/>
                      <wp:docPr id="65" name="Frame6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7"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38785" cy="175260"/>
                      <wp:effectExtent l="0" t="0" r="0" b="0"/>
                      <wp:wrapNone/>
                      <wp:docPr id="68" name="Frame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86055" cy="175260"/>
                      <wp:effectExtent l="0" t="0" r="0" b="0"/>
                      <wp:wrapNone/>
                      <wp:docPr id="70" name="Frame70"/>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28930" cy="175260"/>
                      <wp:effectExtent l="0" t="0" r="0" b="0"/>
                      <wp:wrapNone/>
                      <wp:docPr id="71" name="Frame71"/>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0970" cy="175260"/>
                      <wp:effectExtent l="0" t="0" r="0" b="0"/>
                      <wp:wrapNone/>
                      <wp:docPr id="73" name="Frame7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50190" cy="175260"/>
                      <wp:effectExtent l="0" t="0" r="0" b="0"/>
                      <wp:wrapNone/>
                      <wp:docPr id="74" name="Frame7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8785" cy="175260"/>
                      <wp:effectExtent l="0" t="0" r="0" b="0"/>
                      <wp:wrapNone/>
                      <wp:docPr id="77" name="Frame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96850" cy="175260"/>
                      <wp:effectExtent l="0" t="0" r="0" b="0"/>
                      <wp:wrapNone/>
                      <wp:docPr id="79" name="Frame7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75310" cy="175260"/>
                      <wp:effectExtent l="0" t="0" r="0" b="0"/>
                      <wp:wrapNone/>
                      <wp:docPr id="80" name="Frame80"/>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76885" cy="175260"/>
                      <wp:effectExtent l="0" t="0" r="0" b="0"/>
                      <wp:wrapNone/>
                      <wp:docPr id="83" name="Frame8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48310" cy="175260"/>
                      <wp:effectExtent l="0" t="0" r="0" b="0"/>
                      <wp:wrapNone/>
                      <wp:docPr id="86" name="Frame8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right"/>
              <w:rPr/>
            </w:pPr>
            <w:r>
              <w:rPr/>
              <w:t>    </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right"/>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Preferred</w:t>
            </w:r>
          </w:p>
        </w:tc>
        <w:tc>
          <w:tcPr>
            <w:tcW w:w="326" w:type="dxa"/>
            <w:tcBorders/>
            <w:vAlign w:val="center"/>
          </w:tcPr>
          <w:p>
            <w:pPr>
              <w:pStyle w:val="TableContents"/>
              <w:bidi w:val="0"/>
              <w:spacing w:before="0" w:after="0"/>
              <w:ind w:left="0" w:right="0" w:hanging="0"/>
              <w:jc w:val="right"/>
              <w:rPr/>
            </w:pPr>
            <w:r>
              <w:rPr/>
              <w:t>​</w:t>
            </w:r>
          </w:p>
        </w:tc>
        <w:tc>
          <w:tcPr>
            <w:tcW w:w="6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w:t>
            </w:r>
          </w:p>
        </w:tc>
        <w:tc>
          <w:tcPr>
            <w:tcW w:w="326" w:type="dxa"/>
            <w:tcBorders/>
            <w:vAlign w:val="center"/>
          </w:tcPr>
          <w:p>
            <w:pPr>
              <w:pStyle w:val="TableContents"/>
              <w:bidi w:val="0"/>
              <w:spacing w:before="0" w:after="0"/>
              <w:ind w:left="0" w:right="0" w:hanging="0"/>
              <w:jc w:val="right"/>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righ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5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September 30, 2024</w:t>
            </w:r>
          </w:p>
        </w:tc>
        <w:tc>
          <w:tcPr>
            <w:tcW w:w="326" w:type="dxa"/>
            <w:tcBorders/>
            <w:vAlign w:val="center"/>
          </w:tcPr>
          <w:p>
            <w:pPr>
              <w:pStyle w:val="TableContents"/>
              <w:bidi w:val="0"/>
              <w:spacing w:before="0" w:after="0"/>
              <w:ind w:left="0" w:right="0" w:hanging="0"/>
              <w:jc w:val="righ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righ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righ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righ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righ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righ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July 1, 2024</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322,241,883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460,573</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125,300</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(594,264)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(9,607)</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188,293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from ATM</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purchase under Employee Share Purchase Plan </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6,312</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6,312</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(20,520)</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(20,520)</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324,131,896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463,366</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131,152</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(614,784)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(21,469)</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25" w:name="Tc_QBMAfrZbP0qZmoKZZzprzQ_18_22"/>
      <w:bookmarkStart w:id="626" w:name="Tc_kKN2gaqRUEaYuanHAwHQKg_18_19"/>
      <w:bookmarkStart w:id="627" w:name="Tc_XFTsDpmOlESsa4I6JQdaiw_18_16"/>
      <w:bookmarkStart w:id="628" w:name="Tc_gotacUNivUurGUJkhckocg_18_13"/>
      <w:bookmarkStart w:id="629" w:name="Tc_4YSfyvYjCEi7mwW8qapjDg_18_11"/>
      <w:bookmarkStart w:id="630" w:name="Tc_Hfs22AUnZUGbM1rmBgzWeQ_18_10"/>
      <w:bookmarkStart w:id="631" w:name="Tc_uj6cU_zib0yzNTD8USCQxg_18_8"/>
      <w:bookmarkStart w:id="632" w:name="Tc_zkSo-CsqWU6fe65du-48LQ_18_7"/>
      <w:bookmarkStart w:id="633" w:name="Tc_UfuZahi-dk2HhQhCdnfSGg_18_4"/>
      <w:bookmarkStart w:id="634" w:name="Tc_sTmx1JUOFkO66X2enEsZBQ_18_0"/>
      <w:bookmarkStart w:id="635" w:name="Tc_3nAEe9UDIEmNlbTMbDgP3w_17_17"/>
      <w:bookmarkStart w:id="636" w:name="Tc_wanR2mcz60GK-rgfpP55QA_17_14"/>
      <w:bookmarkStart w:id="637" w:name="Tc_-Lo283YEu0Gf4wXHnBjULg_17_11"/>
      <w:bookmarkStart w:id="638" w:name="Tc_TH1tshvpOkKJK5aKXuTxLQ_17_8"/>
      <w:bookmarkStart w:id="639" w:name="Tc_exWpSaJQgUOe_PEXe9PfVQ_17_5"/>
      <w:bookmarkStart w:id="640" w:name="Tc_n3N5CO5ZkUq5v5-qEYGu5w_17_2"/>
      <w:bookmarkStart w:id="641" w:name="Tc_0705We4vN0uGAdNTPDuAUg_17_0"/>
      <w:bookmarkStart w:id="642" w:name="Tc_wMDoGDJ1xkKQgZzdGNPYZQ_16_20"/>
      <w:bookmarkStart w:id="643" w:name="Tc_KZwlBE7kwkmxIzwJaLFf4Q_16_17"/>
      <w:bookmarkStart w:id="644" w:name="Tc_7yx37_4tAky6JU2nu9RIjg_16_11"/>
      <w:bookmarkStart w:id="645" w:name="Tc_1AiFxTHFTk25vUBMeyFyIA_16_8"/>
      <w:bookmarkStart w:id="646" w:name="Tc_yqiF4CwUHUCQ3QtMrBKFYA_16_5"/>
      <w:bookmarkStart w:id="647" w:name="Tc_9EN4uiOfl0iiITz22-n-bg_16_2"/>
      <w:bookmarkStart w:id="648" w:name="Tc_IFpl7-jpg0GVDtF4S8SaEg_16_0"/>
      <w:bookmarkStart w:id="649" w:name="Tc_OPT7yt0bgUCHu3-1wpP8Uw_15_20"/>
      <w:bookmarkStart w:id="650" w:name="Tc_bavfwiCtpEqoua5wLqp1yg_15_17"/>
      <w:bookmarkStart w:id="651" w:name="Tc_TRAR3UxqR0KRZGiJkE8NYw_15_11"/>
      <w:bookmarkStart w:id="652" w:name="Tc__eEbdUO3mEe8zQEuvC_VWQ_15_8"/>
      <w:bookmarkStart w:id="653" w:name="Tc_I60COjkXKkuC9S9vMdGl2A_15_5"/>
      <w:bookmarkStart w:id="654" w:name="Tc_AWzLLa48F0qbDSO91AT4aQ_15_2"/>
      <w:bookmarkStart w:id="655" w:name="Tc_8qzvvwzQPkeY_V0SM1Bfsg_15_0"/>
      <w:bookmarkStart w:id="656" w:name="Tc_v5-Mc575rEiy212P6tLrpg_14_20"/>
      <w:bookmarkStart w:id="657" w:name="Tc_vVTCXhDoeE22qMTXFB1R-Q_14_17"/>
      <w:bookmarkStart w:id="658" w:name="Tc_MDNFkF8udEWpAv1gZRpOfQ_14_11"/>
      <w:bookmarkStart w:id="659" w:name="Tc_xN1Uw04110Gyp4TRt4ZhJw_14_8"/>
      <w:bookmarkStart w:id="660" w:name="Tc__t7ar5bSzUiQZbkWq3GNdw_14_0"/>
      <w:bookmarkStart w:id="661" w:name="Tc_MtZWeTMqmEawsfcVdCF6tQ_13_20"/>
      <w:bookmarkStart w:id="662" w:name="Tc_flOleks4UkmIcmL8FYDWmQ_13_17"/>
      <w:bookmarkStart w:id="663" w:name="Tc_cLxVUBTUvkS2G6H5t2wWTg_13_11"/>
      <w:bookmarkStart w:id="664" w:name="Tc_yWBnrEGuXEaLYzqyZtMc7g_13_8"/>
      <w:bookmarkStart w:id="665" w:name="Tc_mIYhw4Rxbk6wt_FVkhXySw_13_0"/>
      <w:bookmarkStart w:id="666" w:name="Tc_gkNpvkTRU0uzqWSo_I5Xcg_12_23"/>
      <w:bookmarkStart w:id="667" w:name="Tc_02ofOpTYNkWmgSxA1Rv94Q_12_20"/>
      <w:bookmarkStart w:id="668" w:name="Tc_mKNBh5sqAE6uSdYHEQn4NA_12_17"/>
      <w:bookmarkStart w:id="669" w:name="Tc_LtSoshK93U2CNqsDJRl5KQ_12_11"/>
      <w:bookmarkStart w:id="670" w:name="Tc_vTw6W35V40ejqD9Ho6tTnw_12_8"/>
      <w:bookmarkStart w:id="671" w:name="Tc_yJruNQMfX068-7glokkZvA_12_0"/>
      <w:bookmarkStart w:id="672" w:name="Tc_PjWKqq7zuEKWAOvK51nDzA_11_20"/>
      <w:bookmarkStart w:id="673" w:name="Tc_8oE_VLxi30yrnPfxhFFS8g_11_17"/>
      <w:bookmarkStart w:id="674" w:name="Tc_qXZb2eaaAUOSquIWUQT-_w_11_11"/>
      <w:bookmarkStart w:id="675" w:name="Tc_vADUkpd6MEi6YG5-Zlj4hA_11_8"/>
      <w:bookmarkStart w:id="676" w:name="Tc_R3xzBPkNbk-ZST70pso9GA_11_0"/>
      <w:bookmarkStart w:id="677" w:name="Tc_vpLqVbkRtEat_DKRmcVcDg_10_20"/>
      <w:bookmarkStart w:id="678" w:name="Tc_Yqq_n0zC1EqgPMojM51n2A_10_17"/>
      <w:bookmarkStart w:id="679" w:name="Tc_hxM6r3yMdEiqAwQUgusHrA_10_11"/>
      <w:bookmarkStart w:id="680" w:name="Tc_QYqcW_BYL0agdZf12qJ0ow_10_8"/>
      <w:bookmarkStart w:id="681" w:name="Tc_PzKD_T8PakWUmhSu8Fc7Qg_10_0"/>
      <w:bookmarkStart w:id="682" w:name="Tc_HcaSfM6raEmgjkTWwG80Ng_9_20"/>
      <w:bookmarkStart w:id="683" w:name="Tc_ch09b8giv0ylTB-shUj-6g_9_17"/>
      <w:bookmarkStart w:id="684" w:name="Tc_-AxtBHl5ik-GkY7siFArCA_9_14"/>
      <w:bookmarkStart w:id="685" w:name="Tc_X73HQO5fuUGgCLpwPxeRuQ_9_11"/>
      <w:bookmarkStart w:id="686" w:name="Tc_czBn0u2Xz0e4tMAfKTCLjg_9_8"/>
      <w:bookmarkStart w:id="687" w:name="Tc_GsJfTtd2qEyGf4EWEiXrfQ_9_0"/>
      <w:bookmarkStart w:id="688" w:name="Tc_qyFM1o3_hkSryjHkCwXbsA_8_20"/>
      <w:bookmarkStart w:id="689" w:name="Tc_4FxyTcMmykaudBfrHnVkOg_8_17"/>
      <w:bookmarkStart w:id="690" w:name="Tc_QHd_2SVOI0mZkpe9Nxqrfg_8_11"/>
      <w:bookmarkStart w:id="691" w:name="Tc_B1-GghQqJUqD2tM1CgqrNA_8_8"/>
      <w:bookmarkStart w:id="692" w:name="Tc_pztWSY_enkSWU_1Ir6o6ug_8_0"/>
      <w:bookmarkStart w:id="693" w:name="Tc_QxnMmpvoD0mwK48QWC7MYw_7_20"/>
      <w:bookmarkStart w:id="694" w:name="Tc_ZrU2zqQU3UWul88E7ChzKQ_7_17"/>
      <w:bookmarkStart w:id="695" w:name="Tc_6M5mS5qpMUC_KfmjHIck4g_7_11"/>
      <w:bookmarkStart w:id="696" w:name="Tc_am8_fG78Tk6_blDIAs8STA_7_8"/>
      <w:bookmarkStart w:id="697" w:name="Tc_LNjPquw82UG09v5q_htrfA_7_0"/>
      <w:bookmarkStart w:id="698" w:name="Tc_xNZGFRuyoEqID_FrWIUXvA_6_20"/>
      <w:bookmarkStart w:id="699" w:name="Tc_cEb4_imew0O_lLONCgHlGw_6_17"/>
      <w:bookmarkStart w:id="700" w:name="Tc_b3klnreZA0-rnJr0ri3xFg_6_11"/>
      <w:bookmarkStart w:id="701" w:name="Tc_ivUJb9Fe2keZxAUnYFeafg_6_8"/>
      <w:bookmarkStart w:id="702" w:name="Tc_tZCHBQAgVky747JbF_qz1A_6_0"/>
      <w:bookmarkStart w:id="703" w:name="Tc_8pkd_o4_Wk62qPltuVWd0Q_5_22"/>
      <w:bookmarkStart w:id="704" w:name="Tc_5Y-K5qA6YkWEKv4HVSSUCA_5_19"/>
      <w:bookmarkStart w:id="705" w:name="Tc_xtejlrYsnEiMOoixqBmpYg_5_16"/>
      <w:bookmarkStart w:id="706" w:name="Tc_X3CgcE6wOEyNqv2V8g6UzQ_5_13"/>
      <w:bookmarkStart w:id="707" w:name="Tc_H_hYKr7xmUSFHaeyEhmbzA_5_11"/>
      <w:bookmarkStart w:id="708" w:name="Tc_T7DXIaH6_0eK2rzfZChREA_5_10"/>
      <w:bookmarkStart w:id="709" w:name="Tc_XBALaToMw0uOZNQhyCKX4w_5_8"/>
      <w:bookmarkStart w:id="710" w:name="Tc_A1c7WrPWAk2AviSp67SX0w_5_7"/>
      <w:bookmarkStart w:id="711" w:name="Tc_Edbm4-BckUicBwzGGn_2fg_5_4"/>
      <w:bookmarkStart w:id="712" w:name="Tc_82Wv7nwD0k-61FLZtuqzpg_5_0"/>
      <w:bookmarkStart w:id="713" w:name="Tc_H_psx4yakEuIRo1TtCHMEw_4_22"/>
      <w:bookmarkStart w:id="714" w:name="Tc_Q3xIdlmjU0OTdG3beVgUqg_4_19"/>
      <w:bookmarkStart w:id="715" w:name="Tc_SsdQ5oEeqU66LaeZWgeyeg_4_16"/>
      <w:bookmarkStart w:id="716" w:name="Tc_qWtJx23qx0-KdpA3f90vGQ_4_13"/>
      <w:bookmarkStart w:id="717" w:name="Tc_esptBAEYd02VKLFXnWrI-A_4_10"/>
      <w:bookmarkStart w:id="718" w:name="Tc_aRFCqqfzdUqYsdQ1XewhoA_4_7"/>
      <w:bookmarkStart w:id="719" w:name="Tc_6Bsh-IqzIkKeKQiOXZvX7w_4_4"/>
      <w:bookmarkStart w:id="720" w:name="Tc_t8Wok9uGl0O8jV6Uxh8R_A_4_2"/>
      <w:bookmarkStart w:id="721" w:name="Tc_S7N-sjbfTkmv4h_pUjDJVA_4_0"/>
      <w:bookmarkStart w:id="722" w:name="Tc_vGxgCjE9Uki6eD8P5UAkXg_3_16"/>
      <w:bookmarkStart w:id="723" w:name="Tc_W_6_mfuEFkW_JvE2RXWmnA_3_13"/>
      <w:bookmarkStart w:id="724" w:name="Tc_AiJ_Uw9OuUa5K9MR30IIdw_3_10"/>
      <w:bookmarkStart w:id="725" w:name="Tc_-0TXxTFaPkGVWnTGNSO6jQ_3_7"/>
      <w:bookmarkStart w:id="726" w:name="Tc_GlSfqzKMTkOrssfA-cQZbA_3_2"/>
      <w:bookmarkStart w:id="727" w:name="Tc_B1jb8Iq140CyUvNb2cQRiw_2_16"/>
      <w:bookmarkStart w:id="728" w:name="Tc_T7E_R9qEWUahUywto3Qmeg_2_13"/>
      <w:bookmarkStart w:id="729" w:name="Tc_7sSKP_X1k0KE1ytNPOZYqg_1_16"/>
      <w:bookmarkStart w:id="730" w:name="_ebdb532a_632a_42db_9f8c_2741bf1cedb8"/>
      <w:bookmarkStart w:id="731" w:name="Tc_QBMAfrZbP0qZmoKZZzprzQ_18_22"/>
      <w:bookmarkStart w:id="732" w:name="Tc_kKN2gaqRUEaYuanHAwHQKg_18_19"/>
      <w:bookmarkStart w:id="733" w:name="Tc_XFTsDpmOlESsa4I6JQdaiw_18_16"/>
      <w:bookmarkStart w:id="734" w:name="Tc_gotacUNivUurGUJkhckocg_18_13"/>
      <w:bookmarkStart w:id="735" w:name="Tc_4YSfyvYjCEi7mwW8qapjDg_18_11"/>
      <w:bookmarkStart w:id="736" w:name="Tc_Hfs22AUnZUGbM1rmBgzWeQ_18_10"/>
      <w:bookmarkStart w:id="737" w:name="Tc_uj6cU_zib0yzNTD8USCQxg_18_8"/>
      <w:bookmarkStart w:id="738" w:name="Tc_zkSo-CsqWU6fe65du-48LQ_18_7"/>
      <w:bookmarkStart w:id="739" w:name="Tc_UfuZahi-dk2HhQhCdnfSGg_18_4"/>
      <w:bookmarkStart w:id="740" w:name="Tc_sTmx1JUOFkO66X2enEsZBQ_18_0"/>
      <w:bookmarkStart w:id="741" w:name="Tc_3nAEe9UDIEmNlbTMbDgP3w_17_17"/>
      <w:bookmarkStart w:id="742" w:name="Tc_wanR2mcz60GK-rgfpP55QA_17_14"/>
      <w:bookmarkStart w:id="743" w:name="Tc_-Lo283YEu0Gf4wXHnBjULg_17_11"/>
      <w:bookmarkStart w:id="744" w:name="Tc_TH1tshvpOkKJK5aKXuTxLQ_17_8"/>
      <w:bookmarkStart w:id="745" w:name="Tc_exWpSaJQgUOe_PEXe9PfVQ_17_5"/>
      <w:bookmarkStart w:id="746" w:name="Tc_n3N5CO5ZkUq5v5-qEYGu5w_17_2"/>
      <w:bookmarkStart w:id="747" w:name="Tc_0705We4vN0uGAdNTPDuAUg_17_0"/>
      <w:bookmarkStart w:id="748" w:name="Tc_wMDoGDJ1xkKQgZzdGNPYZQ_16_20"/>
      <w:bookmarkStart w:id="749" w:name="Tc_KZwlBE7kwkmxIzwJaLFf4Q_16_17"/>
      <w:bookmarkStart w:id="750" w:name="Tc_7yx37_4tAky6JU2nu9RIjg_16_11"/>
      <w:bookmarkStart w:id="751" w:name="Tc_1AiFxTHFTk25vUBMeyFyIA_16_8"/>
      <w:bookmarkStart w:id="752" w:name="Tc_yqiF4CwUHUCQ3QtMrBKFYA_16_5"/>
      <w:bookmarkStart w:id="753" w:name="Tc_9EN4uiOfl0iiITz22-n-bg_16_2"/>
      <w:bookmarkStart w:id="754" w:name="Tc_IFpl7-jpg0GVDtF4S8SaEg_16_0"/>
      <w:bookmarkStart w:id="755" w:name="Tc_OPT7yt0bgUCHu3-1wpP8Uw_15_20"/>
      <w:bookmarkStart w:id="756" w:name="Tc_bavfwiCtpEqoua5wLqp1yg_15_17"/>
      <w:bookmarkStart w:id="757" w:name="Tc_TRAR3UxqR0KRZGiJkE8NYw_15_11"/>
      <w:bookmarkStart w:id="758" w:name="Tc__eEbdUO3mEe8zQEuvC_VWQ_15_8"/>
      <w:bookmarkStart w:id="759" w:name="Tc_I60COjkXKkuC9S9vMdGl2A_15_5"/>
      <w:bookmarkStart w:id="760" w:name="Tc_AWzLLa48F0qbDSO91AT4aQ_15_2"/>
      <w:bookmarkStart w:id="761" w:name="Tc_8qzvvwzQPkeY_V0SM1Bfsg_15_0"/>
      <w:bookmarkStart w:id="762" w:name="Tc_v5-Mc575rEiy212P6tLrpg_14_20"/>
      <w:bookmarkStart w:id="763" w:name="Tc_vVTCXhDoeE22qMTXFB1R-Q_14_17"/>
      <w:bookmarkStart w:id="764" w:name="Tc_MDNFkF8udEWpAv1gZRpOfQ_14_11"/>
      <w:bookmarkStart w:id="765" w:name="Tc_xN1Uw04110Gyp4TRt4ZhJw_14_8"/>
      <w:bookmarkStart w:id="766" w:name="Tc__t7ar5bSzUiQZbkWq3GNdw_14_0"/>
      <w:bookmarkStart w:id="767" w:name="Tc_MtZWeTMqmEawsfcVdCF6tQ_13_20"/>
      <w:bookmarkStart w:id="768" w:name="Tc_flOleks4UkmIcmL8FYDWmQ_13_17"/>
      <w:bookmarkStart w:id="769" w:name="Tc_cLxVUBTUvkS2G6H5t2wWTg_13_11"/>
      <w:bookmarkStart w:id="770" w:name="Tc_yWBnrEGuXEaLYzqyZtMc7g_13_8"/>
      <w:bookmarkStart w:id="771" w:name="Tc_mIYhw4Rxbk6wt_FVkhXySw_13_0"/>
      <w:bookmarkStart w:id="772" w:name="Tc_gkNpvkTRU0uzqWSo_I5Xcg_12_23"/>
      <w:bookmarkStart w:id="773" w:name="Tc_02ofOpTYNkWmgSxA1Rv94Q_12_20"/>
      <w:bookmarkStart w:id="774" w:name="Tc_mKNBh5sqAE6uSdYHEQn4NA_12_17"/>
      <w:bookmarkStart w:id="775" w:name="Tc_LtSoshK93U2CNqsDJRl5KQ_12_11"/>
      <w:bookmarkStart w:id="776" w:name="Tc_vTw6W35V40ejqD9Ho6tTnw_12_8"/>
      <w:bookmarkStart w:id="777" w:name="Tc_yJruNQMfX068-7glokkZvA_12_0"/>
      <w:bookmarkStart w:id="778" w:name="Tc_PjWKqq7zuEKWAOvK51nDzA_11_20"/>
      <w:bookmarkStart w:id="779" w:name="Tc_8oE_VLxi30yrnPfxhFFS8g_11_17"/>
      <w:bookmarkStart w:id="780" w:name="Tc_qXZb2eaaAUOSquIWUQT-_w_11_11"/>
      <w:bookmarkStart w:id="781" w:name="Tc_vADUkpd6MEi6YG5-Zlj4hA_11_8"/>
      <w:bookmarkStart w:id="782" w:name="Tc_R3xzBPkNbk-ZST70pso9GA_11_0"/>
      <w:bookmarkStart w:id="783" w:name="Tc_vpLqVbkRtEat_DKRmcVcDg_10_20"/>
      <w:bookmarkStart w:id="784" w:name="Tc_Yqq_n0zC1EqgPMojM51n2A_10_17"/>
      <w:bookmarkStart w:id="785" w:name="Tc_hxM6r3yMdEiqAwQUgusHrA_10_11"/>
      <w:bookmarkStart w:id="786" w:name="Tc_QYqcW_BYL0agdZf12qJ0ow_10_8"/>
      <w:bookmarkStart w:id="787" w:name="Tc_PzKD_T8PakWUmhSu8Fc7Qg_10_0"/>
      <w:bookmarkStart w:id="788" w:name="Tc_HcaSfM6raEmgjkTWwG80Ng_9_20"/>
      <w:bookmarkStart w:id="789" w:name="Tc_ch09b8giv0ylTB-shUj-6g_9_17"/>
      <w:bookmarkStart w:id="790" w:name="Tc_-AxtBHl5ik-GkY7siFArCA_9_14"/>
      <w:bookmarkStart w:id="791" w:name="Tc_X73HQO5fuUGgCLpwPxeRuQ_9_11"/>
      <w:bookmarkStart w:id="792" w:name="Tc_czBn0u2Xz0e4tMAfKTCLjg_9_8"/>
      <w:bookmarkStart w:id="793" w:name="Tc_GsJfTtd2qEyGf4EWEiXrfQ_9_0"/>
      <w:bookmarkStart w:id="794" w:name="Tc_qyFM1o3_hkSryjHkCwXbsA_8_20"/>
      <w:bookmarkStart w:id="795" w:name="Tc_4FxyTcMmykaudBfrHnVkOg_8_17"/>
      <w:bookmarkStart w:id="796" w:name="Tc_QHd_2SVOI0mZkpe9Nxqrfg_8_11"/>
      <w:bookmarkStart w:id="797" w:name="Tc_B1-GghQqJUqD2tM1CgqrNA_8_8"/>
      <w:bookmarkStart w:id="798" w:name="Tc_pztWSY_enkSWU_1Ir6o6ug_8_0"/>
      <w:bookmarkStart w:id="799" w:name="Tc_QxnMmpvoD0mwK48QWC7MYw_7_20"/>
      <w:bookmarkStart w:id="800" w:name="Tc_ZrU2zqQU3UWul88E7ChzKQ_7_17"/>
      <w:bookmarkStart w:id="801" w:name="Tc_6M5mS5qpMUC_KfmjHIck4g_7_11"/>
      <w:bookmarkStart w:id="802" w:name="Tc_am8_fG78Tk6_blDIAs8STA_7_8"/>
      <w:bookmarkStart w:id="803" w:name="Tc_LNjPquw82UG09v5q_htrfA_7_0"/>
      <w:bookmarkStart w:id="804" w:name="Tc_xNZGFRuyoEqID_FrWIUXvA_6_20"/>
      <w:bookmarkStart w:id="805" w:name="Tc_cEb4_imew0O_lLONCgHlGw_6_17"/>
      <w:bookmarkStart w:id="806" w:name="Tc_b3klnreZA0-rnJr0ri3xFg_6_11"/>
      <w:bookmarkStart w:id="807" w:name="Tc_ivUJb9Fe2keZxAUnYFeafg_6_8"/>
      <w:bookmarkStart w:id="808" w:name="Tc_tZCHBQAgVky747JbF_qz1A_6_0"/>
      <w:bookmarkStart w:id="809" w:name="Tc_8pkd_o4_Wk62qPltuVWd0Q_5_22"/>
      <w:bookmarkStart w:id="810" w:name="Tc_5Y-K5qA6YkWEKv4HVSSUCA_5_19"/>
      <w:bookmarkStart w:id="811" w:name="Tc_xtejlrYsnEiMOoixqBmpYg_5_16"/>
      <w:bookmarkStart w:id="812" w:name="Tc_X3CgcE6wOEyNqv2V8g6UzQ_5_13"/>
      <w:bookmarkStart w:id="813" w:name="Tc_H_hYKr7xmUSFHaeyEhmbzA_5_11"/>
      <w:bookmarkStart w:id="814" w:name="Tc_T7DXIaH6_0eK2rzfZChREA_5_10"/>
      <w:bookmarkStart w:id="815" w:name="Tc_XBALaToMw0uOZNQhyCKX4w_5_8"/>
      <w:bookmarkStart w:id="816" w:name="Tc_A1c7WrPWAk2AviSp67SX0w_5_7"/>
      <w:bookmarkStart w:id="817" w:name="Tc_Edbm4-BckUicBwzGGn_2fg_5_4"/>
      <w:bookmarkStart w:id="818" w:name="Tc_82Wv7nwD0k-61FLZtuqzpg_5_0"/>
      <w:bookmarkStart w:id="819" w:name="Tc_H_psx4yakEuIRo1TtCHMEw_4_22"/>
      <w:bookmarkStart w:id="820" w:name="Tc_Q3xIdlmjU0OTdG3beVgUqg_4_19"/>
      <w:bookmarkStart w:id="821" w:name="Tc_SsdQ5oEeqU66LaeZWgeyeg_4_16"/>
      <w:bookmarkStart w:id="822" w:name="Tc_qWtJx23qx0-KdpA3f90vGQ_4_13"/>
      <w:bookmarkStart w:id="823" w:name="Tc_esptBAEYd02VKLFXnWrI-A_4_10"/>
      <w:bookmarkStart w:id="824" w:name="Tc_aRFCqqfzdUqYsdQ1XewhoA_4_7"/>
      <w:bookmarkStart w:id="825" w:name="Tc_6Bsh-IqzIkKeKQiOXZvX7w_4_4"/>
      <w:bookmarkStart w:id="826" w:name="Tc_t8Wok9uGl0O8jV6Uxh8R_A_4_2"/>
      <w:bookmarkStart w:id="827" w:name="Tc_S7N-sjbfTkmv4h_pUjDJVA_4_0"/>
      <w:bookmarkStart w:id="828" w:name="Tc_vGxgCjE9Uki6eD8P5UAkXg_3_16"/>
      <w:bookmarkStart w:id="829" w:name="Tc_W_6_mfuEFkW_JvE2RXWmnA_3_13"/>
      <w:bookmarkStart w:id="830" w:name="Tc_AiJ_Uw9OuUa5K9MR30IIdw_3_10"/>
      <w:bookmarkStart w:id="831" w:name="Tc_-0TXxTFaPkGVWnTGNSO6jQ_3_7"/>
      <w:bookmarkStart w:id="832" w:name="Tc_GlSfqzKMTkOrssfA-cQZbA_3_2"/>
      <w:bookmarkStart w:id="833" w:name="Tc_B1jb8Iq140CyUvNb2cQRiw_2_16"/>
      <w:bookmarkStart w:id="834" w:name="Tc_T7E_R9qEWUahUywto3Qmeg_2_13"/>
      <w:bookmarkStart w:id="835" w:name="Tc_7sSKP_X1k0KE1ytNPOZYqg_1_16"/>
      <w:bookmarkStart w:id="836" w:name="_ebdb532a_632a_42db_9f8c_2741bf1cedb8"/>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tbl>
      <w:tblPr>
        <w:tblW w:w="11531" w:type="dxa"/>
        <w:jc w:val="left"/>
        <w:tblInd w:w="0" w:type="dxa"/>
        <w:tblLayout w:type="fixed"/>
        <w:tblCellMar>
          <w:top w:w="0" w:type="dxa"/>
          <w:left w:w="0" w:type="dxa"/>
          <w:bottom w:w="0" w:type="dxa"/>
          <w:right w:w="0" w:type="dxa"/>
        </w:tblCellMar>
      </w:tblPr>
      <w:tblGrid>
        <w:gridCol w:w="1561"/>
        <w:gridCol w:w="326"/>
        <w:gridCol w:w="1006"/>
        <w:gridCol w:w="326"/>
        <w:gridCol w:w="196"/>
        <w:gridCol w:w="691"/>
        <w:gridCol w:w="326"/>
        <w:gridCol w:w="293"/>
        <w:gridCol w:w="518"/>
        <w:gridCol w:w="326"/>
        <w:gridCol w:w="222"/>
        <w:gridCol w:w="394"/>
        <w:gridCol w:w="326"/>
        <w:gridCol w:w="196"/>
        <w:gridCol w:w="691"/>
        <w:gridCol w:w="326"/>
        <w:gridCol w:w="310"/>
        <w:gridCol w:w="906"/>
        <w:gridCol w:w="326"/>
        <w:gridCol w:w="196"/>
        <w:gridCol w:w="751"/>
        <w:gridCol w:w="326"/>
        <w:gridCol w:w="196"/>
        <w:gridCol w:w="79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991235" cy="175260"/>
                      <wp:effectExtent l="0" t="0" r="0" b="0"/>
                      <wp:wrapNone/>
                      <wp:docPr id="87" name="Frame8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38810" cy="175260"/>
                      <wp:effectExtent l="0" t="0" r="0" b="0"/>
                      <wp:wrapNone/>
                      <wp:docPr id="89" name="Frame8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38785" cy="175260"/>
                      <wp:effectExtent l="0" t="0" r="0" b="0"/>
                      <wp:wrapNone/>
                      <wp:docPr id="92" name="Frame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86055" cy="175260"/>
                      <wp:effectExtent l="0" t="0" r="0" b="0"/>
                      <wp:wrapNone/>
                      <wp:docPr id="94" name="Frame9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28930" cy="175260"/>
                      <wp:effectExtent l="0" t="0" r="0" b="0"/>
                      <wp:wrapNone/>
                      <wp:docPr id="95" name="Frame95"/>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0970" cy="175260"/>
                      <wp:effectExtent l="0" t="0" r="0" b="0"/>
                      <wp:wrapNone/>
                      <wp:docPr id="97" name="Frame9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50190" cy="175260"/>
                      <wp:effectExtent l="0" t="0" r="0" b="0"/>
                      <wp:wrapNone/>
                      <wp:docPr id="98" name="Frame9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4460" cy="175260"/>
                      <wp:effectExtent l="0" t="0" r="0" b="0"/>
                      <wp:wrapNone/>
                      <wp:docPr id="100" name="Frame1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38785" cy="175260"/>
                      <wp:effectExtent l="0" t="0" r="0" b="0"/>
                      <wp:wrapNone/>
                      <wp:docPr id="101" name="Frame1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96850" cy="175260"/>
                      <wp:effectExtent l="0" t="0" r="0" b="0"/>
                      <wp:wrapNone/>
                      <wp:docPr id="103" name="Frame10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75310" cy="175260"/>
                      <wp:effectExtent l="0" t="0" r="0" b="0"/>
                      <wp:wrapNone/>
                      <wp:docPr id="104" name="Frame10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460" cy="175260"/>
                      <wp:effectExtent l="0" t="0" r="0" b="0"/>
                      <wp:wrapNone/>
                      <wp:docPr id="106" name="Frame1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76885" cy="175260"/>
                      <wp:effectExtent l="0" t="0" r="0" b="0"/>
                      <wp:wrapNone/>
                      <wp:docPr id="107" name="Frame10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109" name="Frame1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05460" cy="175260"/>
                      <wp:effectExtent l="0" t="0" r="0" b="0"/>
                      <wp:wrapNone/>
                      <wp:docPr id="110" name="Frame1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93" w:type="dxa"/>
            <w:tcBorders/>
            <w:vAlign w:val="center"/>
          </w:tcPr>
          <w:p>
            <w:pPr>
              <w:pStyle w:val="TableContents"/>
              <w:bidi w:val="0"/>
              <w:spacing w:before="0" w:after="0"/>
              <w:ind w:left="0" w:right="0" w:hanging="0"/>
              <w:jc w:val="center"/>
              <w:rPr/>
            </w:pPr>
            <w:r>
              <w:rPr/>
              <w:t>​</w:t>
            </w:r>
          </w:p>
        </w:tc>
        <w:tc>
          <w:tcPr>
            <w:tcW w:w="5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3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93" w:type="dxa"/>
            <w:tcBorders/>
            <w:vAlign w:val="center"/>
          </w:tcPr>
          <w:p>
            <w:pPr>
              <w:pStyle w:val="TableContents"/>
              <w:bidi w:val="0"/>
              <w:spacing w:before="0" w:after="0"/>
              <w:ind w:left="0" w:right="0" w:hanging="0"/>
              <w:jc w:val="center"/>
              <w:rPr/>
            </w:pPr>
            <w:r>
              <w:rPr/>
              <w:t>​</w:t>
            </w:r>
          </w:p>
        </w:tc>
        <w:tc>
          <w:tcPr>
            <w:tcW w:w="5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3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Preferred</w:t>
            </w:r>
          </w:p>
        </w:tc>
        <w:tc>
          <w:tcPr>
            <w:tcW w:w="326" w:type="dxa"/>
            <w:tcBorders/>
            <w:vAlign w:val="center"/>
          </w:tcPr>
          <w:p>
            <w:pPr>
              <w:pStyle w:val="TableContents"/>
              <w:bidi w:val="0"/>
              <w:spacing w:before="0" w:after="0"/>
              <w:ind w:left="0" w:right="0" w:hanging="0"/>
              <w:jc w:val="right"/>
              <w:rPr/>
            </w:pPr>
            <w:r>
              <w:rPr/>
              <w:t>​</w:t>
            </w:r>
          </w:p>
        </w:tc>
        <w:tc>
          <w:tcPr>
            <w:tcW w:w="6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5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Nine months ended September 30, 2025</w:t>
            </w:r>
          </w:p>
        </w:tc>
        <w:tc>
          <w:tcPr>
            <w:tcW w:w="3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2025</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340,708,460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477,217</w:t>
            </w:r>
          </w:p>
        </w:tc>
        <w:tc>
          <w:tcPr>
            <w:tcW w:w="32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138,303</w:t>
            </w:r>
          </w:p>
        </w:tc>
        <w:tc>
          <w:tcPr>
            <w:tcW w:w="326"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(631,435)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(17,118)</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warrants to Korea Zinc, net of expenses (Notes 11, 13)</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19,623,376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71,686</w:t>
            </w:r>
          </w:p>
        </w:tc>
        <w:tc>
          <w:tcPr>
            <w:tcW w:w="32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13,432</w:t>
            </w:r>
          </w:p>
        </w:tc>
        <w:tc>
          <w:tcPr>
            <w:tcW w:w="326"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85,118</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warrants under 2025 Registered Direct Offering, net of expenses (Notes 11, 13)</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12,333,334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24,149</w:t>
            </w:r>
          </w:p>
        </w:tc>
        <w:tc>
          <w:tcPr>
            <w:tcW w:w="32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12,548</w:t>
            </w:r>
          </w:p>
        </w:tc>
        <w:tc>
          <w:tcPr>
            <w:tcW w:w="326"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36,697</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warrants under 2024 Registered Direct Offering, net of expenses (Notes 11, 13)</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5,000,000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2,237</w:t>
            </w:r>
          </w:p>
        </w:tc>
        <w:tc>
          <w:tcPr>
            <w:tcW w:w="32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2,763</w:t>
            </w:r>
          </w:p>
        </w:tc>
        <w:tc>
          <w:tcPr>
            <w:tcW w:w="326"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from ATM (Note 12)</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7,542,996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14,784</w:t>
            </w:r>
          </w:p>
        </w:tc>
        <w:tc>
          <w:tcPr>
            <w:tcW w:w="32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14,784</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Class A warrants (Note 13)</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1,888,270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5,467</w:t>
            </w:r>
          </w:p>
        </w:tc>
        <w:tc>
          <w:tcPr>
            <w:tcW w:w="32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(1,690)</w:t>
            </w:r>
          </w:p>
        </w:tc>
        <w:tc>
          <w:tcPr>
            <w:tcW w:w="326"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3,777</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Class B warrants (Note 13)</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7,358,096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14,229</w:t>
            </w:r>
          </w:p>
        </w:tc>
        <w:tc>
          <w:tcPr>
            <w:tcW w:w="32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(6,579)</w:t>
            </w:r>
          </w:p>
        </w:tc>
        <w:tc>
          <w:tcPr>
            <w:tcW w:w="326"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7,650</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 (Note 14)</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10,177,224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17,509</w:t>
            </w:r>
          </w:p>
        </w:tc>
        <w:tc>
          <w:tcPr>
            <w:tcW w:w="32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(17,509)</w:t>
            </w:r>
          </w:p>
        </w:tc>
        <w:tc>
          <w:tcPr>
            <w:tcW w:w="326"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(Note 14)</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4,210,884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11,563</w:t>
            </w:r>
          </w:p>
        </w:tc>
        <w:tc>
          <w:tcPr>
            <w:tcW w:w="32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(8,980)</w:t>
            </w:r>
          </w:p>
        </w:tc>
        <w:tc>
          <w:tcPr>
            <w:tcW w:w="326"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2,583</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purchase under Employee Share Purchase Plan (Note 14)</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Nauru and Tonga Warrant Cost (Note 13)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38,056</w:t>
            </w:r>
          </w:p>
        </w:tc>
        <w:tc>
          <w:tcPr>
            <w:tcW w:w="326"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38,056</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 (Note 14)</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62,265</w:t>
            </w:r>
          </w:p>
        </w:tc>
        <w:tc>
          <w:tcPr>
            <w:tcW w:w="326"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62,265</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(279,446)</w:t>
            </w:r>
          </w:p>
        </w:tc>
        <w:tc>
          <w:tcPr>
            <w:tcW w:w="32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(279,446)</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408,855,173</w:t>
            </w:r>
          </w:p>
        </w:tc>
        <w:tc>
          <w:tcPr>
            <w:tcW w:w="326" w:type="dxa"/>
            <w:tcBorders/>
            <w:vAlign w:val="center"/>
          </w:tcPr>
          <w:p>
            <w:pPr>
              <w:pStyle w:val="TableContents"/>
              <w:bidi w:val="0"/>
              <w:spacing w:before="0" w:after="0"/>
              <w:ind w:left="0" w:right="0" w:hanging="0"/>
              <w:jc w:val="righ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638,853</w:t>
            </w:r>
          </w:p>
        </w:tc>
        <w:tc>
          <w:tcPr>
            <w:tcW w:w="326" w:type="dxa"/>
            <w:tcBorders/>
            <w:vAlign w:val="center"/>
          </w:tcPr>
          <w:p>
            <w:pPr>
              <w:pStyle w:val="TableContents"/>
              <w:bidi w:val="0"/>
              <w:spacing w:before="0" w:after="0"/>
              <w:ind w:left="0" w:right="0" w:hanging="0"/>
              <w:jc w:val="right"/>
              <w:rPr/>
            </w:pPr>
            <w:r>
              <w:rPr/>
              <w:t> </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232,607</w:t>
            </w:r>
          </w:p>
        </w:tc>
        <w:tc>
          <w:tcPr>
            <w:tcW w:w="326" w:type="dxa"/>
            <w:tcBorders/>
            <w:vAlign w:val="center"/>
          </w:tcPr>
          <w:p>
            <w:pPr>
              <w:pStyle w:val="TableContents"/>
              <w:bidi w:val="0"/>
              <w:spacing w:before="0" w:after="0"/>
              <w:ind w:left="0" w:right="0" w:hanging="0"/>
              <w:jc w:val="righ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26" w:type="dxa"/>
            <w:tcBorders/>
            <w:vAlign w:val="center"/>
          </w:tcPr>
          <w:p>
            <w:pPr>
              <w:pStyle w:val="TableContents"/>
              <w:bidi w:val="0"/>
              <w:spacing w:before="0" w:after="0"/>
              <w:ind w:left="0" w:right="0" w:hanging="0"/>
              <w:jc w:val="righ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(910,881)</w:t>
            </w:r>
          </w:p>
        </w:tc>
        <w:tc>
          <w:tcPr>
            <w:tcW w:w="326" w:type="dxa"/>
            <w:tcBorders/>
            <w:vAlign w:val="center"/>
          </w:tcPr>
          <w:p>
            <w:pPr>
              <w:pStyle w:val="TableContents"/>
              <w:bidi w:val="0"/>
              <w:spacing w:before="0" w:after="0"/>
              <w:ind w:left="0" w:right="0" w:hanging="0"/>
              <w:jc w:val="righ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(40,624)</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837" w:name="Tc_S1eZD3OSMEmPsNJzGXELaw_14_22"/>
      <w:bookmarkStart w:id="838" w:name="Tc_Gho-QV4XmEC_2DtwbN4J2Q_14_19"/>
      <w:bookmarkStart w:id="839" w:name="Tc_bFBvvD0SiUOi_Ag9mR2ejg_14_16"/>
      <w:bookmarkStart w:id="840" w:name="Tc_83OLxnXYokyQ_fPu8AfwAQ_14_13"/>
      <w:bookmarkStart w:id="841" w:name="Tc_QY98iHE0g0Oz0ZjyWA0V-A_14_11"/>
      <w:bookmarkStart w:id="842" w:name="Tc_3x99D25lSk-hnWbS4nQSHg_14_10"/>
      <w:bookmarkStart w:id="843" w:name="Tc_xIzuuoiQqUGVO17xf9SL6g_14_8"/>
      <w:bookmarkStart w:id="844" w:name="Tc_747SLw6N1UuF9Zs2Pf7Fmg_14_7"/>
      <w:bookmarkStart w:id="845" w:name="Tc_J5_Jywh5h0iMb3itCbWn-Q_14_4"/>
      <w:bookmarkStart w:id="846" w:name="Tc_ua5Mc3PRLkqXwpa5m1KFoQ_14_0"/>
      <w:bookmarkStart w:id="847" w:name="Tc__IDqe7tr9kGB8zMU49fgRg_13_17"/>
      <w:bookmarkStart w:id="848" w:name="Tc_jy_Cz8WJOEiChlTEOZDyIg_13_14"/>
      <w:bookmarkStart w:id="849" w:name="Tc_OxqGGsRWLkCnsO3iQbl7SA_13_11"/>
      <w:bookmarkStart w:id="850" w:name="Tc_i0NlM6Dp3keHfzg1rgWu6w_13_8"/>
      <w:bookmarkStart w:id="851" w:name="Tc_ZpLZrQQR6kKElFx15ku4Dg_13_5"/>
      <w:bookmarkStart w:id="852" w:name="Tc_mjtKIaDx_UOdTudhXNIHhA_13_2"/>
      <w:bookmarkStart w:id="853" w:name="Tc_jJwIvXqDDkOZS4HUpgkWyQ_13_0"/>
      <w:bookmarkStart w:id="854" w:name="Tc_AfwryAMshEmR_lj5g2AL2w_12_20"/>
      <w:bookmarkStart w:id="855" w:name="Tc_X_R_f2zwi0ebhjfWH0VDBw_12_14"/>
      <w:bookmarkStart w:id="856" w:name="Tc_Ad4GIzINz0mpaIqQe-JKXw_12_11"/>
      <w:bookmarkStart w:id="857" w:name="Tc_jWA0ZASh0kWh4BG5bwzyBA_12_8"/>
      <w:bookmarkStart w:id="858" w:name="Tc_9bT4k_7uR0mYN4xCqsHwXg_12_5"/>
      <w:bookmarkStart w:id="859" w:name="Tc_etTh0PllhEC8yP1Uf1vSqg_12_2"/>
      <w:bookmarkStart w:id="860" w:name="Tc_DpNf0c7ZmUySEyujQ08t_g_12_0"/>
      <w:bookmarkStart w:id="861" w:name="Tc_7IvoNqMX-UKz1PkIDj14LQ_11_20"/>
      <w:bookmarkStart w:id="862" w:name="Tc__idXI3lWH06q9uCM6Yg1Kg_11_17"/>
      <w:bookmarkStart w:id="863" w:name="Tc_WqwTpUVdrkmHDRKvuPeUeA_11_11"/>
      <w:bookmarkStart w:id="864" w:name="Tc_aV_UpnhuxkGcyHq8Uhelhw_11_8"/>
      <w:bookmarkStart w:id="865" w:name="Tc_NjGV_fheT0WVEuWar7JOQw_11_5"/>
      <w:bookmarkStart w:id="866" w:name="Tc_ZNaFGJHAak28Du4WsXJRvA_11_2"/>
      <w:bookmarkStart w:id="867" w:name="Tc_bZ0yVKyxlU2Rkw-ekd7vCg_11_0"/>
      <w:bookmarkStart w:id="868" w:name="Tc_GwQA5-tvS0-CtdRENXcHKg_10_20"/>
      <w:bookmarkStart w:id="869" w:name="Tc_WyBttdKBZkKbSuMRU_-TLQ_10_17"/>
      <w:bookmarkStart w:id="870" w:name="Tc_3IVjFfsaDEyL3B3rxM_dRw_10_11"/>
      <w:bookmarkStart w:id="871" w:name="Tc_YgjPf50Wnkm9Nxoo18REJg_10_8"/>
      <w:bookmarkStart w:id="872" w:name="Tc_WQzMnGtH8kmGS_uSKIf5aw_10_0"/>
      <w:bookmarkStart w:id="873" w:name="Tc_0AknazFHpkmX5trN8fsAFQ_9_20"/>
      <w:bookmarkStart w:id="874" w:name="Tc_Mbgt2DFcEUWvUfgp5LwnaA_9_17"/>
      <w:bookmarkStart w:id="875" w:name="Tc_cbyu0nYaBEmjTenxbbxR1A_9_11"/>
      <w:bookmarkStart w:id="876" w:name="Tc_3k6m59Z-_Eys3TUc8IEWJg_9_8"/>
      <w:bookmarkStart w:id="877" w:name="Tc_abRwWxjSdUSuyOx7qjGcyA_9_0"/>
      <w:bookmarkStart w:id="878" w:name="Tc_cBMwlLM06U2OH2n-YJVqkw_8_20"/>
      <w:bookmarkStart w:id="879" w:name="Tc_0durGNToOEyxjmXYFrXUkA_8_17"/>
      <w:bookmarkStart w:id="880" w:name="Tc__oqSs7rxV06nZ1cA0GL7IQ_8_14"/>
      <w:bookmarkStart w:id="881" w:name="Tc_AO1dqEwBU020Hm59JhN0Kg_8_11"/>
      <w:bookmarkStart w:id="882" w:name="Tc_WivvErGJM0SSuZWgihSjjQ_8_8"/>
      <w:bookmarkStart w:id="883" w:name="Tc_bFDwJsXeJkqM8w3YhBSvFA_8_0"/>
      <w:bookmarkStart w:id="884" w:name="Tc_E60oMBO7HUmvuVdaQ7spHQ_7_23"/>
      <w:bookmarkStart w:id="885" w:name="Tc_BHv7qBLJakOZ0QI0hSFy5Q_7_20"/>
      <w:bookmarkStart w:id="886" w:name="Tc_St0mmYMrq0-XbxiP-JxLIQ_7_17"/>
      <w:bookmarkStart w:id="887" w:name="Tc_q-RfDXmWpEuMzTO1-Z_Qvg_7_11"/>
      <w:bookmarkStart w:id="888" w:name="Tc_Q20iyEqX5U-cTWRaLV3PdQ_7_8"/>
      <w:bookmarkStart w:id="889" w:name="Tc_nEGAYcJzq0-TYGpXv_WIMg_7_0"/>
      <w:bookmarkStart w:id="890" w:name="Tc_yUaeCj4y9UOUcGk9taZl8A_6_20"/>
      <w:bookmarkStart w:id="891" w:name="Tc_EdjT2CuVdkuxmN4nndtNQA_6_17"/>
      <w:bookmarkStart w:id="892" w:name="Tc_uRtF-PQTgUOw7QLheKSPfQ_6_11"/>
      <w:bookmarkStart w:id="893" w:name="Tc_1EeEHBs2AEOYfiq0RW0olA_6_8"/>
      <w:bookmarkStart w:id="894" w:name="Tc_lD2P0C0o3E2cTXABwhMVLQ_6_0"/>
      <w:bookmarkStart w:id="895" w:name="Tc_0XdPFke5RUiUE616ul0jtw_5_22"/>
      <w:bookmarkStart w:id="896" w:name="Tc_JsC2AcOKI0y0SUTq4Lt6zw_5_19"/>
      <w:bookmarkStart w:id="897" w:name="Tc_5ZR1zK_NoUCznZy41V9ktA_5_16"/>
      <w:bookmarkStart w:id="898" w:name="Tc_1s7-UQYmpkqReyTOPWjK3g_5_13"/>
      <w:bookmarkStart w:id="899" w:name="Tc_gFOSA3irek6duKI1vsRpDw_5_11"/>
      <w:bookmarkStart w:id="900" w:name="Tc_dEpETN2Wc0SlQXWqvWpc7A_5_10"/>
      <w:bookmarkStart w:id="901" w:name="Tc_fyeI4N7BtkKEj7ASYNLLCg_5_8"/>
      <w:bookmarkStart w:id="902" w:name="Tc_2SuW_Cd0ZEqFOnp6fLxeZQ_5_7"/>
      <w:bookmarkStart w:id="903" w:name="Tc_WOCxy4cHiUmXh-4MK5Qfxg_5_4"/>
      <w:bookmarkStart w:id="904" w:name="Tc_Wllqhm5seUuprhMRJAAEWw_5_0"/>
      <w:bookmarkStart w:id="905" w:name="Tc_ucz7JwEFiEao4TNp1dHtlA_4_22"/>
      <w:bookmarkStart w:id="906" w:name="Tc_jrkYCoeYZkysa8Y9c0bDsw_4_19"/>
      <w:bookmarkStart w:id="907" w:name="Tc_8ZbyMHN07ESxm2rNpZuZ9A_4_16"/>
      <w:bookmarkStart w:id="908" w:name="Tc_l6ttpHEBLUKe3LCrCT4Fcg_4_13"/>
      <w:bookmarkStart w:id="909" w:name="Tc_PQMf3GdvWEqY1UM_pTJB2g_4_10"/>
      <w:bookmarkStart w:id="910" w:name="Tc_D9MeswxUe0GrUnZ6HeKT5A_4_7"/>
      <w:bookmarkStart w:id="911" w:name="Tc_kadjYCF82ku7K6dcoHW2pw_4_4"/>
      <w:bookmarkStart w:id="912" w:name="Tc_Sp0vl4HjfkKygwQdvfzICQ_4_2"/>
      <w:bookmarkStart w:id="913" w:name="Tc_oYKIXyfeLUqE7BHI8U9HyQ_4_0"/>
      <w:bookmarkStart w:id="914" w:name="Tc_bx99cB1XaEiiucphARb58Q_3_16"/>
      <w:bookmarkStart w:id="915" w:name="Tc_OaV-GskOo0mtARd1LePlVQ_3_13"/>
      <w:bookmarkStart w:id="916" w:name="Tc_MWI-RMH0eEub_j4b-zz5_A_3_10"/>
      <w:bookmarkStart w:id="917" w:name="Tc_RHDxC3_LUkuD2bwxgBnXMw_3_7"/>
      <w:bookmarkStart w:id="918" w:name="Tc_kdpk3CvuQEytxPRKPWt2pQ_3_2"/>
      <w:bookmarkStart w:id="919" w:name="Tc_YGIqzoHcvkG5KQTHx1WhCQ_2_16"/>
      <w:bookmarkStart w:id="920" w:name="Tc_EDVbRG1zFESGjEws_mCwzg_2_13"/>
      <w:bookmarkStart w:id="921" w:name="Tc_dJZ4UG6ApE230Wqxnm1r3w_1_16"/>
      <w:bookmarkStart w:id="922" w:name="_8ea068a5_6b35_4d6f_a533_613165ef693e"/>
      <w:bookmarkStart w:id="923" w:name="Tc_S1eZD3OSMEmPsNJzGXELaw_14_22"/>
      <w:bookmarkStart w:id="924" w:name="Tc_Gho-QV4XmEC_2DtwbN4J2Q_14_19"/>
      <w:bookmarkStart w:id="925" w:name="Tc_bFBvvD0SiUOi_Ag9mR2ejg_14_16"/>
      <w:bookmarkStart w:id="926" w:name="Tc_83OLxnXYokyQ_fPu8AfwAQ_14_13"/>
      <w:bookmarkStart w:id="927" w:name="Tc_QY98iHE0g0Oz0ZjyWA0V-A_14_11"/>
      <w:bookmarkStart w:id="928" w:name="Tc_3x99D25lSk-hnWbS4nQSHg_14_10"/>
      <w:bookmarkStart w:id="929" w:name="Tc_xIzuuoiQqUGVO17xf9SL6g_14_8"/>
      <w:bookmarkStart w:id="930" w:name="Tc_747SLw6N1UuF9Zs2Pf7Fmg_14_7"/>
      <w:bookmarkStart w:id="931" w:name="Tc_J5_Jywh5h0iMb3itCbWn-Q_14_4"/>
      <w:bookmarkStart w:id="932" w:name="Tc_ua5Mc3PRLkqXwpa5m1KFoQ_14_0"/>
      <w:bookmarkStart w:id="933" w:name="Tc__IDqe7tr9kGB8zMU49fgRg_13_17"/>
      <w:bookmarkStart w:id="934" w:name="Tc_jy_Cz8WJOEiChlTEOZDyIg_13_14"/>
      <w:bookmarkStart w:id="935" w:name="Tc_OxqGGsRWLkCnsO3iQbl7SA_13_11"/>
      <w:bookmarkStart w:id="936" w:name="Tc_i0NlM6Dp3keHfzg1rgWu6w_13_8"/>
      <w:bookmarkStart w:id="937" w:name="Tc_ZpLZrQQR6kKElFx15ku4Dg_13_5"/>
      <w:bookmarkStart w:id="938" w:name="Tc_mjtKIaDx_UOdTudhXNIHhA_13_2"/>
      <w:bookmarkStart w:id="939" w:name="Tc_jJwIvXqDDkOZS4HUpgkWyQ_13_0"/>
      <w:bookmarkStart w:id="940" w:name="Tc_AfwryAMshEmR_lj5g2AL2w_12_20"/>
      <w:bookmarkStart w:id="941" w:name="Tc_X_R_f2zwi0ebhjfWH0VDBw_12_14"/>
      <w:bookmarkStart w:id="942" w:name="Tc_Ad4GIzINz0mpaIqQe-JKXw_12_11"/>
      <w:bookmarkStart w:id="943" w:name="Tc_jWA0ZASh0kWh4BG5bwzyBA_12_8"/>
      <w:bookmarkStart w:id="944" w:name="Tc_9bT4k_7uR0mYN4xCqsHwXg_12_5"/>
      <w:bookmarkStart w:id="945" w:name="Tc_etTh0PllhEC8yP1Uf1vSqg_12_2"/>
      <w:bookmarkStart w:id="946" w:name="Tc_DpNf0c7ZmUySEyujQ08t_g_12_0"/>
      <w:bookmarkStart w:id="947" w:name="Tc_7IvoNqMX-UKz1PkIDj14LQ_11_20"/>
      <w:bookmarkStart w:id="948" w:name="Tc__idXI3lWH06q9uCM6Yg1Kg_11_17"/>
      <w:bookmarkStart w:id="949" w:name="Tc_WqwTpUVdrkmHDRKvuPeUeA_11_11"/>
      <w:bookmarkStart w:id="950" w:name="Tc_aV_UpnhuxkGcyHq8Uhelhw_11_8"/>
      <w:bookmarkStart w:id="951" w:name="Tc_NjGV_fheT0WVEuWar7JOQw_11_5"/>
      <w:bookmarkStart w:id="952" w:name="Tc_ZNaFGJHAak28Du4WsXJRvA_11_2"/>
      <w:bookmarkStart w:id="953" w:name="Tc_bZ0yVKyxlU2Rkw-ekd7vCg_11_0"/>
      <w:bookmarkStart w:id="954" w:name="Tc_GwQA5-tvS0-CtdRENXcHKg_10_20"/>
      <w:bookmarkStart w:id="955" w:name="Tc_WyBttdKBZkKbSuMRU_-TLQ_10_17"/>
      <w:bookmarkStart w:id="956" w:name="Tc_3IVjFfsaDEyL3B3rxM_dRw_10_11"/>
      <w:bookmarkStart w:id="957" w:name="Tc_YgjPf50Wnkm9Nxoo18REJg_10_8"/>
      <w:bookmarkStart w:id="958" w:name="Tc_WQzMnGtH8kmGS_uSKIf5aw_10_0"/>
      <w:bookmarkStart w:id="959" w:name="Tc_0AknazFHpkmX5trN8fsAFQ_9_20"/>
      <w:bookmarkStart w:id="960" w:name="Tc_Mbgt2DFcEUWvUfgp5LwnaA_9_17"/>
      <w:bookmarkStart w:id="961" w:name="Tc_cbyu0nYaBEmjTenxbbxR1A_9_11"/>
      <w:bookmarkStart w:id="962" w:name="Tc_3k6m59Z-_Eys3TUc8IEWJg_9_8"/>
      <w:bookmarkStart w:id="963" w:name="Tc_abRwWxjSdUSuyOx7qjGcyA_9_0"/>
      <w:bookmarkStart w:id="964" w:name="Tc_cBMwlLM06U2OH2n-YJVqkw_8_20"/>
      <w:bookmarkStart w:id="965" w:name="Tc_0durGNToOEyxjmXYFrXUkA_8_17"/>
      <w:bookmarkStart w:id="966" w:name="Tc__oqSs7rxV06nZ1cA0GL7IQ_8_14"/>
      <w:bookmarkStart w:id="967" w:name="Tc_AO1dqEwBU020Hm59JhN0Kg_8_11"/>
      <w:bookmarkStart w:id="968" w:name="Tc_WivvErGJM0SSuZWgihSjjQ_8_8"/>
      <w:bookmarkStart w:id="969" w:name="Tc_bFDwJsXeJkqM8w3YhBSvFA_8_0"/>
      <w:bookmarkStart w:id="970" w:name="Tc_E60oMBO7HUmvuVdaQ7spHQ_7_23"/>
      <w:bookmarkStart w:id="971" w:name="Tc_BHv7qBLJakOZ0QI0hSFy5Q_7_20"/>
      <w:bookmarkStart w:id="972" w:name="Tc_St0mmYMrq0-XbxiP-JxLIQ_7_17"/>
      <w:bookmarkStart w:id="973" w:name="Tc_q-RfDXmWpEuMzTO1-Z_Qvg_7_11"/>
      <w:bookmarkStart w:id="974" w:name="Tc_Q20iyEqX5U-cTWRaLV3PdQ_7_8"/>
      <w:bookmarkStart w:id="975" w:name="Tc_nEGAYcJzq0-TYGpXv_WIMg_7_0"/>
      <w:bookmarkStart w:id="976" w:name="Tc_yUaeCj4y9UOUcGk9taZl8A_6_20"/>
      <w:bookmarkStart w:id="977" w:name="Tc_EdjT2CuVdkuxmN4nndtNQA_6_17"/>
      <w:bookmarkStart w:id="978" w:name="Tc_uRtF-PQTgUOw7QLheKSPfQ_6_11"/>
      <w:bookmarkStart w:id="979" w:name="Tc_1EeEHBs2AEOYfiq0RW0olA_6_8"/>
      <w:bookmarkStart w:id="980" w:name="Tc_lD2P0C0o3E2cTXABwhMVLQ_6_0"/>
      <w:bookmarkStart w:id="981" w:name="Tc_0XdPFke5RUiUE616ul0jtw_5_22"/>
      <w:bookmarkStart w:id="982" w:name="Tc_JsC2AcOKI0y0SUTq4Lt6zw_5_19"/>
      <w:bookmarkStart w:id="983" w:name="Tc_5ZR1zK_NoUCznZy41V9ktA_5_16"/>
      <w:bookmarkStart w:id="984" w:name="Tc_1s7-UQYmpkqReyTOPWjK3g_5_13"/>
      <w:bookmarkStart w:id="985" w:name="Tc_gFOSA3irek6duKI1vsRpDw_5_11"/>
      <w:bookmarkStart w:id="986" w:name="Tc_dEpETN2Wc0SlQXWqvWpc7A_5_10"/>
      <w:bookmarkStart w:id="987" w:name="Tc_fyeI4N7BtkKEj7ASYNLLCg_5_8"/>
      <w:bookmarkStart w:id="988" w:name="Tc_2SuW_Cd0ZEqFOnp6fLxeZQ_5_7"/>
      <w:bookmarkStart w:id="989" w:name="Tc_WOCxy4cHiUmXh-4MK5Qfxg_5_4"/>
      <w:bookmarkStart w:id="990" w:name="Tc_Wllqhm5seUuprhMRJAAEWw_5_0"/>
      <w:bookmarkStart w:id="991" w:name="Tc_ucz7JwEFiEao4TNp1dHtlA_4_22"/>
      <w:bookmarkStart w:id="992" w:name="Tc_jrkYCoeYZkysa8Y9c0bDsw_4_19"/>
      <w:bookmarkStart w:id="993" w:name="Tc_8ZbyMHN07ESxm2rNpZuZ9A_4_16"/>
      <w:bookmarkStart w:id="994" w:name="Tc_l6ttpHEBLUKe3LCrCT4Fcg_4_13"/>
      <w:bookmarkStart w:id="995" w:name="Tc_PQMf3GdvWEqY1UM_pTJB2g_4_10"/>
      <w:bookmarkStart w:id="996" w:name="Tc_D9MeswxUe0GrUnZ6HeKT5A_4_7"/>
      <w:bookmarkStart w:id="997" w:name="Tc_kadjYCF82ku7K6dcoHW2pw_4_4"/>
      <w:bookmarkStart w:id="998" w:name="Tc_Sp0vl4HjfkKygwQdvfzICQ_4_2"/>
      <w:bookmarkStart w:id="999" w:name="Tc_oYKIXyfeLUqE7BHI8U9HyQ_4_0"/>
      <w:bookmarkStart w:id="1000" w:name="Tc_bx99cB1XaEiiucphARb58Q_3_16"/>
      <w:bookmarkStart w:id="1001" w:name="Tc_OaV-GskOo0mtARd1LePlVQ_3_13"/>
      <w:bookmarkStart w:id="1002" w:name="Tc_MWI-RMH0eEub_j4b-zz5_A_3_10"/>
      <w:bookmarkStart w:id="1003" w:name="Tc_RHDxC3_LUkuD2bwxgBnXMw_3_7"/>
      <w:bookmarkStart w:id="1004" w:name="Tc_kdpk3CvuQEytxPRKPWt2pQ_3_2"/>
      <w:bookmarkStart w:id="1005" w:name="Tc_YGIqzoHcvkG5KQTHx1WhCQ_2_16"/>
      <w:bookmarkStart w:id="1006" w:name="Tc_EDVbRG1zFESGjEws_mCwzg_2_13"/>
      <w:bookmarkStart w:id="1007" w:name="Tc_dJZ4UG6ApE230Wqxnm1r3w_1_16"/>
      <w:bookmarkStart w:id="1008" w:name="_8ea068a5_6b35_4d6f_a533_613165ef693e"/>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p>
    <w:tbl>
      <w:tblPr>
        <w:tblW w:w="11486" w:type="dxa"/>
        <w:jc w:val="left"/>
        <w:tblInd w:w="0" w:type="dxa"/>
        <w:tblLayout w:type="fixed"/>
        <w:tblCellMar>
          <w:top w:w="0" w:type="dxa"/>
          <w:left w:w="0" w:type="dxa"/>
          <w:bottom w:w="0" w:type="dxa"/>
          <w:right w:w="0" w:type="dxa"/>
        </w:tblCellMar>
      </w:tblPr>
      <w:tblGrid>
        <w:gridCol w:w="1561"/>
        <w:gridCol w:w="326"/>
        <w:gridCol w:w="1006"/>
        <w:gridCol w:w="326"/>
        <w:gridCol w:w="196"/>
        <w:gridCol w:w="691"/>
        <w:gridCol w:w="326"/>
        <w:gridCol w:w="309"/>
        <w:gridCol w:w="547"/>
        <w:gridCol w:w="326"/>
        <w:gridCol w:w="222"/>
        <w:gridCol w:w="394"/>
        <w:gridCol w:w="326"/>
        <w:gridCol w:w="196"/>
        <w:gridCol w:w="691"/>
        <w:gridCol w:w="326"/>
        <w:gridCol w:w="310"/>
        <w:gridCol w:w="906"/>
        <w:gridCol w:w="326"/>
        <w:gridCol w:w="196"/>
        <w:gridCol w:w="751"/>
        <w:gridCol w:w="326"/>
        <w:gridCol w:w="196"/>
        <w:gridCol w:w="70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91235" cy="175260"/>
                      <wp:effectExtent l="0" t="0" r="0" b="0"/>
                      <wp:wrapNone/>
                      <wp:docPr id="111" name="Frame11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38810" cy="175260"/>
                      <wp:effectExtent l="0" t="0" r="0" b="0"/>
                      <wp:wrapNone/>
                      <wp:docPr id="113" name="Frame11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4460" cy="175260"/>
                      <wp:effectExtent l="0" t="0" r="0" b="0"/>
                      <wp:wrapNone/>
                      <wp:docPr id="115"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8785" cy="175260"/>
                      <wp:effectExtent l="0" t="0" r="0" b="0"/>
                      <wp:wrapNone/>
                      <wp:docPr id="116" name="Frame1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96215" cy="175260"/>
                      <wp:effectExtent l="0" t="0" r="0" b="0"/>
                      <wp:wrapNone/>
                      <wp:docPr id="118" name="Frame118"/>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47345" cy="175260"/>
                      <wp:effectExtent l="0" t="0" r="0" b="0"/>
                      <wp:wrapNone/>
                      <wp:docPr id="119" name="Frame119"/>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0970" cy="175260"/>
                      <wp:effectExtent l="0" t="0" r="0" b="0"/>
                      <wp:wrapNone/>
                      <wp:docPr id="121" name="Frame12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50190" cy="175260"/>
                      <wp:effectExtent l="0" t="0" r="0" b="0"/>
                      <wp:wrapNone/>
                      <wp:docPr id="122" name="Frame122"/>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4460" cy="175260"/>
                      <wp:effectExtent l="0" t="0" r="0" b="0"/>
                      <wp:wrapNone/>
                      <wp:docPr id="124"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38785" cy="175260"/>
                      <wp:effectExtent l="0" t="0" r="0" b="0"/>
                      <wp:wrapNone/>
                      <wp:docPr id="125" name="Frame1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96850" cy="175260"/>
                      <wp:effectExtent l="0" t="0" r="0" b="0"/>
                      <wp:wrapNone/>
                      <wp:docPr id="127" name="Frame12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75310" cy="175260"/>
                      <wp:effectExtent l="0" t="0" r="0" b="0"/>
                      <wp:wrapNone/>
                      <wp:docPr id="128" name="Frame12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24460" cy="175260"/>
                      <wp:effectExtent l="0" t="0" r="0" b="0"/>
                      <wp:wrapNone/>
                      <wp:docPr id="130" name="Frame1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76885" cy="175260"/>
                      <wp:effectExtent l="0" t="0" r="0" b="0"/>
                      <wp:wrapNone/>
                      <wp:docPr id="131" name="Frame13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33" name="Frame1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48310" cy="175260"/>
                      <wp:effectExtent l="0" t="0" r="0" b="0"/>
                      <wp:wrapNone/>
                      <wp:docPr id="134" name="Frame13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center"/>
              <w:rPr/>
            </w:pPr>
            <w:r>
              <w:rPr/>
              <w:t>​</w:t>
            </w:r>
          </w:p>
        </w:tc>
        <w:tc>
          <w:tcPr>
            <w:tcW w:w="5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3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center"/>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center"/>
              <w:rPr/>
            </w:pPr>
            <w:r>
              <w:rPr/>
              <w:t>​</w:t>
            </w:r>
          </w:p>
        </w:tc>
        <w:tc>
          <w:tcPr>
            <w:tcW w:w="85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Preferred </w:t>
            </w:r>
          </w:p>
        </w:tc>
        <w:tc>
          <w:tcPr>
            <w:tcW w:w="326" w:type="dxa"/>
            <w:tcBorders/>
            <w:vAlign w:val="center"/>
          </w:tcPr>
          <w:p>
            <w:pPr>
              <w:pStyle w:val="TableContents"/>
              <w:bidi w:val="0"/>
              <w:spacing w:before="0" w:after="0"/>
              <w:ind w:left="0" w:right="0" w:hanging="0"/>
              <w:jc w:val="center"/>
              <w:rPr/>
            </w:pPr>
            <w:r>
              <w:rPr/>
              <w:t>​</w:t>
            </w:r>
          </w:p>
        </w:tc>
        <w:tc>
          <w:tcPr>
            <w:tcW w:w="6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5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Nine months ended September 30, 2024</w:t>
            </w:r>
          </w:p>
        </w:tc>
        <w:tc>
          <w:tcPr>
            <w:tcW w:w="3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righ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306,558,710</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438,239</w:t>
            </w:r>
          </w:p>
        </w:tc>
        <w:tc>
          <w:tcPr>
            <w:tcW w:w="326"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122,797</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(548,902)</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10,918</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warrants under registered direct offering, net of expenses</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4,500,000</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7,447</w:t>
            </w:r>
          </w:p>
        </w:tc>
        <w:tc>
          <w:tcPr>
            <w:tcW w:w="326"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center"/>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1,553</w:t>
            </w:r>
          </w:p>
        </w:tc>
        <w:tc>
          <w:tcPr>
            <w:tcW w:w="32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9,000</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9,078,432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10,869</w:t>
            </w:r>
          </w:p>
        </w:tc>
        <w:tc>
          <w:tcPr>
            <w:tcW w:w="326"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(10,869)</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righ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Shares issued from ATM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3,251,588</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4,866</w:t>
            </w:r>
          </w:p>
        </w:tc>
        <w:tc>
          <w:tcPr>
            <w:tcW w:w="326"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right"/>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righ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4,866</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715,772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1,891</w:t>
            </w:r>
          </w:p>
        </w:tc>
        <w:tc>
          <w:tcPr>
            <w:tcW w:w="326"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purchase under Employee Share Purchase Plan</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27,394</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326"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right"/>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righ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19,129</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19,129</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right"/>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(65,882)</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324,131,896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463,366</w:t>
            </w:r>
          </w:p>
        </w:tc>
        <w:tc>
          <w:tcPr>
            <w:tcW w:w="326" w:type="dxa"/>
            <w:tcBorders/>
            <w:vAlign w:val="center"/>
          </w:tcPr>
          <w:p>
            <w:pPr>
              <w:pStyle w:val="TableContents"/>
              <w:bidi w:val="0"/>
              <w:spacing w:before="0" w:after="0"/>
              <w:ind w:left="0" w:right="0" w:hanging="0"/>
              <w:jc w:val="righ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131,152</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(614,784)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(21,469)</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09" w:name="_0aa3646e_2088_4359_b87a_bc5d4e4d974c"/>
      <w:bookmarkEnd w:id="1009"/>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1010" w:name="CondensedConsolidatedStatementsofCashFlo"/>
      <w:bookmarkEnd w:id="1010"/>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011" w:name="Tc_ts9PREwRjUKjoLHBvl_Bwg_47_7"/>
      <w:bookmarkStart w:id="1012" w:name="Tc_ns8T3E-CSUqxactbw6PaTw_47_4"/>
      <w:bookmarkStart w:id="1013" w:name="Tc_E9wd_GWUgU2-rDhISZSgTA_47_0"/>
      <w:bookmarkStart w:id="1014" w:name="Tc_Y85iX0IBUE2srrtIeEKZbg_46_0"/>
      <w:bookmarkStart w:id="1015" w:name="Tc_X-iqLHzZIUqRZzAYYsP1RQ_45_0"/>
      <w:bookmarkStart w:id="1016" w:name="Tc_So2oS_i8G0CXvo4qGleLzg_44_7"/>
      <w:bookmarkStart w:id="1017" w:name="Tc_jmpHyJjYbUq_gozfFCVjVg_44_4"/>
      <w:bookmarkStart w:id="1018" w:name="Tc_A92H4t81-0KvSRROnBGRwA_44_0"/>
      <w:bookmarkStart w:id="1019" w:name="Tc_SNgyZeX9v02kP4jkEjDK9w_43_0"/>
      <w:bookmarkStart w:id="1020" w:name="Tc_pJVFpEICJ0uQ08aaJM1yeg_42_2"/>
      <w:bookmarkStart w:id="1021" w:name="Tc_NLlEocc8xEGrrpoUY3AGQA_42_0"/>
      <w:bookmarkStart w:id="1022" w:name="Tc_afYteGa6GUqPWABbNYS5cA_41_5"/>
      <w:bookmarkStart w:id="1023" w:name="Tc_JE9aZHvNhU6ldWHG42EqdA_41_2"/>
      <w:bookmarkStart w:id="1024" w:name="Tc__Rd39aZVUEO0nNTI0hYveA_41_0"/>
      <w:bookmarkStart w:id="1025" w:name="Tc_Bip0GbKFKk2H2Pnx9TII2A_40_5"/>
      <w:bookmarkStart w:id="1026" w:name="Tc_npR_eAL0SUqZ-M3i0xluiw_40_2"/>
      <w:bookmarkStart w:id="1027" w:name="Tc_9u2MEqd4n0SIaE9UBFjnWA_40_0"/>
      <w:bookmarkStart w:id="1028" w:name="Tc_1h31AfxA1UK7NkzOxzPyMA_39_2"/>
      <w:bookmarkStart w:id="1029" w:name="Tc_M-U7tbVnLk2Mio7qPkWcvA_39_0"/>
      <w:bookmarkStart w:id="1030" w:name="Tc_FKpzyPP2nUO0EzeBF2PpYA_38_2"/>
      <w:bookmarkStart w:id="1031" w:name="Tc_t1W9DV945UuyQZYP53r_mg_38_0"/>
      <w:bookmarkStart w:id="1032" w:name="Tc_TdLPIbEGDk2yBga27I5dxA_37_8"/>
      <w:bookmarkStart w:id="1033" w:name="Tc_uDU4JI26U0SuFwiAFYoEWA_37_2"/>
      <w:bookmarkStart w:id="1034" w:name="Tc_PqutI77zokmWJuMv6niZsQ_37_0"/>
      <w:bookmarkStart w:id="1035" w:name="Tc_8wXKoZWorkSGNWZWrSLt0g_36_8"/>
      <w:bookmarkStart w:id="1036" w:name="Tc_gTfA2i6HBkWKE-1eWIVVAw_36_2"/>
      <w:bookmarkStart w:id="1037" w:name="Tc_G6x8Q6rV1Um8TbX701vgzg_36_0"/>
      <w:bookmarkStart w:id="1038" w:name="Tc_3exOy1RtN0iElDRRoe7hqA_35_8"/>
      <w:bookmarkStart w:id="1039" w:name="Tc_8T3Kad8WfEG4-SoGcBc1CQ_35_2"/>
      <w:bookmarkStart w:id="1040" w:name="Tc_MfyrlNVhkECYMxduQW3rew_35_0"/>
      <w:bookmarkStart w:id="1041" w:name="Tc_uGR_GtUn90ObwONVJwoTGg_34_2"/>
      <w:bookmarkStart w:id="1042" w:name="Tc_VkXJ1i1ME0KdIwAEB72ZwQ_34_0"/>
      <w:bookmarkStart w:id="1043" w:name="Tc_-U2kFfYDxk6E8WoEUVYKyA_33_2"/>
      <w:bookmarkStart w:id="1044" w:name="Tc_XiQ5_nuk_UWlAAOnNGywFg_33_0"/>
      <w:bookmarkStart w:id="1045" w:name="Tc_FRwlYoMlQ0-FPq43qMLnEw_32_2"/>
      <w:bookmarkStart w:id="1046" w:name="Tc_om2xvKSTP0qufMdgItHh6A_32_0"/>
      <w:bookmarkStart w:id="1047" w:name="Tc_BJt7QxhLhU-sPgDhAnjgeg_31_8"/>
      <w:bookmarkStart w:id="1048" w:name="Tc_4uovdlNztU2yLFIYUA9Ujg_31_2"/>
      <w:bookmarkStart w:id="1049" w:name="Tc_00gCAjZLwU-cFtq46VqBvA_31_0"/>
      <w:bookmarkStart w:id="1050" w:name="Tc_e5U-4ENTREimJ9D7gyM0UA_30_0"/>
      <w:bookmarkStart w:id="1051" w:name="Tc_rxTfYnSnqUuPsZCWYmV98g_28_0"/>
      <w:bookmarkStart w:id="1052" w:name="Tc__2yCKOldDEm3U15PgEGjqg_27_8"/>
      <w:bookmarkStart w:id="1053" w:name="Tc_cqar38Q9wUSf3TYjX8opfw_27_2"/>
      <w:bookmarkStart w:id="1054" w:name="Tc_F648LJrQrU6PKtoayThuBQ_27_0"/>
      <w:bookmarkStart w:id="1055" w:name="Tc_mW3Fl90-ykig27YZPpQH0A_26_0"/>
      <w:bookmarkStart w:id="1056" w:name="Tc_MI_Tp9Hl1EedywP6Orm68Q_25_0"/>
      <w:bookmarkStart w:id="1057" w:name="Tc_-fMz6mdLsEil2Nio7dMIfA_23_0"/>
      <w:bookmarkStart w:id="1058" w:name="Tc_Izpbwmq1I0idumEqHA7UZw_22_0"/>
      <w:bookmarkStart w:id="1059" w:name="Tc_7oP19hqap0GoEIFaaZMCyQ_21_0"/>
      <w:bookmarkStart w:id="1060" w:name="Tc_AWAomwyStEeN8v_MhLe8mw_20_0"/>
      <w:bookmarkStart w:id="1061" w:name="Tc_059Cptn83UOdpAWRGNQnCw_19_2"/>
      <w:bookmarkStart w:id="1062" w:name="Tc_Wi_9uwWQt02ARcEsmqUPhA_19_0"/>
      <w:bookmarkStart w:id="1063" w:name="Tc_PHFb1qDWX0GdQgkyz-DfIQ_18_0"/>
      <w:bookmarkStart w:id="1064" w:name="Tc_QyOs39e46ki_d9yfgeHGYQ_17_2"/>
      <w:bookmarkStart w:id="1065" w:name="Tc_HL5AjMmiLkWYr7mdd1zVQA_17_0"/>
      <w:bookmarkStart w:id="1066" w:name="Tc_B7AuVgouUE2vv3iuB1LW9Q_16_8"/>
      <w:bookmarkStart w:id="1067" w:name="Tc_4NoejF5gI0OlTdVUAmRjXA_16_2"/>
      <w:bookmarkStart w:id="1068" w:name="Tc_o4choDhju0Kn5_22onBvvw_16_0"/>
      <w:bookmarkStart w:id="1069" w:name="Tc_YdS2dH2elEyZ7CS83e-p6w_15_8"/>
      <w:bookmarkStart w:id="1070" w:name="Tc_FTlXnrYxDUykCdK_vRaNFQ_15_2"/>
      <w:bookmarkStart w:id="1071" w:name="Tc_n0WG8uf7GkCg9-NqNdquDA_15_0"/>
      <w:bookmarkStart w:id="1072" w:name="Tc_O0-zz-i8yUKlZqD9UiK2EA_14_2"/>
      <w:bookmarkStart w:id="1073" w:name="Tc_Xo4S7gtkvEaKwoIC3W5ghw_14_0"/>
      <w:bookmarkStart w:id="1074" w:name="Tc_Kv5rPg_zcEq9p66-V-r-gQ_13_2"/>
      <w:bookmarkStart w:id="1075" w:name="Tc_TUobtetmREuiUSuqD7x8mQ_13_0"/>
      <w:bookmarkStart w:id="1076" w:name="Tc_NEsuMbwQukuW2AKOYHJDTA_12_2"/>
      <w:bookmarkStart w:id="1077" w:name="Tc_cEnGz3bu3E6Tx2mzheslYA_12_0"/>
      <w:bookmarkStart w:id="1078" w:name="Tc_3JCMDEOpykK4VTg2LX1C4Q_11_5"/>
      <w:bookmarkStart w:id="1079" w:name="Tc_I92D8zTXQUGTjNsbrlR5tg_11_0"/>
      <w:bookmarkStart w:id="1080" w:name="Tc_phu6rU3_I0aOl2k3tFoG4Q_10_0"/>
      <w:bookmarkStart w:id="1081" w:name="Tc_mJx6CE0MiUe_efN9fM0oAw_9_8"/>
      <w:bookmarkStart w:id="1082" w:name="Tc_JvL6pita_kmViEttoZsCoA_9_2"/>
      <w:bookmarkStart w:id="1083" w:name="Tc_5q7y_cm6V0ahqYerHdLXgg_9_0"/>
      <w:bookmarkStart w:id="1084" w:name="Tc_ake3CZ2LeEW92qUTax062w_8_0"/>
      <w:bookmarkStart w:id="1085" w:name="Tc__db2yF_5kkK0qCvQdVnyIA_7_7"/>
      <w:bookmarkStart w:id="1086" w:name="Tc_O2oGbolSmU6-I0oa08b3xw_7_4"/>
      <w:bookmarkStart w:id="1087" w:name="Tc_wlFtc4S8EkiDgWecmSMoKA_7_0"/>
      <w:bookmarkStart w:id="1088" w:name="Tc_rLnU7graI0WlKpz3DC-MLQ_6_0"/>
      <w:bookmarkStart w:id="1089" w:name="Tc_d2Oq8Z25mkWmxSL0UoP9Ag_4_0"/>
      <w:bookmarkStart w:id="1090" w:name="Tc_mEtVpusB6keACK-cDRjZbg_3_7"/>
      <w:bookmarkStart w:id="1091" w:name="Tc_Y9JI5_C4-0mfZchcVXZAJQ_3_4"/>
      <w:bookmarkStart w:id="1092" w:name="Tc_vhWgrpEQikSQ2PWBuU0mkw_3_2"/>
      <w:bookmarkStart w:id="1093" w:name="Tc_yYwSRqjDW0uBK-ciOpLYKQ_2_7"/>
      <w:bookmarkStart w:id="1094" w:name="Tc_fvV1MoQkLkqHwFZ9ZvpIvQ_2_4"/>
      <w:bookmarkStart w:id="1095" w:name="Tc_Eu2TZfJnCEmCD1vAuzbQxA_1_7"/>
      <w:bookmarkStart w:id="1096" w:name="Tc_VQl-REh2e0G6TF1pnP6Rjg_1_4"/>
      <w:bookmarkStart w:id="1097" w:name="_a3886705_20ae_4cc1_bf7f_1fb3bb61d2e3"/>
      <w:bookmarkStart w:id="1098" w:name="Tc_ts9PREwRjUKjoLHBvl_Bwg_47_7"/>
      <w:bookmarkStart w:id="1099" w:name="Tc_ns8T3E-CSUqxactbw6PaTw_47_4"/>
      <w:bookmarkStart w:id="1100" w:name="Tc_E9wd_GWUgU2-rDhISZSgTA_47_0"/>
      <w:bookmarkStart w:id="1101" w:name="Tc_Y85iX0IBUE2srrtIeEKZbg_46_0"/>
      <w:bookmarkStart w:id="1102" w:name="Tc_X-iqLHzZIUqRZzAYYsP1RQ_45_0"/>
      <w:bookmarkStart w:id="1103" w:name="Tc_So2oS_i8G0CXvo4qGleLzg_44_7"/>
      <w:bookmarkStart w:id="1104" w:name="Tc_jmpHyJjYbUq_gozfFCVjVg_44_4"/>
      <w:bookmarkStart w:id="1105" w:name="Tc_A92H4t81-0KvSRROnBGRwA_44_0"/>
      <w:bookmarkStart w:id="1106" w:name="Tc_SNgyZeX9v02kP4jkEjDK9w_43_0"/>
      <w:bookmarkStart w:id="1107" w:name="Tc_pJVFpEICJ0uQ08aaJM1yeg_42_2"/>
      <w:bookmarkStart w:id="1108" w:name="Tc_NLlEocc8xEGrrpoUY3AGQA_42_0"/>
      <w:bookmarkStart w:id="1109" w:name="Tc_afYteGa6GUqPWABbNYS5cA_41_5"/>
      <w:bookmarkStart w:id="1110" w:name="Tc_JE9aZHvNhU6ldWHG42EqdA_41_2"/>
      <w:bookmarkStart w:id="1111" w:name="Tc__Rd39aZVUEO0nNTI0hYveA_41_0"/>
      <w:bookmarkStart w:id="1112" w:name="Tc_Bip0GbKFKk2H2Pnx9TII2A_40_5"/>
      <w:bookmarkStart w:id="1113" w:name="Tc_npR_eAL0SUqZ-M3i0xluiw_40_2"/>
      <w:bookmarkStart w:id="1114" w:name="Tc_9u2MEqd4n0SIaE9UBFjnWA_40_0"/>
      <w:bookmarkStart w:id="1115" w:name="Tc_1h31AfxA1UK7NkzOxzPyMA_39_2"/>
      <w:bookmarkStart w:id="1116" w:name="Tc_M-U7tbVnLk2Mio7qPkWcvA_39_0"/>
      <w:bookmarkStart w:id="1117" w:name="Tc_FKpzyPP2nUO0EzeBF2PpYA_38_2"/>
      <w:bookmarkStart w:id="1118" w:name="Tc_t1W9DV945UuyQZYP53r_mg_38_0"/>
      <w:bookmarkStart w:id="1119" w:name="Tc_TdLPIbEGDk2yBga27I5dxA_37_8"/>
      <w:bookmarkStart w:id="1120" w:name="Tc_uDU4JI26U0SuFwiAFYoEWA_37_2"/>
      <w:bookmarkStart w:id="1121" w:name="Tc_PqutI77zokmWJuMv6niZsQ_37_0"/>
      <w:bookmarkStart w:id="1122" w:name="Tc_8wXKoZWorkSGNWZWrSLt0g_36_8"/>
      <w:bookmarkStart w:id="1123" w:name="Tc_gTfA2i6HBkWKE-1eWIVVAw_36_2"/>
      <w:bookmarkStart w:id="1124" w:name="Tc_G6x8Q6rV1Um8TbX701vgzg_36_0"/>
      <w:bookmarkStart w:id="1125" w:name="Tc_3exOy1RtN0iElDRRoe7hqA_35_8"/>
      <w:bookmarkStart w:id="1126" w:name="Tc_8T3Kad8WfEG4-SoGcBc1CQ_35_2"/>
      <w:bookmarkStart w:id="1127" w:name="Tc_MfyrlNVhkECYMxduQW3rew_35_0"/>
      <w:bookmarkStart w:id="1128" w:name="Tc_uGR_GtUn90ObwONVJwoTGg_34_2"/>
      <w:bookmarkStart w:id="1129" w:name="Tc_VkXJ1i1ME0KdIwAEB72ZwQ_34_0"/>
      <w:bookmarkStart w:id="1130" w:name="Tc_-U2kFfYDxk6E8WoEUVYKyA_33_2"/>
      <w:bookmarkStart w:id="1131" w:name="Tc_XiQ5_nuk_UWlAAOnNGywFg_33_0"/>
      <w:bookmarkStart w:id="1132" w:name="Tc_FRwlYoMlQ0-FPq43qMLnEw_32_2"/>
      <w:bookmarkStart w:id="1133" w:name="Tc_om2xvKSTP0qufMdgItHh6A_32_0"/>
      <w:bookmarkStart w:id="1134" w:name="Tc_BJt7QxhLhU-sPgDhAnjgeg_31_8"/>
      <w:bookmarkStart w:id="1135" w:name="Tc_4uovdlNztU2yLFIYUA9Ujg_31_2"/>
      <w:bookmarkStart w:id="1136" w:name="Tc_00gCAjZLwU-cFtq46VqBvA_31_0"/>
      <w:bookmarkStart w:id="1137" w:name="Tc_e5U-4ENTREimJ9D7gyM0UA_30_0"/>
      <w:bookmarkStart w:id="1138" w:name="Tc_rxTfYnSnqUuPsZCWYmV98g_28_0"/>
      <w:bookmarkStart w:id="1139" w:name="Tc__2yCKOldDEm3U15PgEGjqg_27_8"/>
      <w:bookmarkStart w:id="1140" w:name="Tc_cqar38Q9wUSf3TYjX8opfw_27_2"/>
      <w:bookmarkStart w:id="1141" w:name="Tc_F648LJrQrU6PKtoayThuBQ_27_0"/>
      <w:bookmarkStart w:id="1142" w:name="Tc_mW3Fl90-ykig27YZPpQH0A_26_0"/>
      <w:bookmarkStart w:id="1143" w:name="Tc_MI_Tp9Hl1EedywP6Orm68Q_25_0"/>
      <w:bookmarkStart w:id="1144" w:name="Tc_-fMz6mdLsEil2Nio7dMIfA_23_0"/>
      <w:bookmarkStart w:id="1145" w:name="Tc_Izpbwmq1I0idumEqHA7UZw_22_0"/>
      <w:bookmarkStart w:id="1146" w:name="Tc_7oP19hqap0GoEIFaaZMCyQ_21_0"/>
      <w:bookmarkStart w:id="1147" w:name="Tc_AWAomwyStEeN8v_MhLe8mw_20_0"/>
      <w:bookmarkStart w:id="1148" w:name="Tc_059Cptn83UOdpAWRGNQnCw_19_2"/>
      <w:bookmarkStart w:id="1149" w:name="Tc_Wi_9uwWQt02ARcEsmqUPhA_19_0"/>
      <w:bookmarkStart w:id="1150" w:name="Tc_PHFb1qDWX0GdQgkyz-DfIQ_18_0"/>
      <w:bookmarkStart w:id="1151" w:name="Tc_QyOs39e46ki_d9yfgeHGYQ_17_2"/>
      <w:bookmarkStart w:id="1152" w:name="Tc_HL5AjMmiLkWYr7mdd1zVQA_17_0"/>
      <w:bookmarkStart w:id="1153" w:name="Tc_B7AuVgouUE2vv3iuB1LW9Q_16_8"/>
      <w:bookmarkStart w:id="1154" w:name="Tc_4NoejF5gI0OlTdVUAmRjXA_16_2"/>
      <w:bookmarkStart w:id="1155" w:name="Tc_o4choDhju0Kn5_22onBvvw_16_0"/>
      <w:bookmarkStart w:id="1156" w:name="Tc_YdS2dH2elEyZ7CS83e-p6w_15_8"/>
      <w:bookmarkStart w:id="1157" w:name="Tc_FTlXnrYxDUykCdK_vRaNFQ_15_2"/>
      <w:bookmarkStart w:id="1158" w:name="Tc_n0WG8uf7GkCg9-NqNdquDA_15_0"/>
      <w:bookmarkStart w:id="1159" w:name="Tc_O0-zz-i8yUKlZqD9UiK2EA_14_2"/>
      <w:bookmarkStart w:id="1160" w:name="Tc_Xo4S7gtkvEaKwoIC3W5ghw_14_0"/>
      <w:bookmarkStart w:id="1161" w:name="Tc_Kv5rPg_zcEq9p66-V-r-gQ_13_2"/>
      <w:bookmarkStart w:id="1162" w:name="Tc_TUobtetmREuiUSuqD7x8mQ_13_0"/>
      <w:bookmarkStart w:id="1163" w:name="Tc_NEsuMbwQukuW2AKOYHJDTA_12_2"/>
      <w:bookmarkStart w:id="1164" w:name="Tc_cEnGz3bu3E6Tx2mzheslYA_12_0"/>
      <w:bookmarkStart w:id="1165" w:name="Tc_3JCMDEOpykK4VTg2LX1C4Q_11_5"/>
      <w:bookmarkStart w:id="1166" w:name="Tc_I92D8zTXQUGTjNsbrlR5tg_11_0"/>
      <w:bookmarkStart w:id="1167" w:name="Tc_phu6rU3_I0aOl2k3tFoG4Q_10_0"/>
      <w:bookmarkStart w:id="1168" w:name="Tc_mJx6CE0MiUe_efN9fM0oAw_9_8"/>
      <w:bookmarkStart w:id="1169" w:name="Tc_JvL6pita_kmViEttoZsCoA_9_2"/>
      <w:bookmarkStart w:id="1170" w:name="Tc_5q7y_cm6V0ahqYerHdLXgg_9_0"/>
      <w:bookmarkStart w:id="1171" w:name="Tc_ake3CZ2LeEW92qUTax062w_8_0"/>
      <w:bookmarkStart w:id="1172" w:name="Tc__db2yF_5kkK0qCvQdVnyIA_7_7"/>
      <w:bookmarkStart w:id="1173" w:name="Tc_O2oGbolSmU6-I0oa08b3xw_7_4"/>
      <w:bookmarkStart w:id="1174" w:name="Tc_wlFtc4S8EkiDgWecmSMoKA_7_0"/>
      <w:bookmarkStart w:id="1175" w:name="Tc_rLnU7graI0WlKpz3DC-MLQ_6_0"/>
      <w:bookmarkStart w:id="1176" w:name="Tc_d2Oq8Z25mkWmxSL0UoP9Ag_4_0"/>
      <w:bookmarkStart w:id="1177" w:name="Tc_mEtVpusB6keACK-cDRjZbg_3_7"/>
      <w:bookmarkStart w:id="1178" w:name="Tc_Y9JI5_C4-0mfZchcVXZAJQ_3_4"/>
      <w:bookmarkStart w:id="1179" w:name="Tc_vhWgrpEQikSQ2PWBuU0mkw_3_2"/>
      <w:bookmarkStart w:id="1180" w:name="Tc_yYwSRqjDW0uBK-ciOpLYKQ_2_7"/>
      <w:bookmarkStart w:id="1181" w:name="Tc_fvV1MoQkLkqHwFZ9ZvpIvQ_2_4"/>
      <w:bookmarkStart w:id="1182" w:name="Tc_Eu2TZfJnCEmCD1vAuzbQxA_1_7"/>
      <w:bookmarkStart w:id="1183" w:name="Tc_VQl-REh2e0G6TF1pnP6Rjg_1_4"/>
      <w:bookmarkStart w:id="1184" w:name="_a3886705_20ae_4cc1_bf7f_1fb3bb61d2e3"/>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tbl>
      <w:tblPr>
        <w:tblW w:w="10205" w:type="dxa"/>
        <w:jc w:val="left"/>
        <w:tblInd w:w="0" w:type="dxa"/>
        <w:tblLayout w:type="fixed"/>
        <w:tblCellMar>
          <w:top w:w="0" w:type="dxa"/>
          <w:left w:w="0" w:type="dxa"/>
          <w:bottom w:w="0" w:type="dxa"/>
          <w:right w:w="0" w:type="dxa"/>
        </w:tblCellMar>
      </w:tblPr>
      <w:tblGrid>
        <w:gridCol w:w="5698"/>
        <w:gridCol w:w="326"/>
        <w:gridCol w:w="508"/>
        <w:gridCol w:w="326"/>
        <w:gridCol w:w="284"/>
        <w:gridCol w:w="1202"/>
        <w:gridCol w:w="326"/>
        <w:gridCol w:w="313"/>
        <w:gridCol w:w="1222"/>
      </w:tblGrid>
      <w:tr>
        <w:trPr/>
        <w:tc>
          <w:tcPr>
            <w:tcW w:w="5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618230" cy="175260"/>
                      <wp:effectExtent l="0" t="0" r="0" b="0"/>
                      <wp:wrapNone/>
                      <wp:docPr id="135" name="Frame135"/>
                      <a:graphic xmlns:a="http://schemas.openxmlformats.org/drawingml/2006/main">
                        <a:graphicData uri="http://schemas.microsoft.com/office/word/2010/wordprocessingShape">
                          <wps:wsp>
                            <wps:cNvSpPr txBox="1"/>
                            <wps:spPr>
                              <a:xfrm>
                                <a:off x="0" y="0"/>
                                <a:ext cx="3618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22580" cy="175260"/>
                      <wp:effectExtent l="0" t="0" r="0" b="0"/>
                      <wp:wrapNone/>
                      <wp:docPr id="137" name="Frame137"/>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0340" cy="175260"/>
                      <wp:effectExtent l="0" t="0" r="0" b="0"/>
                      <wp:wrapNone/>
                      <wp:docPr id="139" name="Frame13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63270" cy="175260"/>
                      <wp:effectExtent l="0" t="0" r="0" b="0"/>
                      <wp:wrapNone/>
                      <wp:docPr id="140" name="Frame140"/>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98755" cy="175260"/>
                      <wp:effectExtent l="0" t="0" r="0" b="0"/>
                      <wp:wrapNone/>
                      <wp:docPr id="142" name="Frame142"/>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75970" cy="175260"/>
                      <wp:effectExtent l="0" t="0" r="0" b="0"/>
                      <wp:wrapNone/>
                      <wp:docPr id="143" name="Frame143"/>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48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right"/>
              <w:rPr/>
            </w:pPr>
            <w:r>
              <w:rPr/>
              <w:t>​</w:t>
            </w:r>
          </w:p>
        </w:tc>
        <w:tc>
          <w:tcPr>
            <w:tcW w:w="153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5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    </w:t>
            </w:r>
          </w:p>
        </w:tc>
        <w:tc>
          <w:tcPr>
            <w:tcW w:w="148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right"/>
              <w:rPr/>
            </w:pPr>
            <w:r>
              <w:rPr/>
              <w:t>    </w:t>
            </w:r>
          </w:p>
        </w:tc>
        <w:tc>
          <w:tcPr>
            <w:tcW w:w="153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r>
      <w:tr>
        <w:trPr/>
        <w:tc>
          <w:tcPr>
            <w:tcW w:w="5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right"/>
              <w:rPr/>
            </w:pPr>
            <w:r>
              <w:rPr/>
              <w:t>    </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right"/>
              <w:rPr/>
            </w:pPr>
            <w:r>
              <w:rPr/>
              <w:t>    </w:t>
            </w:r>
          </w:p>
        </w:tc>
        <w:tc>
          <w:tcPr>
            <w:tcW w:w="153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left"/>
              <w:rPr/>
            </w:pPr>
            <w:r>
              <w:rPr/>
              <w:t>  </w:t>
            </w:r>
          </w:p>
        </w:tc>
      </w:tr>
      <w:tr>
        <w:trPr/>
        <w:tc>
          <w:tcPr>
            <w:tcW w:w="56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left"/>
              <w:rPr/>
            </w:pPr>
            <w:r>
              <w:rPr/>
              <w:t>​</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left"/>
              <w:rPr/>
            </w:pPr>
            <w:r>
              <w:rPr/>
              <w:t>​</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26"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(279,446)</w:t>
            </w:r>
          </w:p>
        </w:tc>
        <w:tc>
          <w:tcPr>
            <w:tcW w:w="32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(65,882)</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not affecting cash:</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pPr>
            <w:r>
              <w:rPr/>
              <w:t>​</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 and Tonga Warrant Costs</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38,056</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pPr>
            <w:r>
              <w:rPr/>
              <w:t>—</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on credit facilities</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and expenses settled with equity</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62,265</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19,129</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dilution of investment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pPr>
            <w:r>
              <w:rPr/>
              <w:t>—</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royalty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131,000</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pPr>
            <w:r>
              <w:rPr/>
              <w:t>—</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26"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12,818</w:t>
            </w:r>
          </w:p>
        </w:tc>
        <w:tc>
          <w:tcPr>
            <w:tcW w:w="32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movement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 on amounts drawn from credit facilities and short-term Debt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6,16</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working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pPr>
            <w:r>
              <w:rPr/>
              <w:t>​</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17,036</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(31,496)</w:t>
            </w:r>
          </w:p>
        </w:tc>
        <w:tc>
          <w:tcPr>
            <w:tcW w:w="32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(29,750)</w:t>
            </w:r>
          </w:p>
        </w:tc>
      </w:tr>
      <w:tr>
        <w:trPr/>
        <w:tc>
          <w:tcPr>
            <w:tcW w:w="56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pPr>
            <w:r>
              <w:rPr/>
              <w:t>​</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pPr>
            <w:r>
              <w:rPr/>
              <w:t>​</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equipment and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Low Carbon Royalties distribution</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 from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(465)</w:t>
            </w:r>
          </w:p>
        </w:tc>
      </w:tr>
      <w:tr>
        <w:trPr/>
        <w:tc>
          <w:tcPr>
            <w:tcW w:w="56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pPr>
            <w:r>
              <w:rPr/>
              <w:t>​</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pPr>
            <w:r>
              <w:rPr/>
              <w:t>​</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Korea Zinc Private Placement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85,165</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pPr>
            <w:r>
              <w:rPr/>
              <w:t>—</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Registered Direct Offerings</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42,000</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paid for Registered Direct Offerings</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shares issued from ATM</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14,784</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Class A warrants</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pPr>
            <w:r>
              <w:rPr/>
              <w:t>—</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Class B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pPr>
            <w:r>
              <w:rPr/>
              <w:t>—</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Repayment of drawn amount on credit facilities </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pPr>
            <w:r>
              <w:rPr/>
              <w:t>—</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Allseas Working Capital Loan</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drawdown of credit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6, 16</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4,175</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drawdown of Allseas Debt Agreement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Employee Share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143,475</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23,386</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Increase (Decrease) in cash </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112,185</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(6,829)</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Impact of exchange rate changes on cash </w:t>
            </w:r>
          </w:p>
        </w:tc>
        <w:tc>
          <w:tcPr>
            <w:tcW w:w="326"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2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347</w:t>
            </w:r>
          </w:p>
        </w:tc>
      </w:tr>
      <w:tr>
        <w:trPr/>
        <w:tc>
          <w:tcPr>
            <w:tcW w:w="5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beginning of period</w:t>
            </w:r>
          </w:p>
        </w:tc>
        <w:tc>
          <w:tcPr>
            <w:tcW w:w="326"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3,480</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6,842</w:t>
            </w:r>
          </w:p>
        </w:tc>
      </w:tr>
      <w:tr>
        <w:trPr/>
        <w:tc>
          <w:tcPr>
            <w:tcW w:w="56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26"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115,648</w:t>
            </w:r>
          </w:p>
        </w:tc>
        <w:tc>
          <w:tcPr>
            <w:tcW w:w="326" w:type="dxa"/>
            <w:tcBorders/>
            <w:vAlign w:val="center"/>
          </w:tcPr>
          <w:p>
            <w:pPr>
              <w:pStyle w:val="TableContents"/>
              <w:bidi w:val="0"/>
              <w:spacing w:before="0" w:after="0"/>
              <w:ind w:left="0" w:right="0" w:hanging="0"/>
              <w:jc w:val="left"/>
              <w:rPr/>
            </w:pPr>
            <w:r>
              <w:rPr/>
              <w:t> </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2"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360</w:t>
            </w:r>
          </w:p>
        </w:tc>
      </w:tr>
    </w:tbl>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pBdr/>
        <w:bidi w:val="0"/>
        <w:spacing w:before="0" w:after="0"/>
        <w:ind w:left="0" w:right="0" w:hanging="36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bookmarkStart w:id="1185" w:name="_3d2e32c6_88f2_47d5_9f51_49c0a341401d"/>
        <w:bookmarkEnd w:id="1185"/>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186" w:name="a1NatureofOperations_669125"/>
      <w:bookmarkEnd w:id="1186"/>
      <w:r>
        <w:rPr>
          <w:rFonts w:ascii="Times New Roman;Times;serif" w:hAnsi="Times New Roman;Times;serif"/>
          <w:b/>
          <w:i w:val="false"/>
          <w:caps w:val="false"/>
          <w:smallCaps w:val="false"/>
          <w:sz w:val="20"/>
        </w:rPr>
        <w:t>1.</w:t>
      </w:r>
      <w:r>
        <w:rPr>
          <w:rFonts w:ascii="Times New Roman;Times;serif" w:hAnsi="Times New Roman;Times;serif"/>
          <w:b/>
          <w:sz w:val="20"/>
        </w:rPr>
        <w:t>Nature of Operations</w:t>
      </w:r>
    </w:p>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TMC the metals company Inc. (“TMC” or the “Company”) was incorporated as a Cayman Islands exempted company limited by shares on December 18, 2019. On September 9, 2021, the Company completed its business combination with DeepGreen Metals Inc. (“DeepGreen”), a Canadian - registered company founded in 2011, after which DeepGreen became a wholly - owned subsidiary and the combined company began operating as TMC the metals company Inc. and continued as a corporation under the laws of the province of British Columbia, Canada on September 9, 2021. The Company’s corporate office, registered address and records office is located at 10th floor, 1111 West Hastings Street, 15</w:t>
      </w:r>
      <w:r>
        <w:rPr>
          <w:rFonts w:ascii="Times New Roman;Times;serif" w:hAnsi="Times New Roman;Times;serif"/>
          <w:sz w:val="15"/>
        </w:rPr>
        <w:t>th</w:t>
      </w:r>
      <w:r>
        <w:rPr>
          <w:rFonts w:ascii="Times New Roman;Times;serif" w:hAnsi="Times New Roman;Times;serif"/>
          <w:sz w:val="20"/>
        </w:rPr>
        <w:t xml:space="preserve"> Floor, Vancouver, British Columbia, Canada, V6E 2J3. The Company’s common shares and warrants to purchase common shares are listed for trading on the Nasdaq Global Select Market (“Nasdaq”) under tickers “TMC” and “TMCWW”,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 deep-sea minerals exploration and development company focused on the collection and processing of polymetallic nodules found on the seafloor in international waters of the Clarion Clipperton Zone in the Pacific Ocean (“CCZ”), with NORI Area D located approximately 1,500 miles southwest of San Diego, California. These nodules contain high grades of four metals (nickel, copper, cobalt, manganese) which can be used as (i) feedstock for battery cathode precursors (nickel, cobalt and manganese sulfates, or intermediate nickel-copper-cobalt matte or nickel-copper-cobalt alloy) for nickel-rich lithium-ion batteries, (ii) copper cathode for electric wiring, energy transmission and other applications and (iii) feedstock for steel manufacturing (nickel metal for stainless and other specialty steels, manganese silicate for manganese alloy production cobalt metal for high - performance steel alloys).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28, 2025, the Company’s wholly owned subsidiary, The Metals Company USA, LLC (“TMC USA”), formally submitted applications for two exploration licenses and one commercial recovery permit to the National Oceanic and Atmospheric Administration (“NOAA”) pursuant to the Deep Seabed Hard Mineral Resources Act of 1980 or DSHMRA. The submitted exploration license applications are to secure exploration rights over two areas in the CCZ, namely TMC USA-A and TMC USA-B, covering a total area of 187,017 square kilometers. The submitted commercial recovery permit application is to secure commercial recovery rights for a subset of the TMC USA-A area covering over 25,160 square kilometers. The commercial recovery application is the first submission under DSHMRA for commercial recovery of polymetallic nodules.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Two of the Company's wholly owned subsidiaries, Nauru Ocean Resources Inc. (NORI) and Tonga Offshore Mining Limited (TOML) continue to hold and comply with the terms of their exploration contracts granted by the International Seabed Authority (ISA).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realization of the Company’s assets and attainment of profitable operations is dependent upon many factors including, among other things: financing being arranged by the Company to continue the scaling of the nodule collection system for the recovery of polymetallic nodules from the seafloor and the processing technology for the treatment of polymetallic nodules at commercial scale, the continued establishment of mineable reserves, the commercial and technical feasibility of seafloor polymetallic nodule collection and processing, metal prices, and regulatory approvals and permitting for commercial operations. The outcome of these matters cannot presently be determined because they are contingent on future events and may not be fully under the Company’s control.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2025 or for any other period. These unaudited condensed consolidated interim financial statements should be read in conjunction with the audited annual consolidated financial statements for the year ended December 31, 2024. The Company has applied the same accounting policies as in the prior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Use of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valuation of stock options (Note 14), valuation of warrants (Note 13), the valuation of the Royalty liability (Note 7) and the valuation of leases (Note 6). Actual results could differ materially from those estimates.</w:t>
      </w:r>
    </w:p>
    <w:p>
      <w:pPr>
        <w:pStyle w:val="TextBody"/>
        <w:bidi w:val="0"/>
        <w:spacing w:before="0" w:after="240"/>
        <w:ind w:left="0" w:right="0" w:hanging="0"/>
        <w:jc w:val="left"/>
        <w:rPr>
          <w:rFonts w:ascii="Times New Roman;Times;serif" w:hAnsi="Times New Roman;Times;serif"/>
          <w:b/>
          <w:sz w:val="20"/>
        </w:rPr>
      </w:pPr>
      <w:bookmarkStart w:id="1187" w:name="_25ec1522_1bf9_4ff3_83e0_99c0ecca1985_5"/>
      <w:bookmarkStart w:id="1188" w:name="_25ec1522_1bf9_4ff3_83e0_99c0ecca1985_4"/>
      <w:bookmarkStart w:id="1189" w:name="_25ec1522_1bf9_4ff3_83e0_99c0ecca1985_3"/>
      <w:bookmarkStart w:id="1190" w:name="_25ec1522_1bf9_4ff3_83e0_99c0ecca1985_2"/>
      <w:bookmarkStart w:id="1191" w:name="_25ec1522_1bf9_4ff3_83e0_99c0ecca1985"/>
      <w:bookmarkStart w:id="1192" w:name="_ec33f2a6_53b5_42a4_ab2b_6c9b37dcbbed_5"/>
      <w:bookmarkStart w:id="1193" w:name="_ec33f2a6_53b5_42a4_ab2b_6c9b37dcbbed_4"/>
      <w:bookmarkStart w:id="1194" w:name="_ec33f2a6_53b5_42a4_ab2b_6c9b37dcbbed_3"/>
      <w:bookmarkStart w:id="1195" w:name="_ec33f2a6_53b5_42a4_ab2b_6c9b37dcbbed_2"/>
      <w:bookmarkStart w:id="1196" w:name="_ec33f2a6_53b5_42a4_ab2b_6c9b37dcbbed"/>
      <w:bookmarkStart w:id="1197" w:name="_5f5ba907_9ee9_4437_9f06_9bf7589e6745_5"/>
      <w:bookmarkStart w:id="1198" w:name="_5f5ba907_9ee9_4437_9f06_9bf7589e6745_4"/>
      <w:bookmarkStart w:id="1199" w:name="_5f5ba907_9ee9_4437_9f06_9bf7589e6745_3"/>
      <w:bookmarkStart w:id="1200" w:name="_5f5ba907_9ee9_4437_9f06_9bf7589e6745_2"/>
      <w:bookmarkStart w:id="1201" w:name="_5f5ba907_9ee9_4437_9f06_9bf7589e6745"/>
      <w:bookmarkStart w:id="1202" w:name="_77f25e10_109a_4c91_a800_25eb529e3269_5"/>
      <w:bookmarkStart w:id="1203" w:name="_77f25e10_109a_4c91_a800_25eb529e3269_4"/>
      <w:bookmarkStart w:id="1204" w:name="_77f25e10_109a_4c91_a800_25eb529e3269_3"/>
      <w:bookmarkStart w:id="1205" w:name="_77f25e10_109a_4c91_a800_25eb529e3269_2"/>
      <w:bookmarkStart w:id="1206" w:name="_77f25e10_109a_4c91_a800_25eb529e3269"/>
      <w:bookmarkStart w:id="1207" w:name="_5667ac35_caba_4501_be59_e5053f276101_5"/>
      <w:bookmarkStart w:id="1208" w:name="_5667ac35_caba_4501_be59_e5053f276101_4"/>
      <w:bookmarkStart w:id="1209" w:name="_5667ac35_caba_4501_be59_e5053f276101_3"/>
      <w:bookmarkStart w:id="1210" w:name="_5667ac35_caba_4501_be59_e5053f276101_2"/>
      <w:bookmarkStart w:id="1211" w:name="_5667ac35_caba_4501_be59_e5053f276101"/>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r>
        <w:rPr>
          <w:rFonts w:ascii="Times New Roman;Times;serif" w:hAnsi="Times New Roman;Times;serif"/>
          <w:b/>
          <w:i w:val="false"/>
          <w:caps w:val="false"/>
          <w:smallCaps w:val="false"/>
          <w:sz w:val="20"/>
        </w:rPr>
        <w:t>4.</w:t>
      </w:r>
      <w:r>
        <w:rPr>
          <w:rFonts w:ascii="Times New Roman;Times;serif" w:hAnsi="Times New Roman;Times;serif"/>
          <w:b/>
          <w:sz w:val="20"/>
        </w:rPr>
        <w:t>Fair Value of Financial Instruments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measures fair value at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1</w:t>
            </w:r>
            <w:r>
              <w:rPr>
                <w:caps w:val="false"/>
                <w:smallCaps w:val="false"/>
              </w:rPr>
              <w:t> </w:t>
            </w:r>
            <w:r>
              <w:rPr>
                <w:rFonts w:ascii="Times New Roman;Times;serif" w:hAnsi="Times New Roman;Times;serif"/>
                <w:b w:val="false"/>
                <w:i w:val="false"/>
                <w:caps w:val="false"/>
                <w:smallCaps w:val="false"/>
                <w:sz w:val="20"/>
              </w:rPr>
              <w:t>- Valuations based on quoted prices in active markets for identical assets or liabilities that an entity has the ability to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2</w:t>
            </w:r>
            <w:r>
              <w:rPr>
                <w:caps w:val="false"/>
                <w:smallCaps w:val="false"/>
              </w:rPr>
              <w:t> </w:t>
            </w:r>
            <w:r>
              <w:rPr>
                <w:rFonts w:ascii="Times New Roman;Times;serif" w:hAnsi="Times New Roman;Times;serif"/>
                <w:b w:val="false"/>
                <w:i w:val="false"/>
                <w:caps w:val="false"/>
                <w:smallCaps w:val="false"/>
                <w:sz w:val="20"/>
              </w:rPr>
              <w:t>-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3</w:t>
            </w:r>
            <w:r>
              <w:rPr>
                <w:caps w:val="false"/>
                <w:smallCaps w:val="false"/>
              </w:rPr>
              <w:t> </w:t>
            </w:r>
            <w:r>
              <w:rPr>
                <w:rFonts w:ascii="Times New Roman;Times;serif" w:hAnsi="Times New Roman;Times;serif"/>
                <w:b w:val="false"/>
                <w:i w:val="false"/>
                <w:caps w:val="false"/>
                <w:smallCaps w:val="false"/>
                <w:sz w:val="20"/>
              </w:rPr>
              <w:t>- Valuations based on inputs that are supported by little or no market activity and that are significant to the fair value of the assets or liabilities.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transfers between fair value measurement levels during the three and nine months ended September 30, 2025, and 2024.</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2025, and December 31, 2024, the carrying values of cash, receivables, short-term debt, accounts payable and accrued liabilities approximate their fair values due to the short-term nature of these instruments. The financial instruments also include royalty liability, accrued liabilities and warrants which are recorded at fair value as disclosed in Note 7, Note 10 and Note 13,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Recent Accounting Pronouncements Issued and Adopted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recent accounting pronouncements issued and adopted by the Company during the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bookmarkStart w:id="1212" w:name="Tc_F3uGGNB5fEOjZ8ga29PVXg_6_2"/>
      <w:bookmarkStart w:id="1213" w:name="Tc_zr1DG_Q41kuVnfXBncvtXA_6_0"/>
      <w:bookmarkStart w:id="1214" w:name="Tc_KvAQeqUwfUu7RH0o804VCA_5_0"/>
      <w:bookmarkStart w:id="1215" w:name="Tc_WpsbOk-2Pk-cVLrNTKkESA_4_2"/>
      <w:bookmarkStart w:id="1216" w:name="Tc_H7VpGV_ls0-sBLkXtgE3cA_4_0"/>
      <w:bookmarkStart w:id="1217" w:name="Tc_0w_4mDjzrE2NVjojIunmkA_3_0"/>
      <w:bookmarkStart w:id="1218" w:name="Tc_DgwF4gFc9kyNrCmanSZqTA_2_2"/>
      <w:bookmarkStart w:id="1219" w:name="Tc_EjRs9siewkm5AaAs4Nerpw_2_0"/>
      <w:bookmarkStart w:id="1220" w:name="Tc_0XmCqms4ckmGJz26DS2DYg_1_2"/>
      <w:bookmarkEnd w:id="1212"/>
      <w:bookmarkEnd w:id="1213"/>
      <w:bookmarkEnd w:id="1214"/>
      <w:bookmarkEnd w:id="1215"/>
      <w:bookmarkEnd w:id="1216"/>
      <w:bookmarkEnd w:id="1217"/>
      <w:bookmarkEnd w:id="1218"/>
      <w:bookmarkEnd w:id="1219"/>
      <w:bookmarkEnd w:id="1220"/>
      <w:r>
        <w:rPr>
          <w:rFonts w:ascii="Times New Roman;Times;serif" w:hAnsi="Times New Roman;Times;serif"/>
          <w:b/>
          <w:i w:val="false"/>
          <w:caps w:val="false"/>
          <w:smallCaps w:val="false"/>
          <w:sz w:val="20"/>
        </w:rPr>
        <w:t>6.</w:t>
      </w:r>
      <w:r>
        <w:rPr>
          <w:rFonts w:ascii="Times New Roman;Times;serif" w:hAnsi="Times New Roman;Times;serif"/>
          <w:b/>
          <w:sz w:val="20"/>
        </w:rPr>
        <w:t>Strategic Alliance with Allseas and Affiliates</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Development of Project Zero Offshore Nodule Collection System</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16, 2022, NORI and Allseas Group S.A. (“Allseas”) entered into a non-binding term sheet for the development and operation of a commercial nodule collection system. For the three and nine months ended September 30, 2025, Allseas provided the Company with engineering, project management and vessel use services consisting of lay-up and transit costs totaling $0.5 million and $3.7 million, respectively as part of the development of the commercial nodule collection system: these costs were recorded as mining, technological and process development within exploration and evaluation expenses (Note 8) (For three months and nine months ended September 30, 2024: $2.8 million and $9.6 million respectively).</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Exclusive Vessel Use Agreement with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August 1, 2023, the Company entered into an Exclusive Vessel Use Agreement with Allseas pursuant to which Allseas will give exclusive use of the vessel </w:t>
      </w:r>
      <w:r>
        <w:rPr>
          <w:rFonts w:ascii="Times New Roman;Times;serif" w:hAnsi="Times New Roman;Times;serif"/>
          <w:i/>
          <w:sz w:val="20"/>
        </w:rPr>
        <w:t>(“Hidden Gem”)</w:t>
      </w:r>
      <w:r>
        <w:rPr>
          <w:rFonts w:ascii="Times New Roman;Times;serif" w:hAnsi="Times New Roman;Times;serif"/>
          <w:sz w:val="20"/>
        </w:rPr>
        <w:t xml:space="preserve"> to the Company in support of the development of the Project Zero Offshore Nodule Collection System until the system is completed or December 31, 2026, whichever is earlier. Allseas can terminate the agreement if the Company ceases normal operations, assigns assets to creditors, initiates bankruptcy proceedings, or faces unresolved bankruptcy-related 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three and nine months ended September 30, 2025, the Company has recognized $0.5 million and $1.4 million, respectively as lease expense recorded as exploration and evaluation expense (For the three and nine months ended September 30, 2024: $0.5 million and $1.4 million respectively).</w:t>
      </w:r>
    </w:p>
    <w:p>
      <w:pPr>
        <w:pStyle w:val="TextBody"/>
        <w:bidi w:val="0"/>
        <w:spacing w:before="0" w:after="0"/>
        <w:ind w:left="0" w:right="0" w:hanging="0"/>
        <w:jc w:val="left"/>
        <w:rPr/>
      </w:pPr>
      <w:r>
        <w:rPr/>
        <w:t>​</w:t>
      </w:r>
    </w:p>
    <w:tbl>
      <w:tblPr>
        <w:tblW w:w="4753" w:type="dxa"/>
        <w:jc w:val="left"/>
        <w:tblInd w:w="0" w:type="dxa"/>
        <w:tblLayout w:type="fixed"/>
        <w:tblCellMar>
          <w:top w:w="0" w:type="dxa"/>
          <w:left w:w="0" w:type="dxa"/>
          <w:bottom w:w="0" w:type="dxa"/>
          <w:right w:w="0" w:type="dxa"/>
        </w:tblCellMar>
      </w:tblPr>
      <w:tblGrid>
        <w:gridCol w:w="2956"/>
        <w:gridCol w:w="326"/>
        <w:gridCol w:w="349"/>
        <w:gridCol w:w="1122"/>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77060" cy="175260"/>
                      <wp:effectExtent l="0" t="0" r="0" b="0"/>
                      <wp:wrapNone/>
                      <wp:docPr id="144" name="Frame14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1615" cy="175260"/>
                      <wp:effectExtent l="0" t="0" r="0" b="0"/>
                      <wp:wrapNone/>
                      <wp:docPr id="146" name="Frame14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12470" cy="175260"/>
                      <wp:effectExtent l="0" t="0" r="0" b="0"/>
                      <wp:wrapNone/>
                      <wp:docPr id="147" name="Frame147"/>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Right-of-use Asset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5,721</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year</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(1,907)</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3,814</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period</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(1,430)</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2,384</w:t>
            </w:r>
          </w:p>
        </w:tc>
      </w:tr>
    </w:tbl>
    <w:p>
      <w:pPr>
        <w:pStyle w:val="TextBody"/>
        <w:bidi w:val="0"/>
        <w:spacing w:before="0" w:after="0"/>
        <w:ind w:left="360" w:right="0" w:hanging="0"/>
        <w:jc w:val="both"/>
        <w:rPr/>
      </w:pPr>
      <w:r>
        <w:rPr/>
        <w: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 xml:space="preserve">2023 Credit Facility and Loan Agreements with Company Related to Allseas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22, 2023, the Company entered into an Unsecured Credit Facility Agreement, which was amended on July 31, 2023 (“2023 Credit Facility”), with Argentum Cedit Virtuti GCV (the “Lender”), the parent of Allseas Investments S.A. (“Allseas Investments”) and an affiliate of Allseas, pursuant to which, the Company may borrow from the Lender up to $25 million in the aggregate, from time to time, subject to certain conditions. All amounts drawn under the 2023 Credit Facility will bear interest based on the 6-month Secured Overnight Financing Rate, 180-day average plus a margin of 4.0% per annum payable in cash semi-annually (or plus a margin of 5% if paid-in-kind at maturity, at the Company’s election) on the first business day of each of June and January. The Company will pay an underutilization fee equal to 4.0% per annum payable semi-annually for any amounts that remain undrawn under the 2023 Credit Facility. The Company has the right to pre-pay the entire amount outstanding under the 2023 Credit Facility at any time before the 2023 Credit Facility’s maturity. The Company has the ability to settle certain charges under the 2023 Credit Facility in cash or in equity at the discretion of the Company. The 2023 Credit Facility also contains customary events of default. On March 24, 2025, the Company entered into a Letter Agreement with the Lender, pursuant to which the undrawn, unsecured credit facility was cancelled with the only obligation being the underutilization fees amounting to $2 million as payable.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September 9, 2024, the Company entered into a working capital loan agreement (the “Working Capital Loan Agreement”) with Allseas Investments, a company related to Allseas. In accordance with the Working Capital Loan Agreement, Allseas Investments provided a loan to the Company of $7.5 million (the “Working Capital Loan”) to be used towards general corporate purposes and for the repayment of all outstanding amounts under the Short-Term Loan between the Company and the Lender. The Working Capital Loan is payable to Allseas Investments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the Company’s election). On March 24, 2025, the Company entered into a Letter Agreement with Allseas Investments, pursuant to which the Repayment Date under the Working Capital Loan Agreement was extended to September 30, 2025, with principal and interest being repayable on that date. During the three and nine months ended September 30, 2025, the Company incurred nil and $0.3 million, respectively as interest expense. During the second quarter of 2025, the Company repaid the entire outstanding loan and interest, amounting to $7.5 million and $0.5 million, respectively, thereby cancelling the Working Capital Loan Agreement.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Other Activity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12, 2025, the Company entered into a securities purchase agreement with Allseas (Note 11) pursuant to which the Company agreed to sell and issue, 2,333,333 common shares of the Company, and 2,333,333 Class C warrants (“Class C Warrants”) to Allseas for gross proceeds of $7 million. In the second quarter of 2025, the entire gross proceeds from Allseas were received and the corresponding shares were issued.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As at September 30, 2025, the total amount payable to Allseas and its affiliates was $32.9 million, with the entire balance recorded in accrued liabilities in the Condensed Consolidated Balance Sheet (Note 10) (December 31, 2024: $33.3 million of which $25.8 recorded as accrued liabilities and $7.5 million recorded as short-term debt). As at September 30, 2025, Allseas and its affiliates owned 56.1 million TMC common shares (December 31, 2024: 53.8 million TMC common shares) which constituted 13.7% (December 31, 2024: 15.8%) of total common shares outstanding.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Investment in Low Carbon Royalties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21, 2023 (the “Closing Date”), the Company and its wholly-owned subsidiary, NORI, entered into an investment agreement (the “Royalty Agreement”) with Low Carbon Royalties Inc. (“Low Carbon Royalties”), which was renamed The Metals Royalty Company Inc. in September 2025. In connection with the Royalty Agreement, NORI contributed a 2% gross overriding royalty (the “NORI Royalty”) on the Company’s NORI project area in the CCZ to Low Carbon Royalties. In consideration of the NORI Royalty, TMC received an ownership in Low Carbon Royalties and $5 million in cash, as of the Closing Date. In connection with the Royalty Agreement the Company entered into an Investor Rights Agreement with Low Carbon Royalties and a shareholder of Low Carbon Royalties, pursuant to which the Company and this shareholder each have a right, subject to certain percentage maintenance, to nominate a director to Low Carbon Royalties’ board of directors, along with registration and information rights.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September 30, 2025, Low Carbon Royalties issued 2,139,770 common shares through a private placement, raising $10.7 million of gross proceeds. The Company did not participate in the offering, which reduced its ownership interest from 32.27% to 30.73%.(December 31, 2024: 32%). As the shares were issued at a price higher than the Low Carbon Royalties book value per share, the Company recorded a dilution gain of $3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1221" w:name="Tc_1iDj0LXJyU-4Pw-U-F4CIw_6_2"/>
      <w:bookmarkStart w:id="1222" w:name="Tc_JFQ2tUCqPkuIBRyvVAqR3w_6_0"/>
      <w:bookmarkStart w:id="1223" w:name="Tc_5CKbIf73PUq9siO5NmoWgw_5_0"/>
      <w:bookmarkStart w:id="1224" w:name="Tc_6py5sEnFrUez5en4VyR4vg_4_2"/>
      <w:bookmarkStart w:id="1225" w:name="Tc_fm77yadtuk-lzDMk3es52g_4_0"/>
      <w:bookmarkStart w:id="1226" w:name="Tc_T76JiUtTbkGdgUF3PYrPPg_3_9"/>
      <w:bookmarkStart w:id="1227" w:name="Tc_r-VE4XEybEKZD1hlBTHsQA_3_7"/>
      <w:bookmarkStart w:id="1228" w:name="Tc_l91mwOlY-0GfkOgG44d_nQ_3_5"/>
      <w:bookmarkStart w:id="1229" w:name="Tc_5l4FhXd8FEGqyzMzktfN7A_3_2"/>
      <w:bookmarkStart w:id="1230" w:name="Tc_n3rveS45eUKnT2aOeJKdXg_2_9"/>
      <w:bookmarkStart w:id="1231" w:name="Tc_7FPuLs4xd02uZ7D3AF9Tsw_2_7"/>
      <w:bookmarkStart w:id="1232" w:name="Tc_Gxah4xwdB0ax50fh3ta6yQ_2_5"/>
      <w:bookmarkStart w:id="1233" w:name="Tc_EA4FROoQTEile8oiC7d7pg_2_2"/>
      <w:bookmarkStart w:id="1234" w:name="Tc_fugoo9N3IUe7KKL8clm7GQ_1_9"/>
      <w:bookmarkStart w:id="1235" w:name="Tc_LXwD9DXGoUazaVEL918UOw_1_7"/>
      <w:bookmarkStart w:id="1236" w:name="Tc_GluZLu7Vi0-NEqzh3MrsYg_1_5"/>
      <w:bookmarkStart w:id="1237" w:name="Tc_KYy-j8LwhkmDgz3MjYj7wA_1_2"/>
      <w:bookmarkStart w:id="1238" w:name="Tc_1UPk4DERv0iXgh4opM9bjw_5_5"/>
      <w:bookmarkStart w:id="1239" w:name="Tc_w9PCaLFQNUOCny_WEtTz1Q_5_0"/>
      <w:bookmarkStart w:id="1240" w:name="Tc_SR3bNK5Dxki07roqJ6QLPQ_4_0"/>
      <w:bookmarkStart w:id="1241" w:name="Tc_smTvAUQ9LEm9gOA2dpBBng_3_2"/>
      <w:bookmarkStart w:id="1242" w:name="Tc_5HmfsJViDEGZ1VE3Zny6hQ_3_0"/>
      <w:bookmarkStart w:id="1243" w:name="Tc_mS7aMF0_KUaFidiIz2OLJA_2_5"/>
      <w:bookmarkStart w:id="1244" w:name="Tc_jFlC_LSwOUeCtWNCXZ7H6g_2_2"/>
      <w:bookmarkStart w:id="1245" w:name="Tc_x2uzJpXFEUKu0aNsGUo-rQ_1_5"/>
      <w:bookmarkStart w:id="1246" w:name="Tc_iS_DohUQh02U77bVjIh2AA_1_2"/>
      <w:bookmarkStart w:id="1247" w:name="Tc_1w2RjZCoRkWknjq6OqxuVg_4_2"/>
      <w:bookmarkStart w:id="1248" w:name="Tc_mTaQBIFWPEaiMlQKZr_5yw_4_0"/>
      <w:bookmarkStart w:id="1249" w:name="Tc_-EwrSnvlU0OcPCfzMuazWg_3_0"/>
      <w:bookmarkStart w:id="1250" w:name="Tc_dZO3F0PCm0Wyk6cz6Dg1AQ_2_2"/>
      <w:bookmarkStart w:id="1251" w:name="Tc_8pfVoSl1u0WCeQIfeQRhDQ_2_0"/>
      <w:bookmarkStart w:id="1252" w:name="Tc_VNK2FYCfcU2ygrZAL-Eqmg_1_2"/>
      <w:bookmarkStart w:id="1253" w:name="Tc_QR-M-OeqU0qy6BfrTStACA_8_2"/>
      <w:bookmarkStart w:id="1254" w:name="Tc_Qr7icvhVfEiG_Fz3irp6Aw_8_0"/>
      <w:bookmarkStart w:id="1255" w:name="Tc_ojW7eqjmN0OR8TlzCbbLKA_7_0"/>
      <w:bookmarkStart w:id="1256" w:name="Tc_HRWCE23r1kOyAj_1J3iPqQ_6_0"/>
      <w:bookmarkStart w:id="1257" w:name="Tc_C08GEcKGH0-p09B654YJ6g_5_0"/>
      <w:bookmarkStart w:id="1258" w:name="Tc_0fP3UurLzkeV2M8Hpe05cQ_4_2"/>
      <w:bookmarkStart w:id="1259" w:name="Tc_Mir-Rt2ZD0G4GCu3kvqraQ_4_0"/>
      <w:bookmarkStart w:id="1260" w:name="Tc_WATp1UdYz0mVU3wINfYV0g_3_0"/>
      <w:bookmarkStart w:id="1261" w:name="Tc_k4faQ6qHRkaYPDI3NwoaUw_2_2"/>
      <w:bookmarkStart w:id="1262" w:name="Tc_uKco6vVFzE-Z15KOXbuNcg_2_0"/>
      <w:bookmarkStart w:id="1263" w:name="Tc_B3SaaQRVeEq-cYqLRK_EOg_1_2"/>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r>
        <w:rPr>
          <w:rFonts w:ascii="Times New Roman;Times;serif" w:hAnsi="Times New Roman;Times;serif"/>
          <w:sz w:val="20"/>
        </w:rPr>
        <w:t>For the three and nine months ended September 30, 2025, the Company’s share of the net loss generated by Low Carbon Royalties was $0.5 million and $0.4 million, respectively (For the three and nine months ended September 30, 2024, the Company’s share of Low Carbon Royalties’s net loss was: $58 thousand and $197 thousand respectively).</w:t>
      </w:r>
    </w:p>
    <w:p>
      <w:pPr>
        <w:pStyle w:val="TextBody"/>
        <w:bidi w:val="0"/>
        <w:spacing w:before="0" w:after="0"/>
        <w:ind w:left="0" w:right="0" w:hanging="0"/>
        <w:jc w:val="left"/>
        <w:rPr/>
      </w:pPr>
      <w:r>
        <w:rPr/>
        <w:t>​</w:t>
      </w:r>
    </w:p>
    <w:tbl>
      <w:tblPr>
        <w:tblW w:w="8024" w:type="dxa"/>
        <w:jc w:val="left"/>
        <w:tblInd w:w="0" w:type="dxa"/>
        <w:tblLayout w:type="fixed"/>
        <w:tblCellMar>
          <w:top w:w="0" w:type="dxa"/>
          <w:left w:w="0" w:type="dxa"/>
          <w:bottom w:w="0" w:type="dxa"/>
          <w:right w:w="0" w:type="dxa"/>
        </w:tblCellMar>
      </w:tblPr>
      <w:tblGrid>
        <w:gridCol w:w="6706"/>
        <w:gridCol w:w="326"/>
        <w:gridCol w:w="211"/>
        <w:gridCol w:w="781"/>
      </w:tblGrid>
      <w:tr>
        <w:trPr/>
        <w:tc>
          <w:tcPr>
            <w:tcW w:w="6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258310" cy="175260"/>
                      <wp:effectExtent l="0" t="0" r="0" b="0"/>
                      <wp:wrapNone/>
                      <wp:docPr id="148" name="Frame148"/>
                      <a:graphic xmlns:a="http://schemas.openxmlformats.org/drawingml/2006/main">
                        <a:graphicData uri="http://schemas.microsoft.com/office/word/2010/wordprocessingShape">
                          <wps:wsp>
                            <wps:cNvSpPr txBox="1"/>
                            <wps:spPr>
                              <a:xfrm>
                                <a:off x="0" y="0"/>
                                <a:ext cx="425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95935" cy="175260"/>
                      <wp:effectExtent l="0" t="0" r="0" b="0"/>
                      <wp:wrapNone/>
                      <wp:docPr id="151" name="Frame1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Investment</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as at December 31, 2023</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for the 2024 year</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as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8,203</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of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Dilution gain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for the nine months ended September 30, 2025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10,387</w:t>
            </w:r>
          </w:p>
        </w:tc>
      </w:tr>
    </w:tbl>
    <w:p>
      <w:pPr>
        <w:pStyle w:val="TextBody"/>
        <w:bidi w:val="0"/>
        <w:spacing w:before="0" w:after="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NORI Royalty (including Areas A to D) was recorded as a royalty liability in the consolidated Balance Sheet in accordance with ASC 470, </w:t>
      </w:r>
      <w:r>
        <w:rPr>
          <w:rFonts w:ascii="Times New Roman;Times;serif" w:hAnsi="Times New Roman;Times;serif"/>
          <w:i/>
          <w:sz w:val="20"/>
        </w:rPr>
        <w:t>Debt</w:t>
      </w:r>
      <w:r>
        <w:rPr>
          <w:rFonts w:ascii="Times New Roman;Times;serif" w:hAnsi="Times New Roman;Times;serif"/>
          <w:sz w:val="20"/>
        </w:rPr>
        <w:t xml:space="preserve"> (“ASC 470”). The Company elected to account for the royalty liability at fair value through profit and loss. The fair value of Areas A to C was determined using a market approach which entails examining recent royalty transactions prior to the reporting date, focusing on those transactions that involve similar metals as contained in NORI’s polymetallic nodules. The Company compared the specific characteristics of these transactions and estimated the fair value for Areas A to C at $15 million as at September 30, 2025. The fair value of Area D was determined using an income approach following the Company's filing in August 2025 of its Pre - Feasibility Study (PFS) resulting with a fair value for Area D of $130 million as at September 30, 2025. The discounted cash flow fair value reflects updated operational and economic assumptions, including the use of forward metal prices and a discount rate of approximately 10.6%, related to the NORI Area D project used in support of the PFS filing.</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 presents the changes in the fair value of the royalty liability:</w:t>
      </w:r>
    </w:p>
    <w:p>
      <w:pPr>
        <w:pStyle w:val="TextBody"/>
        <w:bidi w:val="0"/>
        <w:spacing w:before="0" w:after="0"/>
        <w:ind w:left="360" w:right="0" w:hanging="0"/>
        <w:jc w:val="both"/>
        <w:rPr/>
      </w:pPr>
      <w:r>
        <w:rPr/>
        <w:t>​</w:t>
      </w:r>
    </w:p>
    <w:tbl>
      <w:tblPr>
        <w:tblW w:w="5383" w:type="dxa"/>
        <w:jc w:val="left"/>
        <w:tblInd w:w="0" w:type="dxa"/>
        <w:tblLayout w:type="fixed"/>
        <w:tblCellMar>
          <w:top w:w="0" w:type="dxa"/>
          <w:left w:w="0" w:type="dxa"/>
          <w:bottom w:w="0" w:type="dxa"/>
          <w:right w:w="0" w:type="dxa"/>
        </w:tblCellMar>
      </w:tblPr>
      <w:tblGrid>
        <w:gridCol w:w="3661"/>
        <w:gridCol w:w="326"/>
        <w:gridCol w:w="268"/>
        <w:gridCol w:w="1128"/>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24735" cy="175260"/>
                      <wp:effectExtent l="0" t="0" r="0" b="0"/>
                      <wp:wrapNone/>
                      <wp:docPr id="152" name="Frame152"/>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70180" cy="175260"/>
                      <wp:effectExtent l="0" t="0" r="0" b="0"/>
                      <wp:wrapNone/>
                      <wp:docPr id="154" name="Frame15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16280" cy="175260"/>
                      <wp:effectExtent l="0" t="0" r="0" b="0"/>
                      <wp:wrapNone/>
                      <wp:docPr id="155" name="Frame155"/>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Royalty Liability</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liability as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fair value of royalty liability</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131,000</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Royalty liability as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145,000</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Financial results of Low Carbon Royalties as at and for the three and nine months ended September 30, 2025, and 2024 are summarized below:</w:t>
      </w:r>
    </w:p>
    <w:p>
      <w:pPr>
        <w:pStyle w:val="TextBody"/>
        <w:bidi w:val="0"/>
        <w:spacing w:before="0" w:after="0"/>
        <w:ind w:left="360" w:right="0" w:hanging="0"/>
        <w:jc w:val="both"/>
        <w:rPr/>
      </w:pPr>
      <w:r>
        <w:rPr/>
        <w:t>​</w:t>
      </w:r>
    </w:p>
    <w:tbl>
      <w:tblPr>
        <w:tblW w:w="5469" w:type="dxa"/>
        <w:jc w:val="left"/>
        <w:tblInd w:w="0" w:type="dxa"/>
        <w:tblLayout w:type="fixed"/>
        <w:tblCellMar>
          <w:top w:w="0" w:type="dxa"/>
          <w:left w:w="0" w:type="dxa"/>
          <w:bottom w:w="0" w:type="dxa"/>
          <w:right w:w="0" w:type="dxa"/>
        </w:tblCellMar>
      </w:tblPr>
      <w:tblGrid>
        <w:gridCol w:w="1696"/>
        <w:gridCol w:w="326"/>
        <w:gridCol w:w="380"/>
        <w:gridCol w:w="1225"/>
        <w:gridCol w:w="326"/>
        <w:gridCol w:w="151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076960" cy="175260"/>
                      <wp:effectExtent l="0" t="0" r="0" b="0"/>
                      <wp:wrapNone/>
                      <wp:docPr id="156" name="Frame156"/>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1300" cy="175260"/>
                      <wp:effectExtent l="0" t="0" r="0" b="0"/>
                      <wp:wrapNone/>
                      <wp:docPr id="158" name="Frame158"/>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77875" cy="175260"/>
                      <wp:effectExtent l="0" t="0" r="0" b="0"/>
                      <wp:wrapNone/>
                      <wp:docPr id="159" name="Frame159"/>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62660" cy="175260"/>
                      <wp:effectExtent l="0" t="0" r="0" b="0"/>
                      <wp:wrapNone/>
                      <wp:docPr id="161" name="Frame16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 September 30, </w:t>
            </w:r>
          </w:p>
        </w:tc>
        <w:tc>
          <w:tcPr>
            <w:tcW w:w="326" w:type="dxa"/>
            <w:tcBorders/>
            <w:vAlign w:val="center"/>
          </w:tcPr>
          <w:p>
            <w:pPr>
              <w:pStyle w:val="TableContents"/>
              <w:bidi w:val="0"/>
              <w:spacing w:before="0" w:after="0"/>
              <w:ind w:left="0" w:right="0" w:hanging="0"/>
              <w:jc w:val="center"/>
              <w:rPr/>
            </w:pPr>
            <w:r>
              <w:rPr/>
              <w:t>    </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As at December 31,</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10,913</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19,652</w:t>
            </w:r>
          </w:p>
        </w:tc>
        <w:tc>
          <w:tcPr>
            <w:tcW w:w="32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956</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20"/>
        <w:gridCol w:w="326"/>
        <w:gridCol w:w="433"/>
        <w:gridCol w:w="1127"/>
        <w:gridCol w:w="326"/>
        <w:gridCol w:w="1531"/>
        <w:gridCol w:w="326"/>
        <w:gridCol w:w="1479"/>
        <w:gridCol w:w="326"/>
        <w:gridCol w:w="1511"/>
      </w:tblGrid>
      <w:tr>
        <w:trPr/>
        <w:tc>
          <w:tcPr>
            <w:tcW w:w="2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790700" cy="175260"/>
                      <wp:effectExtent l="0" t="0" r="0" b="0"/>
                      <wp:wrapNone/>
                      <wp:docPr id="162" name="Frame162"/>
                      <a:graphic xmlns:a="http://schemas.openxmlformats.org/drawingml/2006/main">
                        <a:graphicData uri="http://schemas.microsoft.com/office/word/2010/wordprocessingShape">
                          <wps:wsp>
                            <wps:cNvSpPr txBox="1"/>
                            <wps:spPr>
                              <a:xfrm>
                                <a:off x="0" y="0"/>
                                <a:ext cx="179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74955" cy="175260"/>
                      <wp:effectExtent l="0" t="0" r="0" b="0"/>
                      <wp:wrapNone/>
                      <wp:docPr id="164" name="Frame164"/>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15645" cy="175260"/>
                      <wp:effectExtent l="0" t="0" r="0" b="0"/>
                      <wp:wrapNone/>
                      <wp:docPr id="165" name="Frame165"/>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972185" cy="175260"/>
                      <wp:effectExtent l="0" t="0" r="0" b="0"/>
                      <wp:wrapNone/>
                      <wp:docPr id="167" name="Frame167"/>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39165" cy="175260"/>
                      <wp:effectExtent l="0" t="0" r="0" b="0"/>
                      <wp:wrapNone/>
                      <wp:docPr id="169" name="Frame169"/>
                      <a:graphic xmlns:a="http://schemas.openxmlformats.org/drawingml/2006/main">
                        <a:graphicData uri="http://schemas.microsoft.com/office/word/2010/wordprocessingShape">
                          <wps:wsp>
                            <wps:cNvSpPr txBox="1"/>
                            <wps:spPr>
                              <a:xfrm>
                                <a:off x="0" y="0"/>
                                <a:ext cx="939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959485" cy="175260"/>
                      <wp:effectExtent l="0" t="0" r="0" b="0"/>
                      <wp:wrapNone/>
                      <wp:docPr id="171" name="Frame171"/>
                      <a:graphic xmlns:a="http://schemas.openxmlformats.org/drawingml/2006/main">
                        <a:graphicData uri="http://schemas.microsoft.com/office/word/2010/wordprocessingShape">
                          <wps:wsp>
                            <wps:cNvSpPr txBox="1"/>
                            <wps:spPr>
                              <a:xfrm>
                                <a:off x="0" y="0"/>
                                <a:ext cx="95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6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147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left"/>
              <w:rPr/>
            </w:pPr>
            <w:r>
              <w:rPr/>
              <w:t>    </w:t>
            </w:r>
          </w:p>
        </w:tc>
        <w:tc>
          <w:tcPr>
            <w:tcW w:w="1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Nine months ended </w:t>
            </w:r>
          </w:p>
        </w:tc>
      </w:tr>
      <w:tr>
        <w:trPr/>
        <w:tc>
          <w:tcPr>
            <w:tcW w:w="2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September 30, </w:t>
            </w:r>
          </w:p>
        </w:tc>
        <w:tc>
          <w:tcPr>
            <w:tcW w:w="326" w:type="dxa"/>
            <w:tcBorders/>
            <w:vAlign w:val="center"/>
          </w:tcPr>
          <w:p>
            <w:pPr>
              <w:pStyle w:val="TableContents"/>
              <w:bidi w:val="0"/>
              <w:spacing w:before="0" w:after="0"/>
              <w:ind w:left="0" w:right="0" w:hanging="0"/>
              <w:jc w:val="left"/>
              <w:rPr/>
            </w:pPr>
            <w:r>
              <w:rPr/>
              <w:t>​</w:t>
            </w:r>
          </w:p>
        </w:tc>
        <w:tc>
          <w:tcPr>
            <w:tcW w:w="147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1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September 30, </w:t>
            </w:r>
          </w:p>
        </w:tc>
      </w:tr>
      <w:tr>
        <w:trPr/>
        <w:tc>
          <w:tcPr>
            <w:tcW w:w="2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326" w:type="dxa"/>
            <w:tcBorders/>
            <w:vAlign w:val="center"/>
          </w:tcPr>
          <w:p>
            <w:pPr>
              <w:pStyle w:val="TableContents"/>
              <w:bidi w:val="0"/>
              <w:spacing w:before="0" w:after="0"/>
              <w:ind w:left="0" w:right="0" w:hanging="0"/>
              <w:jc w:val="right"/>
              <w:rPr/>
            </w:pPr>
            <w:r>
              <w:rPr/>
              <w:t> </w:t>
            </w:r>
          </w:p>
        </w:tc>
        <w:tc>
          <w:tcPr>
            <w:tcW w:w="14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r>
      <w:tr>
        <w:trPr/>
        <w:tc>
          <w:tcPr>
            <w:tcW w:w="28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Income</w:t>
            </w:r>
          </w:p>
        </w:tc>
        <w:tc>
          <w:tcPr>
            <w:tcW w:w="326"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0"/>
              <w:ind w:left="0" w:right="0" w:hanging="0"/>
              <w:jc w:val="left"/>
              <w:rPr/>
            </w:pPr>
            <w:r>
              <w:rPr/>
              <w:t> </w:t>
            </w:r>
          </w:p>
        </w:tc>
        <w:tc>
          <w:tcPr>
            <w:tcW w:w="147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821</w:t>
            </w:r>
          </w:p>
        </w:tc>
        <w:tc>
          <w:tcPr>
            <w:tcW w:w="326" w:type="dxa"/>
            <w:tcBorders/>
            <w:shd w:fill="CCEEFF" w:val="clear"/>
            <w:vAlign w:val="center"/>
          </w:tcPr>
          <w:p>
            <w:pPr>
              <w:pStyle w:val="TableContents"/>
              <w:bidi w:val="0"/>
              <w:spacing w:before="0" w:after="0"/>
              <w:ind w:left="0" w:right="0" w:hanging="0"/>
              <w:jc w:val="left"/>
              <w:rPr/>
            </w:pPr>
            <w:r>
              <w:rPr/>
              <w:t> </w:t>
            </w:r>
          </w:p>
        </w:tc>
        <w:tc>
          <w:tcPr>
            <w:tcW w:w="1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2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0"/>
              <w:ind w:left="0" w:right="0" w:hanging="0"/>
              <w:jc w:val="left"/>
              <w:rPr/>
            </w:pPr>
            <w:r>
              <w:rPr/>
              <w:t> </w:t>
            </w:r>
          </w:p>
        </w:tc>
        <w:tc>
          <w:tcPr>
            <w:tcW w:w="11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344</w:t>
            </w:r>
          </w:p>
        </w:tc>
        <w:tc>
          <w:tcPr>
            <w:tcW w:w="32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26" w:type="dxa"/>
            <w:tcBorders/>
            <w:vAlign w:val="center"/>
          </w:tcPr>
          <w:p>
            <w:pPr>
              <w:pStyle w:val="TableContents"/>
              <w:bidi w:val="0"/>
              <w:spacing w:before="0" w:after="0"/>
              <w:ind w:left="0" w:right="0" w:hanging="0"/>
              <w:jc w:val="left"/>
              <w:rPr/>
            </w:pPr>
            <w:r>
              <w:rPr/>
              <w:t> </w:t>
            </w:r>
          </w:p>
        </w:tc>
        <w:tc>
          <w:tcPr>
            <w:tcW w:w="14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880</w:t>
            </w:r>
          </w:p>
        </w:tc>
        <w:tc>
          <w:tcPr>
            <w:tcW w:w="326" w:type="dxa"/>
            <w:tcBorders/>
            <w:vAlign w:val="center"/>
          </w:tcPr>
          <w:p>
            <w:pPr>
              <w:pStyle w:val="TableContents"/>
              <w:bidi w:val="0"/>
              <w:spacing w:before="0" w:after="0"/>
              <w:ind w:left="0" w:right="0" w:hanging="0"/>
              <w:jc w:val="left"/>
              <w:rPr/>
            </w:pPr>
            <w:r>
              <w:rPr/>
              <w:t> </w:t>
            </w:r>
          </w:p>
        </w:tc>
        <w:tc>
          <w:tcPr>
            <w:tcW w:w="1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r>
      <w:tr>
        <w:trPr/>
        <w:tc>
          <w:tcPr>
            <w:tcW w:w="28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1,609</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0"/>
              <w:ind w:left="0" w:right="0" w:hanging="0"/>
              <w:jc w:val="left"/>
              <w:rPr/>
            </w:pPr>
            <w:r>
              <w:rPr/>
              <w:t> </w:t>
            </w:r>
          </w:p>
        </w:tc>
        <w:tc>
          <w:tcPr>
            <w:tcW w:w="14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1,356</w:t>
            </w:r>
          </w:p>
        </w:tc>
        <w:tc>
          <w:tcPr>
            <w:tcW w:w="326" w:type="dxa"/>
            <w:tcBorders/>
            <w:shd w:fill="CCEEFF" w:val="clear"/>
            <w:vAlign w:val="center"/>
          </w:tcPr>
          <w:p>
            <w:pPr>
              <w:pStyle w:val="TableContents"/>
              <w:bidi w:val="0"/>
              <w:spacing w:before="0" w:after="0"/>
              <w:ind w:left="0" w:right="0" w:hanging="0"/>
              <w:jc w:val="left"/>
              <w:rPr/>
            </w:pPr>
            <w:r>
              <w:rPr/>
              <w:t> </w:t>
            </w:r>
          </w:p>
        </w:tc>
        <w:tc>
          <w:tcPr>
            <w:tcW w:w="151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612</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264" w:name="Tc_Lo23h65hEk2EXBrkQGrddg_11_11"/>
      <w:bookmarkStart w:id="1265" w:name="Tc_Y7GdFZ7rSUmv_5ERMBv8xQ_11_8"/>
      <w:bookmarkStart w:id="1266" w:name="Tc_ncYpxVipI0ytxc4KpYpqig_11_5"/>
      <w:bookmarkStart w:id="1267" w:name="Tc_qQI43chjYEus2NDRdiSIYw_11_2"/>
      <w:bookmarkStart w:id="1268" w:name="Tc_MRTUyIdNX0WUeRut43G9mw_10_0"/>
      <w:bookmarkStart w:id="1269" w:name="Tc_epZFUUDye0-qBNWpxmOkgw_9_0"/>
      <w:bookmarkStart w:id="1270" w:name="Tc_LgNnwBkG50OkvHsogfnNtA_8_0"/>
      <w:bookmarkStart w:id="1271" w:name="Tc_YnOEnmYgS0CEH7UlcZj3nw_7_0"/>
      <w:bookmarkStart w:id="1272" w:name="Tc_QHqCD6J4Z02J_oVCL4p9Dw_6_0"/>
      <w:bookmarkStart w:id="1273" w:name="Tc_KYW1B2jJqku0Q3ADSDOSAw_5_0"/>
      <w:bookmarkStart w:id="1274" w:name="Tc_3rUwjGB2JkalX10sRGgOrA_4_11"/>
      <w:bookmarkStart w:id="1275" w:name="Tc_cYO9P3ApTU6Unqm_bH9w3w_4_8"/>
      <w:bookmarkStart w:id="1276" w:name="Tc_Ut6PN9S5EUyLXbB6Cz2AHA_4_5"/>
      <w:bookmarkStart w:id="1277" w:name="Tc_90pkUsGePEGymXfcMAQPLQ_4_2"/>
      <w:bookmarkStart w:id="1278" w:name="Tc_WnfuW82FZUKXlPg98i4UAA_4_0"/>
      <w:bookmarkStart w:id="1279" w:name="Tc_PEf64PCzZU6MyZdROH0ZLQ_3_11"/>
      <w:bookmarkStart w:id="1280" w:name="Tc_utypR0Cm9EW-F-aMjdOzgg_3_8"/>
      <w:bookmarkStart w:id="1281" w:name="Tc_2fCes6wzikmCw63yeVzbTA_3_5"/>
      <w:bookmarkStart w:id="1282" w:name="Tc_EuDRuRCBXk2GZBUitfBuPg_3_2"/>
      <w:bookmarkStart w:id="1283" w:name="Tc_Lj-LttEujE6LlY5v832_pg_2_8"/>
      <w:bookmarkStart w:id="1284" w:name="Tc_SrnsHPUyoUu4PqMqeJ-rgw_2_2"/>
      <w:bookmarkStart w:id="1285" w:name="Tc_Mhg-JVRgt0Cg4NM_IRMUyw_1_8"/>
      <w:bookmarkStart w:id="1286" w:name="Tc_EC2Kd9Ln4EKqs8ibYhzJSQ_1_2"/>
      <w:bookmarkStart w:id="1287" w:name="_359a9812_fb47_4e2d_a6ad_482fc19f4e58"/>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r>
        <w:rPr>
          <w:rFonts w:ascii="Times New Roman;Times;serif" w:hAnsi="Times New Roman;Times;serif"/>
          <w:b/>
          <w:i w:val="false"/>
          <w:caps w:val="false"/>
          <w:smallCaps w:val="false"/>
          <w:sz w:val="20"/>
        </w:rPr>
        <w:t>8.</w:t>
      </w:r>
      <w:r>
        <w:rPr>
          <w:rFonts w:ascii="Times New Roman;Times;serif" w:hAnsi="Times New Roman;Times;serif"/>
          <w:b/>
          <w:sz w:val="20"/>
        </w:rPr>
        <w:t>Exploration and Evaluation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detail of exploration and evaluation expenses is as follows:</w:t>
      </w:r>
    </w:p>
    <w:p>
      <w:pPr>
        <w:pStyle w:val="TextBody"/>
        <w:bidi w:val="0"/>
        <w:spacing w:before="0" w:after="0"/>
        <w:ind w:left="0" w:right="0" w:hanging="0"/>
        <w:jc w:val="left"/>
        <w:rPr/>
      </w:pPr>
      <w:r>
        <w:rPr/>
        <w:t>​</w:t>
      </w:r>
    </w:p>
    <w:tbl>
      <w:tblPr>
        <w:tblW w:w="9203" w:type="dxa"/>
        <w:jc w:val="left"/>
        <w:tblInd w:w="0" w:type="dxa"/>
        <w:tblLayout w:type="fixed"/>
        <w:tblCellMar>
          <w:top w:w="0" w:type="dxa"/>
          <w:left w:w="0" w:type="dxa"/>
          <w:bottom w:w="0" w:type="dxa"/>
          <w:right w:w="0" w:type="dxa"/>
        </w:tblCellMar>
      </w:tblPr>
      <w:tblGrid>
        <w:gridCol w:w="4351"/>
        <w:gridCol w:w="326"/>
        <w:gridCol w:w="211"/>
        <w:gridCol w:w="571"/>
        <w:gridCol w:w="326"/>
        <w:gridCol w:w="211"/>
        <w:gridCol w:w="676"/>
        <w:gridCol w:w="326"/>
        <w:gridCol w:w="211"/>
        <w:gridCol w:w="676"/>
        <w:gridCol w:w="326"/>
        <w:gridCol w:w="211"/>
        <w:gridCol w:w="781"/>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762885" cy="175260"/>
                      <wp:effectExtent l="0" t="0" r="0" b="0"/>
                      <wp:wrapNone/>
                      <wp:docPr id="172" name="Frame172"/>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62585" cy="175260"/>
                      <wp:effectExtent l="0" t="0" r="0" b="0"/>
                      <wp:wrapNone/>
                      <wp:docPr id="175" name="Frame1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29260" cy="175260"/>
                      <wp:effectExtent l="0" t="0" r="0" b="0"/>
                      <wp:wrapNone/>
                      <wp:docPr id="178" name="Frame1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29260" cy="175260"/>
                      <wp:effectExtent l="0" t="0" r="0" b="0"/>
                      <wp:wrapNone/>
                      <wp:docPr id="181" name="Frame1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5935" cy="175260"/>
                      <wp:effectExtent l="0" t="0" r="0" b="0"/>
                      <wp:wrapNone/>
                      <wp:docPr id="184" name="Frame1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Nine months ended</w: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w: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Labor</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7,690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r>
              <w:rPr>
                <w:rFonts w:ascii="Times New Roman;Times;serif" w:hAnsi="Times New Roman;Times;serif"/>
                <w:i/>
                <w:sz w:val="20"/>
              </w:rPr>
              <w:t>(Note 14)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4,262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9,515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7,338</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5,714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19,065</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Prefeasibility Studies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Sponsorship, Training and Stakeholder Engagement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42,339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1288" w:name="Tc_Wq5JgQrTckKYqUDy-LdZjQ_12_11"/>
      <w:bookmarkStart w:id="1289" w:name="Tc_-hDVpKi3QUSOQZryONmQSw_12_8"/>
      <w:bookmarkStart w:id="1290" w:name="Tc_aA-cx_m7d0GFptIKZGw3JQ_12_5"/>
      <w:bookmarkStart w:id="1291" w:name="Tc_Knja4baaQ0eVbns8wHsbeg_12_2"/>
      <w:bookmarkStart w:id="1292" w:name="Tc_CKxFHrRvjUGbsVibF5ReIg_11_0"/>
      <w:bookmarkStart w:id="1293" w:name="Tc_naI44gTzhkS7hM1NSNi8pQ_10_0"/>
      <w:bookmarkStart w:id="1294" w:name="Tc_g2q8D4ZXBUu8cGRonfquMg_9_0"/>
      <w:bookmarkStart w:id="1295" w:name="Tc_sGsaSwNeIkmA7JKAHEw1-w_8_0"/>
      <w:bookmarkStart w:id="1296" w:name="Tc_EN9bVo24REa2fTmlR_kAFQ_7_0"/>
      <w:bookmarkStart w:id="1297" w:name="Tc_Uw1bBWymFUWlWdAiFf5B8w_6_0"/>
      <w:bookmarkStart w:id="1298" w:name="Tc_vVm8S7_n4kafDL8P2KNwnA_5_0"/>
      <w:bookmarkStart w:id="1299" w:name="Tc_aGf1dAWRgEiT_BFGewapNw_4_11"/>
      <w:bookmarkStart w:id="1300" w:name="Tc_zkVI1dhAPE6q5JbCFhEOoA_4_8"/>
      <w:bookmarkStart w:id="1301" w:name="Tc_i6DBeJfgm0CaSBJIBJsgxw_4_5"/>
      <w:bookmarkStart w:id="1302" w:name="Tc_5r-wxa1XmkuGqkAAGUAPOA_4_2"/>
      <w:bookmarkStart w:id="1303" w:name="Tc_q9i1v-0TU0K9d1t4PTjGUQ_4_0"/>
      <w:bookmarkStart w:id="1304" w:name="Tc_045rDq65MkWrZu_R2IZSNA_3_11"/>
      <w:bookmarkStart w:id="1305" w:name="Tc_J34cBNAE3UWCKlv-PiAyrQ_3_8"/>
      <w:bookmarkStart w:id="1306" w:name="Tc_9Sf9hmeUzkqpfdKikOelWQ_3_5"/>
      <w:bookmarkStart w:id="1307" w:name="Tc_DErC2889x02lhyusIqRVug_3_2"/>
      <w:bookmarkStart w:id="1308" w:name="Tc_iebiYjLspU2bbOZ89Be_jA_2_8"/>
      <w:bookmarkStart w:id="1309" w:name="Tc_rDp6Fx3G50mfBIcxQsA7AQ_2_2"/>
      <w:bookmarkStart w:id="1310" w:name="Tc_yz-Jn6UJy0eF37nUOqb8bA_1_8"/>
      <w:bookmarkStart w:id="1311" w:name="Tc_BotQ4Arnzkm0xVoFBpuL2w_1_2"/>
      <w:bookmarkStart w:id="1312" w:name="_3e854110_578a_42f8_b10d_df260e9087e1"/>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r>
        <w:rPr>
          <w:rFonts w:ascii="Times New Roman;Times;serif" w:hAnsi="Times New Roman;Times;serif"/>
          <w:b/>
          <w:i w:val="false"/>
          <w:caps w:val="false"/>
          <w:smallCaps w:val="false"/>
          <w:sz w:val="20"/>
        </w:rPr>
        <w:t>9.</w:t>
      </w:r>
      <w:r>
        <w:rPr>
          <w:rFonts w:ascii="Times New Roman;Times;serif" w:hAnsi="Times New Roman;Times;serif"/>
          <w:b/>
          <w:sz w:val="20"/>
        </w:rPr>
        <w:t>General and Administrative Expenses</w:t>
      </w:r>
    </w:p>
    <w:p>
      <w:pPr>
        <w:pStyle w:val="TextBody"/>
        <w:bidi w:val="0"/>
        <w:spacing w:before="0" w:after="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detail of general and administrative expenses is as follows:</w:t>
      </w:r>
    </w:p>
    <w:p>
      <w:pPr>
        <w:pStyle w:val="TextBody"/>
        <w:bidi w:val="0"/>
        <w:spacing w:before="0" w:after="0"/>
        <w:ind w:left="360" w:right="0" w:hanging="0"/>
        <w:jc w:val="both"/>
        <w:rPr/>
      </w:pPr>
      <w:r>
        <w:rPr/>
        <w:t>​</w:t>
      </w:r>
    </w:p>
    <w:tbl>
      <w:tblPr>
        <w:tblW w:w="8198" w:type="dxa"/>
        <w:jc w:val="left"/>
        <w:tblInd w:w="0" w:type="dxa"/>
        <w:tblLayout w:type="fixed"/>
        <w:tblCellMar>
          <w:top w:w="0" w:type="dxa"/>
          <w:left w:w="0" w:type="dxa"/>
          <w:bottom w:w="0" w:type="dxa"/>
          <w:right w:w="0" w:type="dxa"/>
        </w:tblCellMar>
      </w:tblPr>
      <w:tblGrid>
        <w:gridCol w:w="3346"/>
        <w:gridCol w:w="326"/>
        <w:gridCol w:w="211"/>
        <w:gridCol w:w="676"/>
        <w:gridCol w:w="326"/>
        <w:gridCol w:w="211"/>
        <w:gridCol w:w="571"/>
        <w:gridCol w:w="326"/>
        <w:gridCol w:w="211"/>
        <w:gridCol w:w="676"/>
        <w:gridCol w:w="326"/>
        <w:gridCol w:w="211"/>
        <w:gridCol w:w="78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24710" cy="175260"/>
                      <wp:effectExtent l="0" t="0" r="0" b="0"/>
                      <wp:wrapNone/>
                      <wp:docPr id="185" name="Frame185"/>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29260" cy="175260"/>
                      <wp:effectExtent l="0" t="0" r="0" b="0"/>
                      <wp:wrapNone/>
                      <wp:docPr id="188" name="Frame1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62585" cy="175260"/>
                      <wp:effectExtent l="0" t="0" r="0" b="0"/>
                      <wp:wrapNone/>
                      <wp:docPr id="191" name="Frame1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29260" cy="175260"/>
                      <wp:effectExtent l="0" t="0" r="0" b="0"/>
                      <wp:wrapNone/>
                      <wp:docPr id="194" name="Frame1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95935" cy="175260"/>
                      <wp:effectExtent l="0" t="0" r="0" b="0"/>
                      <wp:wrapNone/>
                      <wp:docPr id="197" name="Frame1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 </w:t>
            </w:r>
          </w:p>
        </w:tc>
        <w:tc>
          <w:tcPr>
            <w:tcW w:w="326" w:type="dxa"/>
            <w:tcBorders/>
            <w:vAlign w:val="center"/>
          </w:tcPr>
          <w:p>
            <w:pPr>
              <w:pStyle w:val="TableContents"/>
              <w:bidi w:val="0"/>
              <w:spacing w:before="0" w:after="0"/>
              <w:ind w:left="0" w:right="0" w:hanging="0"/>
              <w:jc w:val="right"/>
              <w:rPr/>
            </w:pPr>
            <w:r>
              <w:rPr/>
              <w:t>​</w:t>
            </w:r>
          </w:p>
        </w:tc>
        <w:tc>
          <w:tcPr>
            <w:tcW w:w="2205"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Nine months ended </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right"/>
              <w:rPr/>
            </w:pPr>
            <w:r>
              <w:rPr/>
              <w:t>​</w:t>
            </w:r>
          </w:p>
        </w:tc>
        <w:tc>
          <w:tcPr>
            <w:tcW w:w="2205"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righ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righ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r>
              <w:rPr>
                <w:rFonts w:ascii="Times New Roman;Times;serif" w:hAnsi="Times New Roman;Times;serif"/>
                <w:sz w:val="15"/>
              </w:rPr>
              <w:t>(1)</w:t>
            </w:r>
            <w:r>
              <w:rPr>
                <w:rFonts w:ascii="Times New Roman;Times;serif" w:hAnsi="Times New Roman;Times;serif"/>
                <w:sz w:val="20"/>
              </w:rPr>
              <w:t xml:space="preserve"> </w:t>
            </w:r>
            <w:r>
              <w:rPr>
                <w:rFonts w:ascii="Times New Roman;Times;serif" w:hAnsi="Times New Roman;Times;serif"/>
                <w:i/>
                <w:sz w:val="20"/>
              </w:rPr>
              <w:t>(Note 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37,873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45,343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7,087</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and Consulting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6,884</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 Relations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Sundry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Agent and Filing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3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65,705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22,600</w:t>
            </w:r>
          </w:p>
        </w:tc>
      </w:tr>
    </w:tbl>
    <w:tbl>
      <w:tblPr>
        <w:tblW w:w="10205" w:type="dxa"/>
        <w:jc w:val="left"/>
        <w:tblInd w:w="0" w:type="dxa"/>
        <w:tblLayout w:type="fixed"/>
        <w:tblCellMar>
          <w:top w:w="28" w:type="dxa"/>
          <w:left w:w="28" w:type="dxa"/>
          <w:bottom w:w="28" w:type="dxa"/>
          <w:right w:w="28"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2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$34.7</w:t>
            </w:r>
            <w:r>
              <w:rPr>
                <w:caps w:val="false"/>
                <w:smallCaps w:val="false"/>
              </w:rPr>
              <w:t xml:space="preserve"> </w:t>
            </w:r>
            <w:r>
              <w:rPr>
                <w:rFonts w:ascii="Times New Roman;Times;serif" w:hAnsi="Times New Roman;Times;serif"/>
                <w:b w:val="false"/>
                <w:i w:val="false"/>
                <w:caps w:val="false"/>
                <w:smallCaps w:val="false"/>
                <w:sz w:val="20"/>
              </w:rPr>
              <w:t>million related to 6,500,000</w:t>
            </w:r>
            <w:r>
              <w:rPr>
                <w:caps w:val="false"/>
                <w:smallCaps w:val="false"/>
              </w:rPr>
              <w:t xml:space="preserve"> </w:t>
            </w:r>
            <w:r>
              <w:rPr>
                <w:rFonts w:ascii="Times New Roman;Times;serif" w:hAnsi="Times New Roman;Times;serif"/>
                <w:b w:val="false"/>
                <w:i w:val="false"/>
                <w:caps w:val="false"/>
                <w:smallCaps w:val="false"/>
                <w:sz w:val="20"/>
              </w:rPr>
              <w:t>options and 11,915,676</w:t>
            </w:r>
            <w:r>
              <w:rPr>
                <w:caps w:val="false"/>
                <w:smallCaps w:val="false"/>
              </w:rPr>
              <w:t xml:space="preserve"> </w:t>
            </w:r>
            <w:r>
              <w:rPr>
                <w:rFonts w:ascii="Times New Roman;Times;serif" w:hAnsi="Times New Roman;Times;serif"/>
                <w:b w:val="false"/>
                <w:i w:val="false"/>
                <w:caps w:val="false"/>
                <w:smallCaps w:val="false"/>
                <w:sz w:val="20"/>
              </w:rPr>
              <w:t>RSUs granted to some directors and a consultant on August 28, 2025 (Note 14).</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13" w:name="Tc_GeHf2cokL0-fVHjJsfJCwg_5_5"/>
      <w:bookmarkStart w:id="1314" w:name="Tc_JuPiF2A2MkmkJfPkZt5u1A_5_2"/>
      <w:bookmarkStart w:id="1315" w:name="Tc_XOetgNQ_x0-jVjd5bqmuoA_4_0"/>
      <w:bookmarkStart w:id="1316" w:name="Tc_2dUBWbtlS0qQnU63x9hITg_3_5"/>
      <w:bookmarkStart w:id="1317" w:name="Tc_0nnJY2_lYUO7qZKWEyEkrQ_3_2"/>
      <w:bookmarkStart w:id="1318" w:name="Tc_o2W5nM-0106ZDMtaea568w_3_0"/>
      <w:bookmarkStart w:id="1319" w:name="Tc_nNt1NQlIVka-NqYm9Rw-ZA_2_5"/>
      <w:bookmarkStart w:id="1320" w:name="Tc_X2wI87AUq0Ck5Jk8LmE3nw_2_2"/>
      <w:bookmarkStart w:id="1321" w:name="Tc_KPOm2ZgmikeptVnSkMs2vQ_1_5"/>
      <w:bookmarkStart w:id="1322" w:name="Tc_cg6c9uIUK0KLqQ9m2YiukA_1_2"/>
      <w:bookmarkStart w:id="1323" w:name="_61534d7d_ae4a_4109_b9b2_e82d2a217409"/>
      <w:bookmarkEnd w:id="1313"/>
      <w:bookmarkEnd w:id="1314"/>
      <w:bookmarkEnd w:id="1315"/>
      <w:bookmarkEnd w:id="1316"/>
      <w:bookmarkEnd w:id="1317"/>
      <w:bookmarkEnd w:id="1318"/>
      <w:bookmarkEnd w:id="1319"/>
      <w:bookmarkEnd w:id="1320"/>
      <w:bookmarkEnd w:id="1321"/>
      <w:bookmarkEnd w:id="1322"/>
      <w:bookmarkEnd w:id="1323"/>
      <w:r>
        <w:rPr>
          <w:rFonts w:ascii="Times New Roman;Times;serif" w:hAnsi="Times New Roman;Times;serif"/>
          <w:b/>
          <w:i w:val="false"/>
          <w:caps w:val="false"/>
          <w:smallCaps w:val="false"/>
          <w:sz w:val="20"/>
        </w:rPr>
        <w:t>10.</w:t>
      </w:r>
      <w:r>
        <w:rPr>
          <w:rFonts w:ascii="Times New Roman;Times;serif" w:hAnsi="Times New Roman;Times;serif"/>
          <w:b/>
          <w:sz w:val="20"/>
        </w:rPr>
        <w:t>Accounts Payable and Accrued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Accounts payable and accrued liabilities outstanding at September 30, 2025, and December 31, 2024 are as follows:</w:t>
      </w:r>
    </w:p>
    <w:p>
      <w:pPr>
        <w:pStyle w:val="TextBody"/>
        <w:bidi w:val="0"/>
        <w:spacing w:before="0" w:after="240"/>
        <w:ind w:left="0" w:right="0" w:firstLine="360"/>
        <w:jc w:val="both"/>
        <w:rPr/>
      </w:pPr>
      <w:r>
        <w:rPr/>
        <w:t>​</w:t>
      </w:r>
    </w:p>
    <w:tbl>
      <w:tblPr>
        <w:tblW w:w="4900" w:type="dxa"/>
        <w:jc w:val="left"/>
        <w:tblInd w:w="0" w:type="dxa"/>
        <w:tblLayout w:type="fixed"/>
        <w:tblCellMar>
          <w:top w:w="0" w:type="dxa"/>
          <w:left w:w="0" w:type="dxa"/>
          <w:bottom w:w="0" w:type="dxa"/>
          <w:right w:w="0" w:type="dxa"/>
        </w:tblCellMar>
      </w:tblPr>
      <w:tblGrid>
        <w:gridCol w:w="2056"/>
        <w:gridCol w:w="326"/>
        <w:gridCol w:w="260"/>
        <w:gridCol w:w="836"/>
        <w:gridCol w:w="326"/>
        <w:gridCol w:w="233"/>
        <w:gridCol w:w="863"/>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05560" cy="175260"/>
                      <wp:effectExtent l="0" t="0" r="0" b="0"/>
                      <wp:wrapNone/>
                      <wp:docPr id="198" name="Frame198"/>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5100" cy="175260"/>
                      <wp:effectExtent l="0" t="0" r="0" b="0"/>
                      <wp:wrapNone/>
                      <wp:docPr id="200" name="Frame20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30860" cy="175260"/>
                      <wp:effectExtent l="0" t="0" r="0" b="0"/>
                      <wp:wrapNone/>
                      <wp:docPr id="201" name="Frame201"/>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7955" cy="175260"/>
                      <wp:effectExtent l="0" t="0" r="0" b="0"/>
                      <wp:wrapNone/>
                      <wp:docPr id="203" name="Frame20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48005" cy="175260"/>
                      <wp:effectExtent l="0" t="0" r="0" b="0"/>
                      <wp:wrapNone/>
                      <wp:docPr id="204" name="Frame204"/>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w:t>
            </w:r>
          </w:p>
        </w:tc>
      </w:tr>
      <w:tr>
        <w:trPr/>
        <w:tc>
          <w:tcPr>
            <w:tcW w:w="2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3,767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6,198</w:t>
            </w:r>
          </w:p>
        </w:tc>
      </w:tr>
      <w:tr>
        <w:trPr/>
        <w:tc>
          <w:tcPr>
            <w:tcW w:w="20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Accrued Liabilities </w:t>
            </w:r>
            <w:r>
              <w:rPr>
                <w:rFonts w:ascii="Times New Roman;Times;serif" w:hAnsi="Times New Roman;Times;serif"/>
                <w:sz w:val="15"/>
              </w:rPr>
              <w:t>(1)(2)</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43,067</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36,556</w:t>
            </w:r>
          </w:p>
        </w:tc>
      </w:tr>
      <w:tr>
        <w:trPr/>
        <w:tc>
          <w:tcPr>
            <w:tcW w:w="20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46,834</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42,754</w:t>
            </w:r>
          </w:p>
        </w:tc>
      </w:tr>
    </w:tbl>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As at September 30, 2025, accrued liabilities included $32.9 million related to Allseas (Note 6) (Dec 31, 2024 - $25.8 million).</w:t>
      </w:r>
    </w:p>
    <w:tbl>
      <w:tblPr>
        <w:tblW w:w="10205" w:type="dxa"/>
        <w:jc w:val="left"/>
        <w:tblInd w:w="0" w:type="dxa"/>
        <w:tblLayout w:type="fixed"/>
        <w:tblCellMar>
          <w:top w:w="0" w:type="dxa"/>
          <w:left w:w="0" w:type="dxa"/>
          <w:bottom w:w="0" w:type="dxa"/>
          <w:right w:w="0" w:type="dxa"/>
        </w:tblCellMar>
      </w:tblPr>
      <w:tblGrid>
        <w:gridCol w:w="124"/>
        <w:gridCol w:w="259"/>
        <w:gridCol w:w="9822"/>
      </w:tblGrid>
      <w:tr>
        <w:trPr/>
        <w:tc>
          <w:tcPr>
            <w:tcW w:w="1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lineRule="auto" w:line="240" w:before="0" w:after="240"/>
              <w:jc w:val="both"/>
              <w:rPr>
                <w:rFonts w:ascii="Times New Roman;Times;serif" w:hAnsi="Times New Roman;Times;serif"/>
                <w:sz w:val="15"/>
              </w:rPr>
            </w:pPr>
            <w:r>
              <w:rPr>
                <w:rFonts w:ascii="Times New Roman;Times;serif" w:hAnsi="Times New Roman;Times;serif"/>
                <w:sz w:val="15"/>
              </w:rPr>
              <w:t>(2)</w:t>
            </w:r>
          </w:p>
        </w:tc>
        <w:tc>
          <w:tcPr>
            <w:tcW w:w="982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of September 30, 2025, accrued liabilities included $0.4 million in fees payable to a consultant, contingent on warrant exercise and recorded at fair value.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Financing Activity</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2024 Registered Direct Offering</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In the last quarter of 2024, the Company entered into a securities purchase agreement with certain investors, pursuant to which the Company agreed to sell and issue, in a registered direct offering (the “2024 Registered Direct Offering”) 19,900,000</w:t>
      </w:r>
      <w:r>
        <w:rPr>
          <w:rFonts w:ascii="Times New Roman;Times;serif" w:hAnsi="Times New Roman;Times;serif"/>
          <w:b/>
          <w:sz w:val="20"/>
        </w:rPr>
        <w:t xml:space="preserve"> </w:t>
      </w:r>
      <w:r>
        <w:rPr>
          <w:rFonts w:ascii="Times New Roman;Times;serif" w:hAnsi="Times New Roman;Times;serif"/>
          <w:b w:val="false"/>
          <w:sz w:val="20"/>
        </w:rPr>
        <w:t>common shares and issue Class B Warrants to purchase 9,950,000</w:t>
      </w:r>
      <w:r>
        <w:rPr>
          <w:rFonts w:ascii="Times New Roman;Times;serif" w:hAnsi="Times New Roman;Times;serif"/>
          <w:b/>
          <w:sz w:val="20"/>
        </w:rPr>
        <w:t xml:space="preserve"> </w:t>
      </w:r>
      <w:r>
        <w:rPr>
          <w:rFonts w:ascii="Times New Roman;Times;serif" w:hAnsi="Times New Roman;Times;serif"/>
          <w:b w:val="false"/>
          <w:sz w:val="20"/>
        </w:rPr>
        <w:t>Common Shares (“Class B Warrants”). On February 6, 2025, the Company received the final balance of committed funding from the 2024 Registered Direct Offering of $5</w:t>
      </w:r>
      <w:r>
        <w:rPr>
          <w:rFonts w:ascii="Times New Roman;Times;serif" w:hAnsi="Times New Roman;Times;serif"/>
          <w:b/>
          <w:sz w:val="20"/>
        </w:rPr>
        <w:t xml:space="preserve"> </w:t>
      </w:r>
      <w:r>
        <w:rPr>
          <w:rFonts w:ascii="Times New Roman;Times;serif" w:hAnsi="Times New Roman;Times;serif"/>
          <w:b w:val="false"/>
          <w:sz w:val="20"/>
        </w:rPr>
        <w:t>million and issued 5,000,000</w:t>
      </w:r>
      <w:r>
        <w:rPr>
          <w:rFonts w:ascii="Times New Roman;Times;serif" w:hAnsi="Times New Roman;Times;serif"/>
          <w:b/>
          <w:sz w:val="20"/>
        </w:rPr>
        <w:t xml:space="preserve"> </w:t>
      </w:r>
      <w:r>
        <w:rPr>
          <w:rFonts w:ascii="Times New Roman;Times;serif" w:hAnsi="Times New Roman;Times;serif"/>
          <w:b w:val="false"/>
          <w:sz w:val="20"/>
        </w:rPr>
        <w:t>common shares and 2,500,000</w:t>
      </w:r>
      <w:r>
        <w:rPr>
          <w:rFonts w:ascii="Times New Roman;Times;serif" w:hAnsi="Times New Roman;Times;serif"/>
          <w:b/>
          <w:sz w:val="20"/>
        </w:rPr>
        <w:t xml:space="preserve"> </w:t>
      </w:r>
      <w:r>
        <w:rPr>
          <w:rFonts w:ascii="Times New Roman;Times;serif" w:hAnsi="Times New Roman;Times;serif"/>
          <w:b w:val="false"/>
          <w:sz w:val="20"/>
        </w:rPr>
        <w:t>Class B Warrants. Out of the total $5</w:t>
      </w:r>
      <w:r>
        <w:rPr>
          <w:rFonts w:ascii="Times New Roman;Times;serif" w:hAnsi="Times New Roman;Times;serif"/>
          <w:b/>
          <w:sz w:val="20"/>
        </w:rPr>
        <w:t xml:space="preserve"> </w:t>
      </w:r>
      <w:r>
        <w:rPr>
          <w:rFonts w:ascii="Times New Roman;Times;serif" w:hAnsi="Times New Roman;Times;serif"/>
          <w:b w:val="false"/>
          <w:sz w:val="20"/>
        </w:rPr>
        <w:t>million net proceeds received in the three months ended March 31, 2025, the net proceeds attributable to common shares were $2.2</w:t>
      </w:r>
      <w:r>
        <w:rPr>
          <w:rFonts w:ascii="Times New Roman;Times;serif" w:hAnsi="Times New Roman;Times;serif"/>
          <w:b/>
          <w:sz w:val="20"/>
        </w:rPr>
        <w:t xml:space="preserve"> </w:t>
      </w:r>
      <w:r>
        <w:rPr>
          <w:rFonts w:ascii="Times New Roman;Times;serif" w:hAnsi="Times New Roman;Times;serif"/>
          <w:b w:val="false"/>
          <w:sz w:val="20"/>
        </w:rPr>
        <w:t>million and the net proceeds attributable to Class B Warrants were $2.8</w:t>
      </w:r>
      <w:r>
        <w:rPr>
          <w:rFonts w:ascii="Times New Roman;Times;serif" w:hAnsi="Times New Roman;Times;serif"/>
          <w:b/>
          <w:sz w:val="20"/>
        </w:rPr>
        <w:t xml:space="preserve"> </w:t>
      </w:r>
      <w:r>
        <w:rPr>
          <w:rFonts w:ascii="Times New Roman;Times;serif" w:hAnsi="Times New Roman;Times;serif"/>
          <w:b w:val="false"/>
          <w:sz w:val="20"/>
        </w:rPr>
        <w:t>million (Note 13).</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2025 Registered Direct Offering</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On May 12, 2025, the Company entered into a securities purchase agreement with certain new and existing investors pursuant to which the Company in consideration of gross proceeds of $37</w:t>
      </w:r>
      <w:r>
        <w:rPr>
          <w:rFonts w:ascii="Times New Roman;Times;serif" w:hAnsi="Times New Roman;Times;serif"/>
          <w:b/>
          <w:sz w:val="20"/>
        </w:rPr>
        <w:t xml:space="preserve"> </w:t>
      </w:r>
      <w:r>
        <w:rPr>
          <w:rFonts w:ascii="Times New Roman;Times;serif" w:hAnsi="Times New Roman;Times;serif"/>
          <w:b w:val="false"/>
          <w:sz w:val="20"/>
        </w:rPr>
        <w:t>million, agreed to sell and issue, in a registered direct offering (the “ 2025 Registered Direct Offering”), an aggregate of 12,333,333</w:t>
      </w:r>
      <w:r>
        <w:rPr>
          <w:rFonts w:ascii="Times New Roman;Times;serif" w:hAnsi="Times New Roman;Times;serif"/>
          <w:b/>
          <w:sz w:val="20"/>
        </w:rPr>
        <w:t xml:space="preserve"> </w:t>
      </w:r>
      <w:r>
        <w:rPr>
          <w:rFonts w:ascii="Times New Roman;Times;serif" w:hAnsi="Times New Roman;Times;serif"/>
          <w:b w:val="false"/>
          <w:sz w:val="20"/>
        </w:rPr>
        <w:t>common shares of the Company, and accompanying Class C warrants to purchase an aggregate of 12,333,333</w:t>
      </w:r>
      <w:r>
        <w:rPr>
          <w:rFonts w:ascii="Times New Roman;Times;serif" w:hAnsi="Times New Roman;Times;serif"/>
          <w:b/>
          <w:sz w:val="20"/>
        </w:rPr>
        <w:t xml:space="preserve"> </w:t>
      </w:r>
      <w:r>
        <w:rPr>
          <w:rFonts w:ascii="Times New Roman;Times;serif" w:hAnsi="Times New Roman;Times;serif"/>
          <w:b w:val="false"/>
          <w:sz w:val="20"/>
        </w:rPr>
        <w:t>common shares to such new and existing investors (Note 13). Each Common Share and the accompanying Class C Warrant to purchase a Common Share were sold at a price of $3.00.</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As of June 30, 2025, the Company received gross proceeds of $30</w:t>
      </w:r>
      <w:r>
        <w:rPr>
          <w:rFonts w:ascii="Times New Roman;Times;serif" w:hAnsi="Times New Roman;Times;serif"/>
          <w:b/>
          <w:sz w:val="20"/>
        </w:rPr>
        <w:t xml:space="preserve"> </w:t>
      </w:r>
      <w:r>
        <w:rPr>
          <w:rFonts w:ascii="Times New Roman;Times;serif" w:hAnsi="Times New Roman;Times;serif"/>
          <w:b w:val="false"/>
          <w:sz w:val="20"/>
        </w:rPr>
        <w:t>million and issued 9,000,000</w:t>
      </w:r>
      <w:r>
        <w:rPr>
          <w:rFonts w:ascii="Times New Roman;Times;serif" w:hAnsi="Times New Roman;Times;serif"/>
          <w:b/>
          <w:sz w:val="20"/>
        </w:rPr>
        <w:t xml:space="preserve"> </w:t>
      </w:r>
      <w:r>
        <w:rPr>
          <w:rFonts w:ascii="Times New Roman;Times;serif" w:hAnsi="Times New Roman;Times;serif"/>
          <w:b w:val="false"/>
          <w:sz w:val="20"/>
        </w:rPr>
        <w:t>million common shares and 10,003,333</w:t>
      </w:r>
      <w:r>
        <w:rPr>
          <w:rFonts w:ascii="Times New Roman;Times;serif" w:hAnsi="Times New Roman;Times;serif"/>
          <w:b/>
          <w:sz w:val="20"/>
        </w:rPr>
        <w:t xml:space="preserve"> </w:t>
      </w:r>
      <w:r>
        <w:rPr>
          <w:rFonts w:ascii="Times New Roman;Times;serif" w:hAnsi="Times New Roman;Times;serif"/>
          <w:b w:val="false"/>
          <w:sz w:val="20"/>
        </w:rPr>
        <w:t>Class C Warrants. During the third quarter of 2025, the Company received the final committed balance of $7</w:t>
      </w:r>
      <w:r>
        <w:rPr>
          <w:rFonts w:ascii="Times New Roman;Times;serif" w:hAnsi="Times New Roman;Times;serif"/>
          <w:b/>
          <w:sz w:val="20"/>
        </w:rPr>
        <w:t xml:space="preserve"> </w:t>
      </w:r>
      <w:r>
        <w:rPr>
          <w:rFonts w:ascii="Times New Roman;Times;serif" w:hAnsi="Times New Roman;Times;serif"/>
          <w:b w:val="false"/>
          <w:sz w:val="20"/>
        </w:rPr>
        <w:t>million and issued 3,333,334</w:t>
      </w:r>
      <w:r>
        <w:rPr>
          <w:rFonts w:ascii="Times New Roman;Times;serif" w:hAnsi="Times New Roman;Times;serif"/>
          <w:b/>
          <w:sz w:val="20"/>
        </w:rPr>
        <w:t xml:space="preserve"> </w:t>
      </w:r>
      <w:r>
        <w:rPr>
          <w:rFonts w:ascii="Times New Roman;Times;serif" w:hAnsi="Times New Roman;Times;serif"/>
          <w:b w:val="false"/>
          <w:sz w:val="20"/>
        </w:rPr>
        <w:t>common shares and 2,330,000</w:t>
      </w:r>
      <w:r>
        <w:rPr>
          <w:rFonts w:ascii="Times New Roman;Times;serif" w:hAnsi="Times New Roman;Times;serif"/>
          <w:b/>
          <w:sz w:val="20"/>
        </w:rPr>
        <w:t xml:space="preserve"> </w:t>
      </w:r>
      <w:r>
        <w:rPr>
          <w:rFonts w:ascii="Times New Roman;Times;serif" w:hAnsi="Times New Roman;Times;serif"/>
          <w:b w:val="false"/>
          <w:sz w:val="20"/>
        </w:rPr>
        <w:t>Class C Warrants. The total expenses related to the 2025 Registered Offering were $0.3</w:t>
      </w:r>
      <w:r>
        <w:rPr>
          <w:rFonts w:ascii="Times New Roman;Times;serif" w:hAnsi="Times New Roman;Times;serif"/>
          <w:b/>
          <w:sz w:val="20"/>
        </w:rPr>
        <w:t xml:space="preserve"> </w:t>
      </w:r>
      <w:r>
        <w:rPr>
          <w:rFonts w:ascii="Times New Roman;Times;serif" w:hAnsi="Times New Roman;Times;serif"/>
          <w:b w:val="false"/>
          <w:sz w:val="20"/>
        </w:rPr>
        <w:t>million resulting in net proceeds of $36.7</w:t>
      </w:r>
      <w:r>
        <w:rPr>
          <w:rFonts w:ascii="Times New Roman;Times;serif" w:hAnsi="Times New Roman;Times;serif"/>
          <w:b/>
          <w:sz w:val="20"/>
        </w:rPr>
        <w:t xml:space="preserve"> </w:t>
      </w:r>
      <w:r>
        <w:rPr>
          <w:rFonts w:ascii="Times New Roman;Times;serif" w:hAnsi="Times New Roman;Times;serif"/>
          <w:b w:val="false"/>
          <w:sz w:val="20"/>
        </w:rPr>
        <w:t>million.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Agreement with Korea Zinc</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On June 16, 2025, the Company entered into a Securities Purchase Agreement (the “Korea Zinc Agreement”) with Korea Zinc Company, Ltd. (“Korea Zinc”), pursuant to which the Company in consideration of gross cash receipt of $85.2</w:t>
      </w:r>
      <w:r>
        <w:rPr>
          <w:rFonts w:ascii="Times New Roman;Times;serif" w:hAnsi="Times New Roman;Times;serif"/>
          <w:b/>
          <w:sz w:val="20"/>
        </w:rPr>
        <w:t xml:space="preserve"> </w:t>
      </w:r>
      <w:r>
        <w:rPr>
          <w:rFonts w:ascii="Times New Roman;Times;serif" w:hAnsi="Times New Roman;Times;serif"/>
          <w:b w:val="false"/>
          <w:sz w:val="20"/>
        </w:rPr>
        <w:t>million, agreed to issue and sell to Korea Zinc 19,623,376</w:t>
      </w:r>
      <w:r>
        <w:rPr>
          <w:rFonts w:ascii="Times New Roman;Times;serif" w:hAnsi="Times New Roman;Times;serif"/>
          <w:b/>
          <w:sz w:val="20"/>
        </w:rPr>
        <w:t xml:space="preserve"> </w:t>
      </w:r>
      <w:r>
        <w:rPr>
          <w:rFonts w:ascii="Times New Roman;Times;serif" w:hAnsi="Times New Roman;Times;serif"/>
          <w:b w:val="false"/>
          <w:sz w:val="20"/>
        </w:rPr>
        <w:t>common shares of the Company and accompanying warrants to purchase an aggregate of 6,868,181</w:t>
      </w:r>
      <w:r>
        <w:rPr>
          <w:rFonts w:ascii="Times New Roman;Times;serif" w:hAnsi="Times New Roman;Times;serif"/>
          <w:b/>
          <w:sz w:val="20"/>
        </w:rPr>
        <w:t xml:space="preserve"> </w:t>
      </w:r>
      <w:r>
        <w:rPr>
          <w:rFonts w:ascii="Times New Roman;Times;serif" w:hAnsi="Times New Roman;Times;serif"/>
          <w:b w:val="false"/>
          <w:sz w:val="20"/>
        </w:rPr>
        <w:t>common shares (Note 13). The purchase price per share and accompanying warrant was set at $4.34. During the second quarter of 2025, upon receipt of the entire purchase amount of $85.2</w:t>
      </w:r>
      <w:r>
        <w:rPr>
          <w:rFonts w:ascii="Times New Roman;Times;serif" w:hAnsi="Times New Roman;Times;serif"/>
          <w:b/>
          <w:sz w:val="20"/>
        </w:rPr>
        <w:t xml:space="preserve"> </w:t>
      </w:r>
      <w:r>
        <w:rPr>
          <w:rFonts w:ascii="Times New Roman;Times;serif" w:hAnsi="Times New Roman;Times;serif"/>
          <w:b w:val="false"/>
          <w:sz w:val="20"/>
        </w:rPr>
        <w:t>million, the Company issued 19,623,376</w:t>
      </w:r>
      <w:r>
        <w:rPr>
          <w:rFonts w:ascii="Times New Roman;Times;serif" w:hAnsi="Times New Roman;Times;serif"/>
          <w:b/>
          <w:sz w:val="20"/>
        </w:rPr>
        <w:t xml:space="preserve"> </w:t>
      </w:r>
      <w:r>
        <w:rPr>
          <w:rFonts w:ascii="Times New Roman;Times;serif" w:hAnsi="Times New Roman;Times;serif"/>
          <w:b w:val="false"/>
          <w:sz w:val="20"/>
        </w:rPr>
        <w:t>common shares and accompanying warrants to purchase an aggregate of 6,868,181</w:t>
      </w:r>
      <w:r>
        <w:rPr>
          <w:rFonts w:ascii="Times New Roman;Times;serif" w:hAnsi="Times New Roman;Times;serif"/>
          <w:b/>
          <w:sz w:val="20"/>
        </w:rPr>
        <w:t xml:space="preserve"> </w:t>
      </w:r>
      <w:r>
        <w:rPr>
          <w:rFonts w:ascii="Times New Roman;Times;serif" w:hAnsi="Times New Roman;Times;serif"/>
          <w:b w:val="false"/>
          <w:sz w:val="20"/>
        </w:rPr>
        <w:t>common shares. The total expenses related to the Korea Zinc agreement were $1.9</w:t>
      </w:r>
      <w:r>
        <w:rPr>
          <w:rFonts w:ascii="Times New Roman;Times;serif" w:hAnsi="Times New Roman;Times;serif"/>
          <w:b/>
          <w:sz w:val="20"/>
        </w:rPr>
        <w:t xml:space="preserve"> </w:t>
      </w:r>
      <w:r>
        <w:rPr>
          <w:rFonts w:ascii="Times New Roman;Times;serif" w:hAnsi="Times New Roman;Times;serif"/>
          <w:b w:val="false"/>
          <w:sz w:val="20"/>
        </w:rPr>
        <w:t>million paid in equity resulting in net proceeds of $83.3</w:t>
      </w:r>
      <w:r>
        <w:rPr>
          <w:rFonts w:ascii="Times New Roman;Times;serif" w:hAnsi="Times New Roman;Times;serif"/>
          <w:b/>
          <w:sz w:val="20"/>
        </w:rPr>
        <w:t xml:space="preserve"> </w:t>
      </w:r>
      <w:r>
        <w:rPr>
          <w:rFonts w:ascii="Times New Roman;Times;serif" w:hAnsi="Times New Roman;Times;serif"/>
          <w:b w:val="false"/>
          <w:sz w:val="20"/>
        </w:rPr>
        <w:t>million.</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Pursuant to the Korea Zinc Agreement, subject to certain exceptions, Korea Zinc will have a right to participate in any public offering or private placement of any common shares or common share equivalents of the Company primarily for capital raising purposes (each a “Proposed Offering”) up to such amount of securities to maintain its percentage ownership in the Company at the time of such Proposed Offering. Such right to participate in future financings will expire upon the earlier to occur of (i) June 16, 2030, (ii) the date on which Korea Zinc owns less than all of the common shares it purchased and subscribed pursuant to the Korea Zinc Agreement and (iii) immediately after a closing of a Proposed Offering where Korea Zinc does not exercise its participation right in full. Additionally, the Korea Zinc Agreement provides that a representative of Korea Zinc may serve as a non-voting observer to the Company’s board of directors, which representative may have access to certain information and attend and provide input at meetings of the Company’s board of directors, subject to certain limitations.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bookmarkStart w:id="1324" w:name="Narr_rsOxJkO1Skm6tNNAa0kblg"/>
      <w:bookmarkEnd w:id="1324"/>
      <w:r>
        <w:rPr>
          <w:rFonts w:ascii="Times New Roman;Times;serif" w:hAnsi="Times New Roman;Times;serif"/>
          <w:b/>
          <w:i w:val="false"/>
          <w:caps w:val="false"/>
          <w:smallCaps w:val="false"/>
          <w:sz w:val="20"/>
        </w:rPr>
        <w:t>12.</w:t>
      </w:r>
      <w:r>
        <w:rPr>
          <w:rFonts w:ascii="Times New Roman;Times;serif" w:hAnsi="Times New Roman;Times;serif"/>
          <w:b/>
          <w:sz w:val="20"/>
        </w:rPr>
        <w:t>Shares issued as per At-the-Market Equity Distribution Agreement (“ATM”)</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2022, the Company filed a prospectus supplement with the Securities and Exchange Commission to sell up to $30 million of the Company’s common shares from time to time through an ATM. In the three and nine months ended September 30, 2025, the Company issued nil and 7,542,996 common shares, respectively, at an average share price of nil and $2.02, respectively. The net proceeds from the ATM for the three and nine months ended September 30, 2025, were nil and $14.8 million respectively. During the three and nine months ended September 30, 2025, the Company incurred $nil and $0.5 million, respectively, as commission and fees. (During the three and nine months ended September 30, 2024, the Company issued 1,617,000 common shares and 3,251,588 common shares, respectively. For three and nine months ended September 30, 2024, the common shares were issued at an average share price of $1.45 and $1.53, respectively resulting in net proceeds amounting to $2.3 million and $4.9 million, after incurring $71 thousand and $113 thousand, respectively, as commission and fees.).</w:t>
      </w:r>
    </w:p>
    <w:p>
      <w:pPr>
        <w:pStyle w:val="TextBody"/>
        <w:bidi w:val="0"/>
        <w:spacing w:before="0" w:after="240"/>
        <w:ind w:left="0" w:right="0" w:hanging="0"/>
        <w:jc w:val="left"/>
        <w:rPr>
          <w:rFonts w:ascii="Times New Roman;Times;serif" w:hAnsi="Times New Roman;Times;serif"/>
          <w:b/>
          <w:sz w:val="20"/>
        </w:rPr>
      </w:pPr>
      <w:bookmarkStart w:id="1325" w:name="Tc_jRHtAVG44EKetSf8g4rJXw_8_7"/>
      <w:bookmarkStart w:id="1326" w:name="Tc_1d3EDI7RUEOdS5-GkszM2A_8_4"/>
      <w:bookmarkStart w:id="1327" w:name="Tc_Xblw8vj_gkmrOwktDGroHQ_8_0"/>
      <w:bookmarkStart w:id="1328" w:name="Tc_qozcEBZvrki-a3o9Jz41fQ_7_7"/>
      <w:bookmarkStart w:id="1329" w:name="Tc_9Cy17AEhyk-3vHGfQkIbGQ_7_4"/>
      <w:bookmarkStart w:id="1330" w:name="Tc_7LQQoBXA4kODlnvL868AHQ_7_0"/>
      <w:bookmarkStart w:id="1331" w:name="Tc_ZhOTvhiRCE6QPelySjTFrQ_6_7"/>
      <w:bookmarkStart w:id="1332" w:name="Tc_bdMRTomzPEKoub3tdBz2wA_6_4"/>
      <w:bookmarkStart w:id="1333" w:name="Tc_IDkMnLaFYEWd1NKlrmvKuw_6_0"/>
      <w:bookmarkStart w:id="1334" w:name="Tc_4iyEtnR8KUKgVXcPvAOSqA_5_7"/>
      <w:bookmarkStart w:id="1335" w:name="Tc_rthvAj6Ee0S3ipEOehl3DA_5_4"/>
      <w:bookmarkStart w:id="1336" w:name="Tc_MmYipNo9AEyzGZNnDixtCQ_5_0"/>
      <w:bookmarkStart w:id="1337" w:name="Tc_HUvQ12fmlkKXtlA6yAL1EA_4_5"/>
      <w:bookmarkStart w:id="1338" w:name="Tc_7xWgyG8nWk-SDAjGpK9AUw_4_2"/>
      <w:bookmarkStart w:id="1339" w:name="Tc_ocybDCTlMEW7yJabuplgMw_4_0"/>
      <w:bookmarkStart w:id="1340" w:name="Tc_Jm9jz23YZUCSgGlEdiZkUg_3_5"/>
      <w:bookmarkStart w:id="1341" w:name="Tc_wku4sVi_70SJJBtimJubDg_3_2"/>
      <w:bookmarkStart w:id="1342" w:name="Tc_TQODYIsYZUWFGVqNT-cmJg_3_0"/>
      <w:bookmarkStart w:id="1343" w:name="Tc_9yFGlNIZwkOWCbdjN4Jw8g_2_5"/>
      <w:bookmarkStart w:id="1344" w:name="Tc_aPF2A1KAqEO6IcDDCDDGeg_2_2"/>
      <w:bookmarkStart w:id="1345" w:name="Tc_6Rwq7espME2Qsh-S0yChQw_1_5"/>
      <w:bookmarkStart w:id="1346" w:name="Tc_2nyeigMgQUCO8Ql-pOeuJQ_1_2"/>
      <w:bookmarkStart w:id="1347" w:name="Tc_8pkpVvwDqEKWG3uh8kYp8w_5_2"/>
      <w:bookmarkStart w:id="1348" w:name="Tc_OIrMYmFG-0Cp-EapbvuLSQ_5_0"/>
      <w:bookmarkStart w:id="1349" w:name="Tc_MuQ0Q1DiVUqNUnIcH16F-w_4_0"/>
      <w:bookmarkStart w:id="1350" w:name="Tc_9DE5CtcE4kK6QIhZVxP0Og_3_2"/>
      <w:bookmarkStart w:id="1351" w:name="Tc_Scijork75EqBqE_mBhSQew_3_0"/>
      <w:bookmarkStart w:id="1352" w:name="Tc_VzUl7cHGbkubUbK9HWqvLw_2_2"/>
      <w:bookmarkStart w:id="1353" w:name="Tc_cxS39pvEAUqbWxp2L7wkdQ_1_2"/>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rFonts w:ascii="Times New Roman;Times;serif" w:hAnsi="Times New Roman;Times;serif"/>
          <w:b/>
          <w:i w:val="false"/>
          <w:caps w:val="false"/>
          <w:smallCaps w:val="false"/>
          <w:sz w:val="20"/>
        </w:rPr>
        <w:t>13.</w:t>
      </w:r>
      <w:r>
        <w:rPr>
          <w:rFonts w:ascii="Times New Roman;Times;serif" w:hAnsi="Times New Roman;Times;serif"/>
          <w:b/>
          <w:sz w:val="20"/>
        </w:rPr>
        <w:t xml:space="preserve">Warrants </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2025, 15,000,000 Public Warrants were outstanding (December 31, 2024 – 15,000,000). Public Warrants may only be exercised for a whole number of shares. The exercise price for the Public Warrants is $11.50 per common share. The Public Warrants will expire on September 9, 2026 or earlier upon redemption or liquidation.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2025, the value of outstanding Public Warrants of $19.5 million was recorded in additional paid in capital.</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Private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2025, 9,500,000 Private Warrants were outstanding (December 31, 2024 – 9,500,000). The exercise price for the Private Warrants is $11.50 per common share. The Private Warrants will expire on September 9, 2026 or earlier upon redemption or liquidation.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2025, the fair value of outstanding Private Warrants of approximately $13.7 million is recorded as warrants liability. The following table presents the changes in the fair value of warrants liability:</w:t>
      </w:r>
    </w:p>
    <w:p>
      <w:pPr>
        <w:pStyle w:val="TextBody"/>
        <w:bidi w:val="0"/>
        <w:spacing w:before="0" w:after="0"/>
        <w:ind w:left="0" w:right="0" w:hanging="0"/>
        <w:jc w:val="left"/>
        <w:rPr/>
      </w:pPr>
      <w:r>
        <w:rPr/>
        <w:t>​</w:t>
      </w:r>
    </w:p>
    <w:tbl>
      <w:tblPr>
        <w:tblW w:w="5129" w:type="dxa"/>
        <w:jc w:val="left"/>
        <w:tblInd w:w="0" w:type="dxa"/>
        <w:tblLayout w:type="fixed"/>
        <w:tblCellMar>
          <w:top w:w="0" w:type="dxa"/>
          <w:left w:w="0" w:type="dxa"/>
          <w:bottom w:w="0" w:type="dxa"/>
          <w:right w:w="0" w:type="dxa"/>
        </w:tblCellMar>
      </w:tblPr>
      <w:tblGrid>
        <w:gridCol w:w="3811"/>
        <w:gridCol w:w="326"/>
        <w:gridCol w:w="211"/>
        <w:gridCol w:w="781"/>
      </w:tblGrid>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95935" cy="175260"/>
                      <wp:effectExtent l="0" t="0" r="0" b="0"/>
                      <wp:wrapNone/>
                      <wp:docPr id="207" name="Frame2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Private</w: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 as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fair value of warrants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12,818</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Warrants liability as at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13,730</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2025, the fair value of the Private Warrants was estimated using the following assumptions:</w:t>
      </w:r>
    </w:p>
    <w:p>
      <w:pPr>
        <w:pStyle w:val="TextBody"/>
        <w:bidi w:val="0"/>
        <w:spacing w:before="0" w:after="0"/>
        <w:ind w:left="0" w:right="0" w:hanging="0"/>
        <w:jc w:val="left"/>
        <w:rPr/>
      </w:pPr>
      <w:r>
        <w:rPr/>
        <w:t>​</w:t>
      </w:r>
    </w:p>
    <w:tbl>
      <w:tblPr>
        <w:tblW w:w="5144" w:type="dxa"/>
        <w:jc w:val="left"/>
        <w:tblInd w:w="0" w:type="dxa"/>
        <w:tblLayout w:type="fixed"/>
        <w:tblCellMar>
          <w:top w:w="0" w:type="dxa"/>
          <w:left w:w="0" w:type="dxa"/>
          <w:bottom w:w="0" w:type="dxa"/>
          <w:right w:w="0" w:type="dxa"/>
        </w:tblCellMar>
      </w:tblPr>
      <w:tblGrid>
        <w:gridCol w:w="1351"/>
        <w:gridCol w:w="326"/>
        <w:gridCol w:w="281"/>
        <w:gridCol w:w="904"/>
        <w:gridCol w:w="571"/>
        <w:gridCol w:w="271"/>
        <w:gridCol w:w="869"/>
        <w:gridCol w:w="57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57885" cy="175260"/>
                      <wp:effectExtent l="0" t="0" r="0" b="0"/>
                      <wp:wrapNone/>
                      <wp:docPr id="208" name="Frame20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8435" cy="175260"/>
                      <wp:effectExtent l="0" t="0" r="0" b="0"/>
                      <wp:wrapNone/>
                      <wp:docPr id="210" name="Frame21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74040" cy="175260"/>
                      <wp:effectExtent l="0" t="0" r="0" b="0"/>
                      <wp:wrapNone/>
                      <wp:docPr id="211" name="Frame211"/>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62585" cy="175260"/>
                      <wp:effectExtent l="0" t="0" r="0" b="0"/>
                      <wp:wrapNone/>
                      <wp:docPr id="212" name="Frame2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72085" cy="175260"/>
                      <wp:effectExtent l="0" t="0" r="0" b="0"/>
                      <wp:wrapNone/>
                      <wp:docPr id="213" name="Frame21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51815" cy="175260"/>
                      <wp:effectExtent l="0" t="0" r="0" b="0"/>
                      <wp:wrapNone/>
                      <wp:docPr id="214" name="Frame21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62585" cy="175260"/>
                      <wp:effectExtent l="0" t="0" r="0" b="0"/>
                      <wp:wrapNone/>
                      <wp:docPr id="215" name="Frame2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571"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571" w:type="dxa"/>
            <w:tcBorders/>
            <w:vAlign w:val="center"/>
          </w:tcPr>
          <w:p>
            <w:pPr>
              <w:pStyle w:val="TableContents"/>
              <w:bidi w:val="0"/>
              <w:spacing w:before="0" w:after="1"/>
              <w:ind w:left="0" w:right="0" w:hanging="0"/>
              <w:jc w:val="center"/>
              <w:rPr/>
            </w:pPr>
            <w:r>
              <w:rPr/>
              <w:t>​</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571"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571" w:type="dxa"/>
            <w:tcBorders/>
            <w:vAlign w:val="center"/>
          </w:tcPr>
          <w:p>
            <w:pPr>
              <w:pStyle w:val="TableContents"/>
              <w:bidi w:val="0"/>
              <w:spacing w:before="0" w:after="1"/>
              <w:ind w:left="0" w:right="0" w:hanging="0"/>
              <w:jc w:val="center"/>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11.50</w:t>
            </w:r>
          </w:p>
        </w:tc>
        <w:tc>
          <w:tcPr>
            <w:tcW w:w="571"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571" w:type="dxa"/>
            <w:tcBorders/>
            <w:shd w:fill="CCEEFF" w:val="clear"/>
            <w:vAlign w:val="center"/>
          </w:tcPr>
          <w:p>
            <w:pPr>
              <w:pStyle w:val="TableContents"/>
              <w:bidi w:val="0"/>
              <w:spacing w:before="0" w:after="1"/>
              <w:ind w:left="0" w:right="0" w:hanging="0"/>
              <w:jc w:val="center"/>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6.37</w:t>
            </w:r>
          </w:p>
        </w:tc>
        <w:tc>
          <w:tcPr>
            <w:tcW w:w="571"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571"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103.79</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108.97</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Term </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0.94</w:t>
            </w:r>
          </w:p>
        </w:tc>
        <w:tc>
          <w:tcPr>
            <w:tcW w:w="5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w:t>
            </w:r>
          </w:p>
        </w:tc>
        <w:tc>
          <w:tcPr>
            <w:tcW w:w="27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3.63</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5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36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b/>
          <w:i/>
          <w:sz w:val="20"/>
        </w:rPr>
      </w:pPr>
      <w:bookmarkStart w:id="1354" w:name="Tc_pNwHBvOsKkeJH5QfWXc34g_6_0"/>
      <w:bookmarkStart w:id="1355" w:name="Tc_DAsOkZigiEmYlOHcT_6gLg_5_0"/>
      <w:bookmarkStart w:id="1356" w:name="Tc_7L21v1pIX0y2quIfLzsARw_4_0"/>
      <w:bookmarkStart w:id="1357" w:name="Tc_PPCnE8mol0iVWyK8Ym_2Lg_3_0"/>
      <w:bookmarkStart w:id="1358" w:name="Tc_UjHuT07Gg0mveJvifnRRjg_2_2"/>
      <w:bookmarkStart w:id="1359" w:name="Tc_bww_JdYdHkO86f6yNu99Ww_1_2"/>
      <w:bookmarkStart w:id="1360" w:name="_1d6d3948_e5f2_48d7_aa22_92f2939841cf"/>
      <w:bookmarkStart w:id="1361" w:name="Tc_K03qPyy7BUKj6rB5Zvi_JQ_7_0"/>
      <w:bookmarkStart w:id="1362" w:name="Tc_LldP0gFYFkOvT8lue9pBmw_6_0"/>
      <w:bookmarkStart w:id="1363" w:name="Tc_82P0_H6BnUKQx6bmgwPj8w_5_0"/>
      <w:bookmarkStart w:id="1364" w:name="Tc_MWuAX5r6t0m1QBn-2AMd8A_4_0"/>
      <w:bookmarkStart w:id="1365" w:name="Tc_Sd97UYDXPE-ElT8kCRNuXw_3_0"/>
      <w:bookmarkStart w:id="1366" w:name="Tc_hhguf30zh0K2xVO88qOgJw_2_2"/>
      <w:bookmarkStart w:id="1367" w:name="Tc_yznUzsPU3UaAkLTQ1J0-jQ_1_2"/>
      <w:bookmarkStart w:id="1368" w:name="_9e52e398_f206_4b37_ad59_1a3bb1bcf186"/>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r>
        <w:rPr>
          <w:rFonts w:ascii="Times New Roman;Times;serif" w:hAnsi="Times New Roman;Times;serif"/>
          <w:b/>
          <w:i/>
          <w:sz w:val="20"/>
        </w:rPr>
        <w:t xml:space="preserve">Class A Warrants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exercise price for the Class A Warrants is $2 per common share. The Class A Warrants will expire on December 31, 2027 or earlier upon redemption or liquidation. A continuity schedule summarizing the movement in Class A Warrants is below:</w:t>
      </w:r>
    </w:p>
    <w:p>
      <w:pPr>
        <w:pStyle w:val="TextBody"/>
        <w:bidi w:val="0"/>
        <w:spacing w:before="0" w:after="0"/>
        <w:ind w:left="0" w:right="0" w:hanging="0"/>
        <w:jc w:val="left"/>
        <w:rPr/>
      </w:pPr>
      <w:r>
        <w:rPr/>
        <w:t>​</w:t>
      </w:r>
    </w:p>
    <w:tbl>
      <w:tblPr>
        <w:tblW w:w="4858" w:type="dxa"/>
        <w:jc w:val="left"/>
        <w:tblInd w:w="0" w:type="dxa"/>
        <w:tblLayout w:type="fixed"/>
        <w:tblCellMar>
          <w:top w:w="0" w:type="dxa"/>
          <w:left w:w="0" w:type="dxa"/>
          <w:bottom w:w="0" w:type="dxa"/>
          <w:right w:w="0" w:type="dxa"/>
        </w:tblCellMar>
      </w:tblPr>
      <w:tblGrid>
        <w:gridCol w:w="3016"/>
        <w:gridCol w:w="326"/>
        <w:gridCol w:w="15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915160" cy="175260"/>
                      <wp:effectExtent l="0" t="0" r="0" b="0"/>
                      <wp:wrapNone/>
                      <wp:docPr id="216" name="Frame21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62660" cy="175260"/>
                      <wp:effectExtent l="0" t="0" r="0" b="0"/>
                      <wp:wrapNone/>
                      <wp:docPr id="218" name="Frame218"/>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Class A</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3,980,770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2,250,000</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6,230,770</w:t>
            </w:r>
          </w:p>
        </w:tc>
      </w:tr>
      <w:tr>
        <w:trPr/>
        <w:tc>
          <w:tcPr>
            <w:tcW w:w="3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(1,888,270)</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4,342,500</w:t>
            </w:r>
          </w:p>
        </w:tc>
      </w:tr>
    </w:tbl>
    <w:tbl>
      <w:tblPr>
        <w:tblW w:w="10205" w:type="dxa"/>
        <w:jc w:val="left"/>
        <w:tblInd w:w="0" w:type="dxa"/>
        <w:tblLayout w:type="fixed"/>
        <w:tblCellMar>
          <w:top w:w="0" w:type="dxa"/>
          <w:left w:w="0" w:type="dxa"/>
          <w:bottom w:w="0" w:type="dxa"/>
          <w:right w:w="0"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During the third quarter of 2025, 1,638,270 Class A Warrants were exercised for which the Company received the exercise amount of $3.6 million in the second quarter of 2025.</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2025, the value of the outstanding 4,342,500 Class A Warrants amounting to $3.6 million was recorded in additional paid in capital.</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Class B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 part of the 2024 Registered Direct Offering (Note 11), the Company issued 7,450,000 Class B Warrants in the last quarter of 2024, to purchase common shares at an exercise price of $ 2.00 per share. The Class B Warrants will expire 5 years from the issuance date or earlier upon redemption or liquidation. A continuity schedule summarizing the movement in Class B Warrants is below:</w:t>
      </w:r>
    </w:p>
    <w:p>
      <w:pPr>
        <w:pStyle w:val="TextBody"/>
        <w:bidi w:val="0"/>
        <w:spacing w:before="0" w:after="0"/>
        <w:ind w:left="0" w:right="0" w:hanging="0"/>
        <w:jc w:val="left"/>
        <w:rPr/>
      </w:pPr>
      <w:r>
        <w:rPr/>
        <w:t>​</w:t>
      </w:r>
    </w:p>
    <w:tbl>
      <w:tblPr>
        <w:tblW w:w="4843" w:type="dxa"/>
        <w:jc w:val="left"/>
        <w:tblInd w:w="0" w:type="dxa"/>
        <w:tblLayout w:type="fixed"/>
        <w:tblCellMar>
          <w:top w:w="0" w:type="dxa"/>
          <w:left w:w="0" w:type="dxa"/>
          <w:bottom w:w="0" w:type="dxa"/>
          <w:right w:w="0" w:type="dxa"/>
        </w:tblCellMar>
      </w:tblPr>
      <w:tblGrid>
        <w:gridCol w:w="3016"/>
        <w:gridCol w:w="326"/>
        <w:gridCol w:w="150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915160" cy="175260"/>
                      <wp:effectExtent l="0" t="0" r="0" b="0"/>
                      <wp:wrapNone/>
                      <wp:docPr id="219" name="Frame219"/>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53135" cy="175260"/>
                      <wp:effectExtent l="0" t="0" r="0" b="0"/>
                      <wp:wrapNone/>
                      <wp:docPr id="221" name="Frame22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Class B</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7,450,000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2,500,000</w:t>
            </w:r>
          </w:p>
        </w:tc>
      </w:tr>
      <w:tr>
        <w:trPr/>
        <w:tc>
          <w:tcPr>
            <w:tcW w:w="3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(8,860,000)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September 30, 2025</w:t>
            </w:r>
          </w:p>
        </w:tc>
        <w:tc>
          <w:tcPr>
            <w:tcW w:w="326" w:type="dxa"/>
            <w:tcBorders/>
            <w:vAlign w:val="center"/>
          </w:tcPr>
          <w:p>
            <w:pPr>
              <w:pStyle w:val="TableContents"/>
              <w:bidi w:val="0"/>
              <w:spacing w:before="0" w:after="1"/>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1,090,000</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the total 8,860,000</w:t>
            </w:r>
            <w:r>
              <w:rPr>
                <w:caps w:val="false"/>
                <w:smallCaps w:val="false"/>
              </w:rPr>
              <w:t xml:space="preserve"> </w:t>
            </w:r>
            <w:r>
              <w:rPr>
                <w:rFonts w:ascii="Times New Roman;Times;serif" w:hAnsi="Times New Roman;Times;serif"/>
                <w:b w:val="false"/>
                <w:i w:val="false"/>
                <w:caps w:val="false"/>
                <w:smallCaps w:val="false"/>
                <w:sz w:val="20"/>
              </w:rPr>
              <w:t>Class B Warrants exercised in the first nine months of 2025, 5,035,000</w:t>
            </w:r>
            <w:r>
              <w:rPr>
                <w:caps w:val="false"/>
                <w:smallCaps w:val="false"/>
              </w:rPr>
              <w:t xml:space="preserve"> </w:t>
            </w:r>
            <w:r>
              <w:rPr>
                <w:rFonts w:ascii="Times New Roman;Times;serif" w:hAnsi="Times New Roman;Times;serif"/>
                <w:b w:val="false"/>
                <w:i w:val="false"/>
                <w:caps w:val="false"/>
                <w:smallCaps w:val="false"/>
                <w:sz w:val="20"/>
              </w:rPr>
              <w:t>Class B warrants were exercised through a cashless exercise against which 3,533,096</w:t>
            </w:r>
            <w:r>
              <w:rPr>
                <w:caps w:val="false"/>
                <w:smallCaps w:val="false"/>
              </w:rPr>
              <w:t xml:space="preserve"> </w:t>
            </w:r>
            <w:r>
              <w:rPr>
                <w:rFonts w:ascii="Times New Roman;Times;serif" w:hAnsi="Times New Roman;Times;serif"/>
                <w:b w:val="false"/>
                <w:i w:val="false"/>
                <w:caps w:val="false"/>
                <w:smallCaps w:val="false"/>
                <w:sz w:val="20"/>
              </w:rPr>
              <w:t>common shares were issued.</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June 17, 2025, the Company waived the limitation set forth in the Class B Warrants with respect to the cashless exercise thereof so that the holders of the Class B Warrants may now exercise the Class B Warrants through a cashless exercise, whether or not a registration statement registering the issuance of the common shares underlying the Class B Warrants under the Securities Act of 1933, as amended, is then effective or available. As a result of the waiver, each Class B Warrant may now be immediately exercised by way of a cashless exercise, meaning that the holder may elect to not pay a cash purchase price upon exercise and instead receive upon such exercise the net number of common shares determined according to the formula set forth in the Class B Warrants, subject to the other terms and conditions of the Class B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third quarter of 2025, 2,525,000 Class B Warrants were exercised.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2025, the value outstanding of 1,090,000 Class B Warrants amounting to $0.7 million was recorded in additional paid 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b/>
          <w:i/>
          <w:sz w:val="20"/>
        </w:rPr>
      </w:pPr>
      <w:bookmarkStart w:id="1369" w:name="Tc_pKw4C9XXp0WAbSfPwvyGHw_6_0"/>
      <w:bookmarkStart w:id="1370" w:name="Tc_bLiXMEc2YE-LG3hchasMqA_5_2"/>
      <w:bookmarkStart w:id="1371" w:name="Tc_nHmXp55l6E-hoOH1CGo6Tw_5_0"/>
      <w:bookmarkStart w:id="1372" w:name="Tc_zeVs9mbzZUGmXWJocXARwg_4_0"/>
      <w:bookmarkStart w:id="1373" w:name="Tc_smCYmJBOTE2Mp1PVrnFhwA_3_2"/>
      <w:bookmarkStart w:id="1374" w:name="Tc_AQsQ2cUhqkSuDxHgkawJvw_3_0"/>
      <w:bookmarkStart w:id="1375" w:name="Tc_4tUxmWQlT0qCWsr4pnBRgg_2_2"/>
      <w:bookmarkStart w:id="1376" w:name="Tc_0dBwE0J5V06RcAh0d85tWA_1_2"/>
      <w:bookmarkStart w:id="1377" w:name="Tc_UFzsNyy4AUC_SXAsBe5VOA_8_4"/>
      <w:bookmarkStart w:id="1378" w:name="Tc_o6kAPQH740S_V3kJvnF-vQ_8_0"/>
      <w:bookmarkStart w:id="1379" w:name="Tc_tl6OBGW8bEifO8D6Cj6U6w_7_4"/>
      <w:bookmarkStart w:id="1380" w:name="Tc_bvtaiZMtCka36Q-oly4BWQ_7_0"/>
      <w:bookmarkStart w:id="1381" w:name="Tc_WZx3h0pTQUmw4reNhYTZMg_6_4"/>
      <w:bookmarkStart w:id="1382" w:name="Tc_8ekfQiH45kOarHCNSEtdPw_6_0"/>
      <w:bookmarkStart w:id="1383" w:name="Tc_t1adDj588EWBgl2TD_9EJQ_5_4"/>
      <w:bookmarkStart w:id="1384" w:name="Tc_l1goewsAO0Crha9f3LS8JA_5_0"/>
      <w:bookmarkStart w:id="1385" w:name="Tc__1jOcUiB6UC6DLaqGFVubg_4_2"/>
      <w:bookmarkStart w:id="1386" w:name="Tc_DQKEZa9KkkSSoCc_HVW3Jw_4_0"/>
      <w:bookmarkStart w:id="1387" w:name="Tc_746XoEM43UWSFN5hevqVTA_3_2"/>
      <w:bookmarkStart w:id="1388" w:name="Tc_LkwV2zwGwkKMm4yff2vTJg_3_0"/>
      <w:bookmarkStart w:id="1389" w:name="Tc_498T2nLV0ESwHwHgcqNKjA_2_2"/>
      <w:bookmarkStart w:id="1390" w:name="Tc_2BFoxJfMy06McxUbmcMm9Q_1_2"/>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r>
        <w:rPr>
          <w:rFonts w:ascii="Times New Roman;Times;serif" w:hAnsi="Times New Roman;Times;serif"/>
          <w:b/>
          <w:i/>
          <w:sz w:val="20"/>
        </w:rPr>
        <w:t>Class 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the second quarter of 2025, as a part of the 2025 Registered Direct Offering (Note 11), the Company issued 10,003,333 Class C Warrants to purchase common shares at an exercise price of $4.50 per share with an expiration date of May 12, 2028.</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On July 1, 2025, the Company received the final balance of committed funding of approximately $7 million from the 2025 Registered Direct Offering and issued the remaining 2,330,000 Class C Warrants. The fair value of the remaining Class C Warrants was calculated using a Monte Carlo simulation resulting with a fair value of $3.01 per warrant. The fair value of the Class C Warrants issued during the third quarter was estimated using the below assumptions:</w:t>
      </w:r>
    </w:p>
    <w:p>
      <w:pPr>
        <w:pStyle w:val="TextBody"/>
        <w:bidi w:val="0"/>
        <w:spacing w:before="0" w:after="240"/>
        <w:ind w:left="360" w:right="0" w:hanging="0"/>
        <w:jc w:val="both"/>
        <w:rPr/>
      </w:pPr>
      <w:r>
        <w:rPr/>
        <w:t>​</w:t>
      </w:r>
    </w:p>
    <w:tbl>
      <w:tblPr>
        <w:tblW w:w="3180" w:type="dxa"/>
        <w:jc w:val="left"/>
        <w:tblInd w:w="0" w:type="dxa"/>
        <w:tblLayout w:type="fixed"/>
        <w:tblCellMar>
          <w:top w:w="0" w:type="dxa"/>
          <w:left w:w="0" w:type="dxa"/>
          <w:bottom w:w="0" w:type="dxa"/>
          <w:right w:w="0" w:type="dxa"/>
        </w:tblCellMar>
      </w:tblPr>
      <w:tblGrid>
        <w:gridCol w:w="1351"/>
        <w:gridCol w:w="326"/>
        <w:gridCol w:w="211"/>
        <w:gridCol w:w="676"/>
        <w:gridCol w:w="6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857885" cy="175260"/>
                      <wp:effectExtent l="0" t="0" r="0" b="0"/>
                      <wp:wrapNone/>
                      <wp:docPr id="222" name="Frame22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29260" cy="175260"/>
                      <wp:effectExtent l="0" t="0" r="0" b="0"/>
                      <wp:wrapNone/>
                      <wp:docPr id="225" name="Frame2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91160" cy="175260"/>
                      <wp:effectExtent l="0" t="0" r="0" b="0"/>
                      <wp:wrapNone/>
                      <wp:docPr id="226" name="Frame22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July 1,</w:t>
            </w:r>
          </w:p>
        </w:tc>
        <w:tc>
          <w:tcPr>
            <w:tcW w:w="616" w:type="dxa"/>
            <w:tcBorders/>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616" w:type="dxa"/>
            <w:tcBorders/>
            <w:vAlign w:val="center"/>
          </w:tcPr>
          <w:p>
            <w:pPr>
              <w:pStyle w:val="TableContents"/>
              <w:bidi w:val="0"/>
              <w:spacing w:before="0" w:after="1"/>
              <w:ind w:left="0" w:right="0" w:hanging="0"/>
              <w:jc w:val="left"/>
              <w:rPr/>
            </w:pPr>
            <w:r>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4.50</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5.94</w:t>
            </w:r>
          </w:p>
        </w:tc>
        <w:tc>
          <w:tcPr>
            <w:tcW w:w="6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106.26</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2.88</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3.68</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Class C Warrants contain a call provision under which if the Volume Weighted Average Price “VWAP” for 20 consecutive trading days exceeds $7.00, and the warrant holder does not possess material non-public information provided by the Company, the Company may call for cancellation the unexercised warrants, offering $0.0001 per Warrant Share. If conditions for the call are met, the unexercised portion of these warrants may be cancelled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trading days after the call notice is received.</w:t>
      </w:r>
    </w:p>
    <w:p>
      <w:pPr>
        <w:pStyle w:val="TextBody"/>
        <w:bidi w:val="0"/>
        <w:spacing w:before="0" w:after="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Similar to issuance in the second quarter of 2025, the Company classified the Class C Warrants issued in the third quarter of 2025 as equity (per ASC 815) and recorded the value amounting to $2.4 million as additional paid in capital.</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 in Class C Warrants is below:</w:t>
      </w:r>
    </w:p>
    <w:p>
      <w:pPr>
        <w:pStyle w:val="TextBody"/>
        <w:bidi w:val="0"/>
        <w:spacing w:before="0" w:after="240"/>
        <w:ind w:left="360" w:right="0" w:hanging="0"/>
        <w:jc w:val="both"/>
        <w:rPr/>
      </w:pPr>
      <w:r>
        <w:rPr/>
        <w:t>​</w:t>
      </w:r>
    </w:p>
    <w:tbl>
      <w:tblPr>
        <w:tblW w:w="4858" w:type="dxa"/>
        <w:jc w:val="left"/>
        <w:tblInd w:w="0" w:type="dxa"/>
        <w:tblLayout w:type="fixed"/>
        <w:tblCellMar>
          <w:top w:w="0" w:type="dxa"/>
          <w:left w:w="0" w:type="dxa"/>
          <w:bottom w:w="0" w:type="dxa"/>
          <w:right w:w="0" w:type="dxa"/>
        </w:tblCellMar>
      </w:tblPr>
      <w:tblGrid>
        <w:gridCol w:w="3016"/>
        <w:gridCol w:w="326"/>
        <w:gridCol w:w="15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915160" cy="175260"/>
                      <wp:effectExtent l="0" t="0" r="0" b="0"/>
                      <wp:wrapNone/>
                      <wp:docPr id="227" name="Frame227"/>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62660" cy="175260"/>
                      <wp:effectExtent l="0" t="0" r="0" b="0"/>
                      <wp:wrapNone/>
                      <wp:docPr id="229" name="Frame22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Class C</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r>
              <w:rPr>
                <w:rFonts w:ascii="Times New Roman;Times;serif" w:hAnsi="Times New Roman;Times;serif"/>
                <w:b/>
                <w:sz w:val="16"/>
              </w:rPr>
              <w:t>Warrants</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26" w:type="dxa"/>
            <w:tcBorders/>
            <w:shd w:fill="CCEEFF" w:val="clear"/>
            <w:vAlign w:val="center"/>
          </w:tcPr>
          <w:p>
            <w:pPr>
              <w:pStyle w:val="TableContents"/>
              <w:bidi w:val="0"/>
              <w:spacing w:before="0" w:after="1"/>
              <w:ind w:left="0" w:right="0" w:hanging="0"/>
              <w:jc w:val="center"/>
              <w:rPr/>
            </w:pPr>
            <w:r>
              <w:rPr/>
              <w:t>​</w:t>
            </w:r>
          </w:p>
        </w:tc>
        <w:tc>
          <w:tcPr>
            <w:tcW w:w="1516"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12,333,333</w:t>
            </w:r>
          </w:p>
        </w:tc>
      </w:tr>
      <w:tr>
        <w:trPr/>
        <w:tc>
          <w:tcPr>
            <w:tcW w:w="3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September 30, 2025</w:t>
            </w:r>
          </w:p>
        </w:tc>
        <w:tc>
          <w:tcPr>
            <w:tcW w:w="326" w:type="dxa"/>
            <w:tcBorders/>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12,333,333</w:t>
            </w:r>
          </w:p>
        </w:tc>
      </w:tr>
    </w:tbl>
    <w:p>
      <w:pPr>
        <w:pStyle w:val="TextBody"/>
        <w:bidi w:val="0"/>
        <w:spacing w:before="0" w:after="24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at September 30, 2025, the outstanding 12,333,333 Class C Warrants were valued at $12.5 million, and were recorded in additional paid in capital.</w:t>
      </w:r>
    </w:p>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Warrants issued to Korea Zinc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part of the Korea Zinc Agreement (Note 11), the Company on June 25, 2025 issued 6,868,181 warrants to Korea Zinc to purchase the common shares of the Company at an exercise price of $7.00 per share with an expiration date of June 25, 2028.</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fair value of the warrants issued to Korea Zinc was determined using a Monte Carlo simulation on June 25, 2025, resulting with a fair value of $3.35 per warrant.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Similar to the Class A, Class B and Class C Warrants, the Company classified the warrants issued to Korea Zinc as equity (per ASC 815) and, recorded the value of the warrants issued during the second quarter of 2025 amounting to $11.5 million as additional paid 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360" w:right="0" w:hanging="0"/>
        <w:jc w:val="both"/>
        <w:rPr>
          <w:rFonts w:ascii="Times New Roman;Times;serif" w:hAnsi="Times New Roman;Times;serif"/>
          <w:sz w:val="20"/>
        </w:rPr>
      </w:pPr>
      <w:bookmarkStart w:id="1391" w:name="Tc_DKpQ4y2dBkKmMurGTz8v_g_8_4"/>
      <w:bookmarkStart w:id="1392" w:name="Tc_xiFUuvYD-02RawOnHZOKTA_8_0"/>
      <w:bookmarkStart w:id="1393" w:name="Tc_9VdtW0el0kO6x7-luLX2hA_7_4"/>
      <w:bookmarkStart w:id="1394" w:name="Tc_hDAVwPyhDUqUSn6nP2DYkQ_7_0"/>
      <w:bookmarkStart w:id="1395" w:name="Tc_378wAJo4VEqzYF5rW64M9g_6_3"/>
      <w:bookmarkStart w:id="1396" w:name="Tc_YAulv2zdsEOzmWzWkze5NQ_6_0"/>
      <w:bookmarkStart w:id="1397" w:name="Tc_5UHyy1QttEGRpkHY7Uvzaw_5_4"/>
      <w:bookmarkStart w:id="1398" w:name="Tc_d9gZ-KhWTUeepLXCEQED8g_5_0"/>
      <w:bookmarkStart w:id="1399" w:name="Tc_gNEZGQCnfUu1ilRCZifqvw_4_2"/>
      <w:bookmarkStart w:id="1400" w:name="Tc_67XZ7VxbFUaC8J_IbNX4PA_4_0"/>
      <w:bookmarkStart w:id="1401" w:name="Tc_hAvvei8vM02VQnJrYLT7ag_3_2"/>
      <w:bookmarkStart w:id="1402" w:name="Tc_rtq-JtymDk6923HJgOC3PQ_3_0"/>
      <w:bookmarkStart w:id="1403" w:name="Tc_-6_2aPzYnECLk1-ABc9ZHg_2_2"/>
      <w:bookmarkStart w:id="1404" w:name="Tc__7qAiglZWkiRPl6B95vmug_1_2"/>
      <w:bookmarkStart w:id="1405" w:name="Tc_4daLsygv3U6cAr2cIXLV0w_6_0"/>
      <w:bookmarkStart w:id="1406" w:name="Tc_1yZS-4n8S06Z13GbJUN9TA_5_2"/>
      <w:bookmarkStart w:id="1407" w:name="Tc_pxBsk-CJ0E-8u_UMYbQKyg_5_0"/>
      <w:bookmarkStart w:id="1408" w:name="Tc_mU1uRQqpwkaqzUfjbm7CWw_4_0"/>
      <w:bookmarkStart w:id="1409" w:name="Tc_ynfC6y0Y-kStiVPdrEKfeg_3_2"/>
      <w:bookmarkStart w:id="1410" w:name="Tc_MD_YqhMY8US5-PaNDRWkEQ_3_0"/>
      <w:bookmarkStart w:id="1411" w:name="Tc_XjvtmQXZc0q2JQ47bEbfCQ_2_2"/>
      <w:bookmarkStart w:id="1412" w:name="Tc_2v6KmifcbUagunA9KewPkw_1_2"/>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Pr>
          <w:rFonts w:ascii="Times New Roman;Times;serif" w:hAnsi="Times New Roman;Times;serif"/>
          <w:sz w:val="20"/>
        </w:rPr>
        <w:t>A continuity schedule summarizing the movement in Warrants issued to Korea Zinc is below:</w:t>
      </w:r>
    </w:p>
    <w:p>
      <w:pPr>
        <w:pStyle w:val="TextBody"/>
        <w:bidi w:val="0"/>
        <w:spacing w:before="0" w:after="240"/>
        <w:ind w:left="360" w:right="0" w:hanging="0"/>
        <w:jc w:val="both"/>
        <w:rPr/>
      </w:pPr>
      <w:r>
        <w:rPr/>
        <w:t>​</w:t>
      </w:r>
    </w:p>
    <w:tbl>
      <w:tblPr>
        <w:tblW w:w="4378" w:type="dxa"/>
        <w:jc w:val="left"/>
        <w:tblInd w:w="0" w:type="dxa"/>
        <w:tblLayout w:type="fixed"/>
        <w:tblCellMar>
          <w:top w:w="0" w:type="dxa"/>
          <w:left w:w="0" w:type="dxa"/>
          <w:bottom w:w="0" w:type="dxa"/>
          <w:right w:w="0" w:type="dxa"/>
        </w:tblCellMar>
      </w:tblPr>
      <w:tblGrid>
        <w:gridCol w:w="3016"/>
        <w:gridCol w:w="326"/>
        <w:gridCol w:w="103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915160" cy="175260"/>
                      <wp:effectExtent l="0" t="0" r="0" b="0"/>
                      <wp:wrapNone/>
                      <wp:docPr id="230" name="Frame230"/>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57860" cy="175260"/>
                      <wp:effectExtent l="0" t="0" r="0" b="0"/>
                      <wp:wrapNone/>
                      <wp:docPr id="232" name="Frame2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r>
              <w:rPr>
                <w:rFonts w:ascii="Times New Roman;Times;serif" w:hAnsi="Times New Roman;Times;serif"/>
                <w:b/>
                <w:sz w:val="16"/>
              </w:rPr>
              <w:t>Warrants</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2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6,868,181</w:t>
            </w:r>
          </w:p>
        </w:tc>
      </w:tr>
      <w:tr>
        <w:trPr/>
        <w:tc>
          <w:tcPr>
            <w:tcW w:w="3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September 30, 2025</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6,868,181</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Warrants issued to Republic of Nauru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revised sponsorship agreement dated May 29, 2025, between the Nauru Seabed Minerals Authority, the Republic of Nauru (the “Republic”) and NORI, the Company on May 30, 2025 issued 9,146,268 warrants (“Nauru Warrants”) to the Republic to purchase the common shares of the Company at an exercise price of $4.72 per share with an expiration date of May 30, 2030. The Nauru Warrants cannot be exercised through a cashless or net exercise.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fair value of the Nauru Warrants was calculated using a Black-Scholes valuation on May 30, 2025, resulting with a fair value of $3.60 per warrant.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Nauru Warrants cannot be exercised until the following conditions have been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of the Company other than NORI obtains a permit, license or other authorization from the US for the conduct of deep seabed mineral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other than NORI commences commercial recovery activities of deep seabed minerals pursuant to that permit, license or other authorization.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During the second quarter of 2025, the Company recorded the fair value of the Nauru Warrants amounting to $33.1 million as additional paid in capital. Since the Company receives no form of consideration from the Republic in return for issuing the Nauru Warrants, the entire fair value of the Nauru warrants amounting to $33.1 million was recorded as an expense in the second quarter of 2025 under Nauru and Tonga Warrant Cost in the Condensed Consolidated Statements of Loss and Comprehensive Loss.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Warrants issued to the Kingdom of Tonga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revised sponsorship agreement dated August 4, 2025, between the Tonga Seabed Minerals Authority (the “State”) and TOML, the Company issued on August 4, 2025 1,000,000 warrants (“Tonga Warrants”) to the State to purchase the common shares of the Company at an exercise price of $ 5.87 per share with an expiration date of August 4, 2033. The Tonga Warrants cannot be exercised through a cashless or net exercise.</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fair value of the Tonga Warrants was calculated on issuance using a Black-Scholes valuation, 2025, resulting with a fair value of $5 per warrant. The fair value of the Tonga Warrants was estimated using the following assumptions:</w:t>
      </w:r>
    </w:p>
    <w:p>
      <w:pPr>
        <w:pStyle w:val="TextBody"/>
        <w:bidi w:val="0"/>
        <w:spacing w:before="0" w:after="240"/>
        <w:ind w:left="360" w:right="0" w:hanging="0"/>
        <w:jc w:val="both"/>
        <w:rPr/>
      </w:pPr>
      <w:r>
        <w:rPr/>
        <w:t>​</w:t>
      </w:r>
    </w:p>
    <w:tbl>
      <w:tblPr>
        <w:tblW w:w="2955" w:type="dxa"/>
        <w:jc w:val="left"/>
        <w:tblInd w:w="0" w:type="dxa"/>
        <w:tblLayout w:type="fixed"/>
        <w:tblCellMar>
          <w:top w:w="0" w:type="dxa"/>
          <w:left w:w="0" w:type="dxa"/>
          <w:bottom w:w="0" w:type="dxa"/>
          <w:right w:w="0" w:type="dxa"/>
        </w:tblCellMar>
      </w:tblPr>
      <w:tblGrid>
        <w:gridCol w:w="1351"/>
        <w:gridCol w:w="326"/>
        <w:gridCol w:w="211"/>
        <w:gridCol w:w="721"/>
        <w:gridCol w:w="34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57885" cy="175260"/>
                      <wp:effectExtent l="0" t="0" r="0" b="0"/>
                      <wp:wrapNone/>
                      <wp:docPr id="233" name="Frame23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57835" cy="175260"/>
                      <wp:effectExtent l="0" t="0" r="0" b="0"/>
                      <wp:wrapNone/>
                      <wp:docPr id="236" name="Frame23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August 4,</w:t>
            </w:r>
          </w:p>
        </w:tc>
        <w:tc>
          <w:tcPr>
            <w:tcW w:w="346"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5.87</w:t>
            </w:r>
          </w:p>
        </w:tc>
        <w:tc>
          <w:tcPr>
            <w:tcW w:w="346" w:type="dxa"/>
            <w:tcBorders/>
            <w:shd w:fill="CCEEFF" w:val="cle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5.65</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8</w:t>
            </w:r>
            <w:r>
              <w:rPr>
                <w:rFonts w:ascii="Times New Roman;Times;serif" w:hAnsi="Times New Roman;Times;serif"/>
                <w:sz w:val="20"/>
              </w:rPr>
              <w:t xml:space="preserve"> </w:t>
            </w:r>
            <w:r>
              <w:rPr>
                <w:rFonts w:ascii="Times New Roman;Times;serif" w:hAnsi="Times New Roman;Times;serif"/>
                <w:b/>
                <w:sz w:val="20"/>
              </w:rPr>
              <w:t>years</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Tonga Warrants cannot be exercised until the following conditions have been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of the Company other than TOML obtains a permit, license or other authorization from the US for the conduct of deep seabed mineral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other than TOML commences commercial recovery activities of deep seabed minerals pursuant to that permit, license or other authorization.</w:t>
            </w:r>
          </w:p>
        </w:tc>
      </w:tr>
    </w:tbl>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The Tonga Warrants were not determined to be liabilities under ASC 480 as they were not mandatorily redeemable. The Company classified the Tonga Warrants as equity (per ASC 815), as the warrants require physical settlement and were also considered to be indexed to the Company’s share, wherein, upon exercise, a fixed number of common shares would be issued on payment of a fixed exercise price. As at September 30 2025, the Company recorded the fair value of the Tonga Warrants amounting to $5 million as additional paid in capital. Since the Company receives no form of consideration from the State in return for issuing the Tonga Warrants, the entire fair value of the Tonga Warrants was recorded as an expense in the third quarter of 2025 under Nauru and Tonga Warrant Costs in the Condensed Consolidated Statements of Loss and Comprehensive Loss.</w:t>
      </w:r>
    </w:p>
    <w:p>
      <w:pPr>
        <w:pStyle w:val="TextBody"/>
        <w:bidi w:val="0"/>
        <w:spacing w:before="0" w:after="240"/>
        <w:ind w:left="36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Share-Based Compensation</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Company’s 2021 Incentive Equity Plan (the “Incentive Plan”) provides an aggregate number of common shares reserved for future issuance under the Incentive Plan. As at September 30, 2025, there were a total of 110,262,856 common shares reserved for issuance under the Incentive Plan. This amount includes 40,000,000 common shares added to the plan pursuant to the shareholder’s approval obtained at the special meeting of the Company’s shareholders held on August 28, 2025. With this increase, as of September 30, 2025, 12,247,208 common shares remained available for future issuance under the Incentive Plan. A total of 2,243,853 of the common shares reserved for issuance under the Incentive Plan shall only be available for awards made to non-employee directors of the Company. On the first day of each fiscal year from 2022 to 2031, the number of common shares that may be issued pursuant to the Incentive Plan is automatically increased by an amount equal to the lesser of 4% of the number of outstanding common shares or an amount determined by the board of directors.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Share-based awards consisting of Restricted Share Units (“RSU”) and options under the Short-Term Incentives Plan (“STIP”) and Long-Term Incentives Plan (“LTIP”) have been issued under the 2021 Incentive Equity Plan.</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Prior to the 2021 Incentive Plan, the Company had granted share-based awards under the 2018 Stock Option Plan (“2018 Plan”).</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In the special shareholders meeting held on August 28, 2025, the shareholders approved the addition of 40,000,000 common shares to the reserve under the Company’s Incentive Plan, pursuant to which 6,500,000 options and 11,915,676 RSUs were granted on August 28,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360" w:right="0" w:hanging="0"/>
        <w:jc w:val="both"/>
        <w:rPr>
          <w:rFonts w:ascii="Times New Roman;Times;serif" w:hAnsi="Times New Roman;Times;serif"/>
          <w:b/>
          <w:i/>
          <w:sz w:val="20"/>
        </w:rPr>
      </w:pPr>
      <w:bookmarkStart w:id="1413" w:name="Tc_huHKLHoer0aDBy_dZqSCqQ_8_4"/>
      <w:bookmarkStart w:id="1414" w:name="Tc_Y48n-KWyG0iTjwgF9KL--g_8_0"/>
      <w:bookmarkStart w:id="1415" w:name="Tc_WIp0Cd3x5E6TL9aMvDJqLA_7_4"/>
      <w:bookmarkStart w:id="1416" w:name="Tc_03CWU8LQaUu2CYn7BYK0aw_7_0"/>
      <w:bookmarkStart w:id="1417" w:name="Tc_By99P2IRakW2FoU1wspYlw_6_4"/>
      <w:bookmarkStart w:id="1418" w:name="Tc_hhpibHk5C02c45DImQKpLw_6_0"/>
      <w:bookmarkStart w:id="1419" w:name="Tc_cdc1XRv-yEOTB06qA3Rqkg_5_4"/>
      <w:bookmarkStart w:id="1420" w:name="Tc_mfq9MQ4e7kq2D--JAUUtog_5_0"/>
      <w:bookmarkStart w:id="1421" w:name="Tc_gxLpm-Zu1EeG5AHfq9KCJw_4_2"/>
      <w:bookmarkStart w:id="1422" w:name="Tc_eXMnnzrgg0SLP524Gu8Zbg_4_0"/>
      <w:bookmarkStart w:id="1423" w:name="Tc_cVdscan0SUKNx3OOf1Of8A_3_2"/>
      <w:bookmarkStart w:id="1424" w:name="Tc_X2X1ELPxl02u9jeiE2PQFw_3_0"/>
      <w:bookmarkStart w:id="1425" w:name="Tc_Vkplhs2S9UWOz5omU_8qag_2_2"/>
      <w:bookmarkStart w:id="1426" w:name="Tc_SC3B5eOMJUSA8m1XXoEHeA_1_2"/>
      <w:bookmarkStart w:id="1427" w:name="Tc_7NbP9ZYvE0maPsESRQIJWw_14_0"/>
      <w:bookmarkStart w:id="1428" w:name="Tc_idzPlu7BwUW7T9nY9IyR8Q_13_4"/>
      <w:bookmarkStart w:id="1429" w:name="Tc_BhJcw3osLki_Jw2GObaJ-Q_13_2"/>
      <w:bookmarkStart w:id="1430" w:name="Tc_JXJe5fLr9kiADFbFxo1iCw_13_0"/>
      <w:bookmarkStart w:id="1431" w:name="Tc_tkq7geF-7UOCFzyEgM2EFg_12_6"/>
      <w:bookmarkStart w:id="1432" w:name="Tc_aODe8k_HmUul7SSQdxR3-Q_12_0"/>
      <w:bookmarkStart w:id="1433" w:name="Tc_D9XcOcQtvk-Qou43EeUnTQ_11_4"/>
      <w:bookmarkStart w:id="1434" w:name="Tc_aHDw1DZ5zUia8PoU6Sx2Ag_11_2"/>
      <w:bookmarkStart w:id="1435" w:name="Tc_LGcZkiLlAUi1c6FCz5A4qw_11_0"/>
      <w:bookmarkStart w:id="1436" w:name="Tc_fup_IEJ5fECLPT12zX7a6A_10_0"/>
      <w:bookmarkStart w:id="1437" w:name="Tc_M-SLqOn8o0CnlhrLV3QAtw_9_6"/>
      <w:bookmarkStart w:id="1438" w:name="Tc_7WCWC8ewMkO8V99wVF8Hjg_9_4"/>
      <w:bookmarkStart w:id="1439" w:name="Tc_J5he6HDE_UyI9jeoVdmMYQ_9_0"/>
      <w:bookmarkStart w:id="1440" w:name="Tc_M_bM-L686U2GMHU_kMvB3g_8_6"/>
      <w:bookmarkStart w:id="1441" w:name="Tc_8sjlPE1e1UmzczfX7Fbnsw_8_0"/>
      <w:bookmarkStart w:id="1442" w:name="Tc_3-E5oa_FDkOt7eNfq68Eqw_7_4"/>
      <w:bookmarkStart w:id="1443" w:name="Tc_kLWdzZDMCkCRl1IxzyHppw_7_2"/>
      <w:bookmarkStart w:id="1444" w:name="Tc_LVvfqP4u5U2M56CAcp6sDQ_7_0"/>
      <w:bookmarkStart w:id="1445" w:name="Tc_PgbWIkJmD0iNr-pdZXgPHg_6_6"/>
      <w:bookmarkStart w:id="1446" w:name="Tc_1ZySvJKN3EyjbvpfrdxAzQ_6_0"/>
      <w:bookmarkStart w:id="1447" w:name="Tc_Keo070eSFUCnYy2SF2-pcQ_5_6"/>
      <w:bookmarkStart w:id="1448" w:name="Tc_WMF6AwjyKk2RfVI2omRUUA_5_4"/>
      <w:bookmarkStart w:id="1449" w:name="Tc_ylRkg0K1gEKCWOijTJcKXg_5_2"/>
      <w:bookmarkStart w:id="1450" w:name="Tc_iTvPnoI-wkucQysBo5psUg_4_6"/>
      <w:bookmarkStart w:id="1451" w:name="Tc_no7d3fEoaEeGwuFnPUyB7A_4_4"/>
      <w:bookmarkStart w:id="1452" w:name="Tc_N7oMcqCIaUe4zhERUy2UtQ_4_2"/>
      <w:bookmarkStart w:id="1453" w:name="Tc_ytGQ1Yd2XkqP85Z32xsTbQ_3_6"/>
      <w:bookmarkStart w:id="1454" w:name="Tc_KQUIhimXKk-VOCQlfkbktg_3_4"/>
      <w:bookmarkStart w:id="1455" w:name="Tc_MSQGVyu7RE6SZ1JVLFHz-g_3_2"/>
      <w:bookmarkStart w:id="1456" w:name="Tc_oKIqyw-V30aFDNR_wKcg1g_2_6"/>
      <w:bookmarkStart w:id="1457" w:name="Tc_1NNXby5-JEy0fcaHr2XVyg_2_4"/>
      <w:bookmarkStart w:id="1458" w:name="Tc_4-Co0KO6pECO2SE9kOJR8w_2_2"/>
      <w:bookmarkStart w:id="1459" w:name="Tc_hjOYYBUJQkKOmhX-mSeZPw_1_6"/>
      <w:bookmarkStart w:id="1460" w:name="Tc__3xojlkaX0Kc_wMnvRFyhg_1_4"/>
      <w:bookmarkStart w:id="1461" w:name="Tc_XGaqHLlFAkusKZHZ4i-eqQ_1_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r>
        <w:rPr>
          <w:rFonts w:ascii="Times New Roman;Times;serif" w:hAnsi="Times New Roman;Times;serif"/>
          <w:b/>
          <w:i/>
          <w:sz w:val="20"/>
        </w:rPr>
        <w:t>Stock options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movements in the Company’s stock options under the various plans is as follows:</w:t>
      </w:r>
    </w:p>
    <w:p>
      <w:pPr>
        <w:pStyle w:val="TextBody"/>
        <w:bidi w:val="0"/>
        <w:spacing w:before="0" w:after="0"/>
        <w:ind w:left="0" w:right="0" w:hanging="0"/>
        <w:jc w:val="left"/>
        <w:rPr/>
      </w:pPr>
      <w:r>
        <w:rPr/>
        <w:t>​</w:t>
      </w:r>
    </w:p>
    <w:tbl>
      <w:tblPr>
        <w:tblW w:w="7792" w:type="dxa"/>
        <w:jc w:val="left"/>
        <w:tblInd w:w="0" w:type="dxa"/>
        <w:tblLayout w:type="fixed"/>
        <w:tblCellMar>
          <w:top w:w="0" w:type="dxa"/>
          <w:left w:w="0" w:type="dxa"/>
          <w:bottom w:w="0" w:type="dxa"/>
          <w:right w:w="0" w:type="dxa"/>
        </w:tblCellMar>
      </w:tblPr>
      <w:tblGrid>
        <w:gridCol w:w="3016"/>
        <w:gridCol w:w="326"/>
        <w:gridCol w:w="1306"/>
        <w:gridCol w:w="326"/>
        <w:gridCol w:w="1306"/>
        <w:gridCol w:w="326"/>
        <w:gridCol w:w="118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915160" cy="175260"/>
                      <wp:effectExtent l="0" t="0" r="0" b="0"/>
                      <wp:wrapNone/>
                      <wp:docPr id="238" name="Frame238"/>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29310" cy="175260"/>
                      <wp:effectExtent l="0" t="0" r="0" b="0"/>
                      <wp:wrapNone/>
                      <wp:docPr id="240" name="Frame24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829310" cy="175260"/>
                      <wp:effectExtent l="0" t="0" r="0" b="0"/>
                      <wp:wrapNone/>
                      <wp:docPr id="242" name="Frame24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53110" cy="175260"/>
                      <wp:effectExtent l="0" t="0" r="0" b="0"/>
                      <wp:wrapNone/>
                      <wp:docPr id="244" name="Frame24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Short-Term</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Long-term </w:t>
            </w:r>
          </w:p>
        </w:tc>
        <w:tc>
          <w:tcPr>
            <w:tcW w:w="32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Options</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under</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under 2018 Plan</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under 2018 Plan</w:t>
            </w:r>
          </w:p>
        </w:tc>
        <w:tc>
          <w:tcPr>
            <w:tcW w:w="326" w:type="dxa"/>
            <w:tcBorders/>
            <w:vAlign w:val="center"/>
          </w:tcPr>
          <w:p>
            <w:pPr>
              <w:pStyle w:val="TableContents"/>
              <w:bidi w:val="0"/>
              <w:spacing w:before="0" w:after="1"/>
              <w:ind w:left="0" w:right="0" w:hanging="0"/>
              <w:jc w:val="center"/>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Incentive Plan</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15,074,240</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9,783,922</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3,940,000</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(57,893)</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(139,048)</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(715,772)</w:t>
            </w:r>
          </w:p>
        </w:tc>
        <w:tc>
          <w:tcPr>
            <w:tcW w:w="32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14,300,575</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9,644,874</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3,940,000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7,750,000</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(3,642,048)</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(568,833)</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(500,000)</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10,658,527</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9,076,041</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11,190,000</w:t>
            </w:r>
          </w:p>
        </w:tc>
      </w:tr>
    </w:tbl>
    <w:p>
      <w:pPr>
        <w:pStyle w:val="TextBody"/>
        <w:bidi w:val="0"/>
        <w:spacing w:before="0" w:after="240"/>
        <w:ind w:left="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From the 6,500,000 options granted on August 28, 2025, 5,000,000 options were granted to a director of the Company. No other options were granted during the three months ended September 30, 2025. The 6,500,000 options vest as follows: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1: 50% vest upon the Company’s share price trading above $5 for ten consecutive days, or the Company’s market capitalization reaches or exceeds $2.2 billion, for ten consecutive days.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2: 50% vest upon the Company’s share price trading above $7 for ten consecutive days, or the Company’s market capitalization reaches or exceeds $3 billion, for ten consecutive days.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options were determined to be market-based awards and the grant date fair value of both the tranches was calculated as $4.10 per unit using Black-Scholes valuation  and the following assumptions.</w:t>
      </w:r>
    </w:p>
    <w:p>
      <w:pPr>
        <w:pStyle w:val="TextBody"/>
        <w:bidi w:val="0"/>
        <w:spacing w:before="0" w:after="0"/>
        <w:ind w:left="0" w:right="0" w:hanging="0"/>
        <w:jc w:val="left"/>
        <w:rPr/>
      </w:pPr>
      <w:r>
        <w:rPr/>
        <w:t>​</w:t>
      </w:r>
    </w:p>
    <w:tbl>
      <w:tblPr>
        <w:tblW w:w="3180" w:type="dxa"/>
        <w:jc w:val="left"/>
        <w:tblInd w:w="0" w:type="dxa"/>
        <w:tblLayout w:type="fixed"/>
        <w:tblCellMar>
          <w:top w:w="0" w:type="dxa"/>
          <w:left w:w="0" w:type="dxa"/>
          <w:bottom w:w="0" w:type="dxa"/>
          <w:right w:w="0" w:type="dxa"/>
        </w:tblCellMar>
      </w:tblPr>
      <w:tblGrid>
        <w:gridCol w:w="1351"/>
        <w:gridCol w:w="326"/>
        <w:gridCol w:w="211"/>
        <w:gridCol w:w="676"/>
        <w:gridCol w:w="6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857885" cy="175260"/>
                      <wp:effectExtent l="0" t="0" r="0" b="0"/>
                      <wp:wrapNone/>
                      <wp:docPr id="245" name="Frame245"/>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29260" cy="175260"/>
                      <wp:effectExtent l="0" t="0" r="0" b="0"/>
                      <wp:wrapNone/>
                      <wp:docPr id="248" name="Frame2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91160" cy="175260"/>
                      <wp:effectExtent l="0" t="0" r="0" b="0"/>
                      <wp:wrapNone/>
                      <wp:docPr id="249" name="Frame24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August 28,</w:t>
            </w:r>
          </w:p>
        </w:tc>
        <w:tc>
          <w:tcPr>
            <w:tcW w:w="616" w:type="dxa"/>
            <w:tcBorders/>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6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4.66</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5.26</w:t>
            </w:r>
          </w:p>
        </w:tc>
        <w:tc>
          <w:tcPr>
            <w:tcW w:w="6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104.10</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4.77</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3.62</w:t>
            </w:r>
          </w:p>
        </w:tc>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the vesting conditions were met as of the date of the grant, the Company amortized the entire fair value of the options amounting to $26.7 million in the third quarter of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2025, the Company recognized $27.2 million and $28.3 million, respectively of share-based compensation expense for stock options. During the three and nine months ended September 30, 2025, share-based compensation expense related to exploration and evaluation activities amounted to $25 thousand and $0.2 million (three and nine months ended September 30, 2024- $nil). The amount of the share-based compensation expense recognized related to general and administrative matters for the three and nine months ended September 30, 2025 including the cost of the options mentioned in the note above was $27.2 million and $28.1 million, respectively (three and nine months ended September 30, 2024 - $0.5 million and $0.9 million respectively). The Company has not granted any options under the 2018 Plan since September 9, 2021 (date of the Business Combination) and has fully recognized the fair value of the options issued under the 2018 Plan in the prior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firstLine="360"/>
        <w:jc w:val="both"/>
        <w:rPr>
          <w:rFonts w:ascii="Times New Roman;Times;serif" w:hAnsi="Times New Roman;Times;serif"/>
          <w:b/>
          <w:i/>
          <w:sz w:val="20"/>
        </w:rPr>
      </w:pPr>
      <w:bookmarkStart w:id="1462" w:name="Tc_by8UR5UZY0OKCB9MQJrFmQ_12_0"/>
      <w:bookmarkStart w:id="1463" w:name="Tc_51hzSe5i3UqktbAewlY_kQ_11_4"/>
      <w:bookmarkStart w:id="1464" w:name="Tc_9iYEj0YSW0afMAXbGTKEIg_11_0"/>
      <w:bookmarkStart w:id="1465" w:name="Tc_vBC1VdNMRECsegILlrtFDw_10_8"/>
      <w:bookmarkStart w:id="1466" w:name="Tc_NO8YNQeyO0Syj2L42md6hA_10_4"/>
      <w:bookmarkStart w:id="1467" w:name="Tc_Ap_v7tfemkeQlmGADqRTkw_10_2"/>
      <w:bookmarkStart w:id="1468" w:name="Tc_bTbLFeiEt0m-rCkmOntoHg_10_0"/>
      <w:bookmarkStart w:id="1469" w:name="Tc_UOltmvERdkaANPg5MP0x2w_9_8"/>
      <w:bookmarkStart w:id="1470" w:name="Tc_jZiMPg8hdEO2itA1KS4X1g_9_4"/>
      <w:bookmarkStart w:id="1471" w:name="Tc_dO7rnV6Qb0OY0aryoOjkTw_9_0"/>
      <w:bookmarkStart w:id="1472" w:name="Tc_o719L--pLUOcA8d2dH7EmQ_8_8"/>
      <w:bookmarkStart w:id="1473" w:name="Tc_K7otri65HEqrPLZtRi3uUA_8_4"/>
      <w:bookmarkStart w:id="1474" w:name="Tc_xvST2BLO102A1Ab_HCfwHQ_8_2"/>
      <w:bookmarkStart w:id="1475" w:name="Tc_s1gzHE4070CcSiRpMGXewA_8_0"/>
      <w:bookmarkStart w:id="1476" w:name="Tc_F06N9nli4Eqdw9bCV34h0A_7_2"/>
      <w:bookmarkStart w:id="1477" w:name="Tc__pUdrbt_SUCZghhgVB54LA_7_0"/>
      <w:bookmarkStart w:id="1478" w:name="Tc_DZqWeb9txEGPP6msPY7Esw_6_4"/>
      <w:bookmarkStart w:id="1479" w:name="Tc_ypsc8U-00EC8IjWww9sRew_6_0"/>
      <w:bookmarkStart w:id="1480" w:name="Tc_TlG76KgqUUSgSqGK9cLRFQ_5_4"/>
      <w:bookmarkStart w:id="1481" w:name="Tc_8FydvL3YZUaLHyc2-CfvDw_5_2"/>
      <w:bookmarkStart w:id="1482" w:name="Tc_DOMxRVgc6k2v-kC9ZL9R3A_5_0"/>
      <w:bookmarkStart w:id="1483" w:name="Tc_zZtTQl3sJUOE1MbgW--J6A_4_0"/>
      <w:bookmarkStart w:id="1484" w:name="Tc_5IJ0EJavh0a16ZL4s0-Cjg_3_8"/>
      <w:bookmarkStart w:id="1485" w:name="Tc_fINykrhn4kevn5KzusAkhQ_3_6"/>
      <w:bookmarkStart w:id="1486" w:name="Tc_EMDjkfsnEkCix_26Co0vKQ_3_4"/>
      <w:bookmarkStart w:id="1487" w:name="Tc_a9VDE-Bp5EKrHeoBN1z2nw_3_2"/>
      <w:bookmarkStart w:id="1488" w:name="Tc_jdJzU4GFcU2kQlxipkpFnw_3_0"/>
      <w:bookmarkStart w:id="1489" w:name="Tc_BwhReGsodUel5DDJ4GqGBg_2_8"/>
      <w:bookmarkStart w:id="1490" w:name="Tc_EOK293hsqEiLpbp-QNS6FA_2_6"/>
      <w:bookmarkStart w:id="1491" w:name="Tc_8LmK8MHZQkyzPm-FI_fDxQ_2_4"/>
      <w:bookmarkStart w:id="1492" w:name="Tc_U2X5c3654US9MQ7adBoQRA_2_2"/>
      <w:bookmarkStart w:id="1493" w:name="Tc_YHok10qpSEioIjecGgRDvQ_1_8"/>
      <w:bookmarkStart w:id="1494" w:name="Tc_171ps0w8bkCXiIrxxX155g_1_6"/>
      <w:bookmarkStart w:id="1495" w:name="Tc_fXIoGGN5_UKLHZRDvqiItQ_1_4"/>
      <w:bookmarkStart w:id="1496" w:name="Tc_eclYdcvP0kGqXAPnN-MDqg_1_2"/>
      <w:bookmarkStart w:id="1497" w:name="_096ddf95_fbc1_4682_9d20_14ec1bbc26c8"/>
      <w:bookmarkStart w:id="1498" w:name="Tc_fpt7sUSgu0aSuhdBsrPtVg_11_0"/>
      <w:bookmarkStart w:id="1499" w:name="Tc_w26NwO1vl0iUkvSlAvAYTw_10_0"/>
      <w:bookmarkStart w:id="1500" w:name="Tc_7zOo94-Hr0S7AMKfg4VY-w_9_0"/>
      <w:bookmarkStart w:id="1501" w:name="Tc_q1MKCI2GAUK5c1oG6Q3Qsw_8_0"/>
      <w:bookmarkStart w:id="1502" w:name="Tc_5xaHH_IBD0GmDRwNDqxCbw_7_0"/>
      <w:bookmarkStart w:id="1503" w:name="Tc_Cxae39DEuUKGPOHcf-VAWg_6_0"/>
      <w:bookmarkStart w:id="1504" w:name="Tc_rTd470LHDE6jyfHfPMncXQ_5_0"/>
      <w:bookmarkStart w:id="1505" w:name="Tc_CltkCQqVdkS4guRnAzI4kw_4_0"/>
      <w:bookmarkStart w:id="1506" w:name="Tc_QDqzU3zf2UGz57Vg6i83vA_3_0"/>
      <w:bookmarkStart w:id="1507" w:name="Tc_-CwBZdp5XUOS7cBnGRTNvw_2_2"/>
      <w:bookmarkStart w:id="1508" w:name="Tc_YRdckmvsBk2REGmP1JvR2w_1_2"/>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r>
        <w:rPr>
          <w:rFonts w:ascii="Times New Roman;Times;serif" w:hAnsi="Times New Roman;Times;serif"/>
          <w:b/>
          <w:i/>
          <w:sz w:val="20"/>
        </w:rPr>
        <w:t>Restricted Share Units (“RSU”)</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Company may, from time to time, grant RSUs to directors, officers, employees, and consultants of the Company and its subsidiaries under the Plan. On each vesting date, RSU holders are issued common shares equivalent to the number of RSUs held provided that the holder is providing service to the Company on such vesting date.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RSU activity is as follows:</w:t>
      </w:r>
    </w:p>
    <w:p>
      <w:pPr>
        <w:pStyle w:val="TextBody"/>
        <w:bidi w:val="0"/>
        <w:spacing w:before="0" w:after="0"/>
        <w:ind w:left="0" w:right="0" w:hanging="0"/>
        <w:jc w:val="left"/>
        <w:rPr/>
      </w:pPr>
      <w:r>
        <w:rPr/>
        <w:t>​</w:t>
      </w:r>
    </w:p>
    <w:tbl>
      <w:tblPr>
        <w:tblW w:w="4708" w:type="dxa"/>
        <w:jc w:val="left"/>
        <w:tblInd w:w="0" w:type="dxa"/>
        <w:tblLayout w:type="fixed"/>
        <w:tblCellMar>
          <w:top w:w="0" w:type="dxa"/>
          <w:left w:w="0" w:type="dxa"/>
          <w:bottom w:w="0" w:type="dxa"/>
          <w:right w:w="0" w:type="dxa"/>
        </w:tblCellMar>
      </w:tblPr>
      <w:tblGrid>
        <w:gridCol w:w="2971"/>
        <w:gridCol w:w="326"/>
        <w:gridCol w:w="141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886585" cy="175260"/>
                      <wp:effectExtent l="0" t="0" r="0" b="0"/>
                      <wp:wrapNone/>
                      <wp:docPr id="250" name="Frame250"/>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95985" cy="175260"/>
                      <wp:effectExtent l="0" t="0" r="0" b="0"/>
                      <wp:wrapNone/>
                      <wp:docPr id="252" name="Frame25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RSUs </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12,484,880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33,079,041</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(516,685)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(10,734,581)</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34,312,655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34,240,884</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(1,076,371)</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(10,177,224)</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57,299,944</w:t>
            </w:r>
          </w:p>
        </w:tc>
      </w:tr>
    </w:tbl>
    <w:p>
      <w:pPr>
        <w:pStyle w:val="TextBody"/>
        <w:bidi w:val="0"/>
        <w:spacing w:before="0" w:after="240"/>
        <w:ind w:left="360" w:right="0" w:hanging="0"/>
        <w:jc w:val="both"/>
        <w:rPr/>
      </w:pPr>
      <w:r>
        <w:rPr/>
        <w: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details of RSUs granted by the Company during the period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99"/>
        <w:gridCol w:w="326"/>
        <w:gridCol w:w="1400"/>
        <w:gridCol w:w="326"/>
        <w:gridCol w:w="1370"/>
        <w:gridCol w:w="326"/>
        <w:gridCol w:w="1400"/>
        <w:gridCol w:w="326"/>
        <w:gridCol w:w="1432"/>
      </w:tblGrid>
      <w:tr>
        <w:trPr/>
        <w:tc>
          <w:tcPr>
            <w:tcW w:w="3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94865" cy="175260"/>
                      <wp:effectExtent l="0" t="0" r="0" b="0"/>
                      <wp:wrapNone/>
                      <wp:docPr id="253" name="Frame253"/>
                      <a:graphic xmlns:a="http://schemas.openxmlformats.org/drawingml/2006/main">
                        <a:graphicData uri="http://schemas.microsoft.com/office/word/2010/wordprocessingShape">
                          <wps:wsp>
                            <wps:cNvSpPr txBox="1"/>
                            <wps:spPr>
                              <a:xfrm>
                                <a:off x="0" y="0"/>
                                <a:ext cx="2094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889000" cy="175260"/>
                      <wp:effectExtent l="0" t="0" r="0" b="0"/>
                      <wp:wrapNone/>
                      <wp:docPr id="255" name="Frame255"/>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869950" cy="175260"/>
                      <wp:effectExtent l="0" t="0" r="0" b="0"/>
                      <wp:wrapNone/>
                      <wp:docPr id="257" name="Frame257"/>
                      <a:graphic xmlns:a="http://schemas.openxmlformats.org/drawingml/2006/main">
                        <a:graphicData uri="http://schemas.microsoft.com/office/word/2010/wordprocessingShape">
                          <wps:wsp>
                            <wps:cNvSpPr txBox="1"/>
                            <wps:spPr>
                              <a:xfrm>
                                <a:off x="0" y="0"/>
                                <a:ext cx="869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889000" cy="175260"/>
                      <wp:effectExtent l="0" t="0" r="0" b="0"/>
                      <wp:wrapNone/>
                      <wp:docPr id="259" name="Frame259"/>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909320" cy="175260"/>
                      <wp:effectExtent l="0" t="0" r="0" b="0"/>
                      <wp:wrapNone/>
                      <wp:docPr id="261" name="Frame261"/>
                      <a:graphic xmlns:a="http://schemas.openxmlformats.org/drawingml/2006/main">
                        <a:graphicData uri="http://schemas.microsoft.com/office/word/2010/wordprocessingShape">
                          <wps:wsp>
                            <wps:cNvSpPr txBox="1"/>
                            <wps:spPr>
                              <a:xfrm>
                                <a:off x="0" y="0"/>
                                <a:ext cx="909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0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left"/>
              <w:rPr/>
            </w:pPr>
            <w:r>
              <w:rPr/>
              <w:t>​</w:t>
            </w:r>
          </w:p>
        </w:tc>
        <w:tc>
          <w:tcPr>
            <w:tcW w:w="13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Three months</w:t>
            </w:r>
          </w:p>
        </w:tc>
        <w:tc>
          <w:tcPr>
            <w:tcW w:w="326" w:type="dxa"/>
            <w:tcBorders/>
            <w:vAlign w:val="center"/>
          </w:tcPr>
          <w:p>
            <w:pPr>
              <w:pStyle w:val="TableContents"/>
              <w:bidi w:val="0"/>
              <w:spacing w:before="0" w:after="0"/>
              <w:ind w:left="0" w:right="0" w:hanging="0"/>
              <w:jc w:val="center"/>
              <w:rPr/>
            </w:pPr>
            <w:r>
              <w:rPr/>
              <w:t>    </w:t>
            </w:r>
          </w:p>
        </w:tc>
        <w:tc>
          <w:tcPr>
            <w:tcW w:w="140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Nine months</w:t>
            </w:r>
          </w:p>
        </w:tc>
        <w:tc>
          <w:tcPr>
            <w:tcW w:w="326"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Nine months</w:t>
            </w:r>
          </w:p>
        </w:tc>
      </w:tr>
      <w:tr>
        <w:trPr/>
        <w:tc>
          <w:tcPr>
            <w:tcW w:w="32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0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ended September 30, </w:t>
            </w:r>
          </w:p>
        </w:tc>
        <w:tc>
          <w:tcPr>
            <w:tcW w:w="326" w:type="dxa"/>
            <w:tcBorders/>
            <w:vAlign w:val="center"/>
          </w:tcPr>
          <w:p>
            <w:pPr>
              <w:pStyle w:val="TableContents"/>
              <w:bidi w:val="0"/>
              <w:spacing w:before="0" w:after="0"/>
              <w:ind w:left="0" w:right="0" w:hanging="0"/>
              <w:jc w:val="left"/>
              <w:rPr/>
            </w:pPr>
            <w:r>
              <w:rPr/>
              <w:t>​</w:t>
            </w:r>
          </w:p>
        </w:tc>
        <w:tc>
          <w:tcPr>
            <w:tcW w:w="13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ended September 30, </w:t>
            </w:r>
          </w:p>
        </w:tc>
        <w:tc>
          <w:tcPr>
            <w:tcW w:w="326" w:type="dxa"/>
            <w:tcBorders/>
            <w:vAlign w:val="center"/>
          </w:tcPr>
          <w:p>
            <w:pPr>
              <w:pStyle w:val="TableContents"/>
              <w:bidi w:val="0"/>
              <w:spacing w:before="0" w:after="0"/>
              <w:ind w:left="0" w:right="0" w:hanging="0"/>
              <w:jc w:val="center"/>
              <w:rPr/>
            </w:pPr>
            <w:r>
              <w:rPr/>
              <w:t>​</w:t>
            </w:r>
          </w:p>
        </w:tc>
        <w:tc>
          <w:tcPr>
            <w:tcW w:w="140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ended September 30, </w:t>
            </w:r>
          </w:p>
        </w:tc>
        <w:tc>
          <w:tcPr>
            <w:tcW w:w="326"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ended September 30, </w:t>
            </w:r>
          </w:p>
        </w:tc>
      </w:tr>
      <w:tr>
        <w:trPr/>
        <w:tc>
          <w:tcPr>
            <w:tcW w:w="32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Vesting Period</w:t>
            </w:r>
          </w:p>
        </w:tc>
        <w:tc>
          <w:tcPr>
            <w:tcW w:w="326" w:type="dxa"/>
            <w:tcBorders/>
            <w:vAlign w:val="center"/>
          </w:tcPr>
          <w:p>
            <w:pPr>
              <w:pStyle w:val="TableContents"/>
              <w:bidi w:val="0"/>
              <w:spacing w:before="0" w:after="0"/>
              <w:ind w:left="0" w:right="0" w:hanging="0"/>
              <w:jc w:val="center"/>
              <w:rPr/>
            </w:pPr>
            <w:r>
              <w:rPr/>
              <w:t>   </w:t>
            </w:r>
          </w:p>
        </w:tc>
        <w:tc>
          <w:tcPr>
            <w:tcW w:w="14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3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326" w:type="dxa"/>
            <w:tcBorders/>
            <w:vAlign w:val="center"/>
          </w:tcPr>
          <w:p>
            <w:pPr>
              <w:pStyle w:val="TableContents"/>
              <w:bidi w:val="0"/>
              <w:spacing w:before="0" w:after="0"/>
              <w:ind w:left="0" w:right="0" w:hanging="0"/>
              <w:jc w:val="center"/>
              <w:rPr/>
            </w:pPr>
            <w:r>
              <w:rPr/>
              <w:t>    </w:t>
            </w:r>
          </w:p>
        </w:tc>
        <w:tc>
          <w:tcPr>
            <w:tcW w:w="14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4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r>
      <w:tr>
        <w:trPr/>
        <w:tc>
          <w:tcPr>
            <w:tcW w:w="329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Immediately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298,641</w:t>
            </w:r>
          </w:p>
        </w:tc>
        <w:tc>
          <w:tcPr>
            <w:tcW w:w="326" w:type="dxa"/>
            <w:tcBorders/>
            <w:shd w:fill="CCEEFF" w:val="clear"/>
            <w:vAlign w:val="center"/>
          </w:tcPr>
          <w:p>
            <w:pPr>
              <w:pStyle w:val="TableContents"/>
              <w:bidi w:val="0"/>
              <w:spacing w:before="0" w:after="0"/>
              <w:ind w:left="0" w:right="0" w:hanging="0"/>
              <w:jc w:val="center"/>
              <w:rPr/>
            </w:pPr>
            <w:r>
              <w:rPr/>
              <w:t>​</w:t>
            </w:r>
          </w:p>
        </w:tc>
        <w:tc>
          <w:tcPr>
            <w:tcW w:w="13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160,823</w:t>
            </w:r>
          </w:p>
        </w:tc>
        <w:tc>
          <w:tcPr>
            <w:tcW w:w="326" w:type="dxa"/>
            <w:tcBorders/>
            <w:shd w:fill="CCEEFF" w:val="clear"/>
            <w:vAlign w:val="center"/>
          </w:tcPr>
          <w:p>
            <w:pPr>
              <w:pStyle w:val="TableContents"/>
              <w:bidi w:val="0"/>
              <w:spacing w:before="0" w:after="0"/>
              <w:ind w:left="0" w:right="0" w:hanging="0"/>
              <w:jc w:val="center"/>
              <w:rPr/>
            </w:pPr>
            <w:r>
              <w:rPr/>
              <w:t>​</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3,380,268</w:t>
            </w:r>
          </w:p>
        </w:tc>
        <w:tc>
          <w:tcPr>
            <w:tcW w:w="326" w:type="dxa"/>
            <w:tcBorders/>
            <w:shd w:fill="CCEEFF" w:val="clear"/>
            <w:vAlign w:val="center"/>
          </w:tcPr>
          <w:p>
            <w:pPr>
              <w:pStyle w:val="TableContents"/>
              <w:bidi w:val="0"/>
              <w:spacing w:before="0" w:after="0"/>
              <w:ind w:left="0" w:right="0" w:hanging="0"/>
              <w:jc w:val="center"/>
              <w:rPr/>
            </w:pPr>
            <w:r>
              <w:rPr/>
              <w:t>​</w:t>
            </w:r>
          </w:p>
        </w:tc>
        <w:tc>
          <w:tcPr>
            <w:tcW w:w="14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4,167,518</w:t>
            </w:r>
          </w:p>
        </w:tc>
      </w:tr>
      <w:tr>
        <w:trPr/>
        <w:tc>
          <w:tcPr>
            <w:tcW w:w="3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fully within and on first anniversary of the grant date</w:t>
            </w:r>
          </w:p>
        </w:tc>
        <w:tc>
          <w:tcPr>
            <w:tcW w:w="326" w:type="dxa"/>
            <w:tcBorders/>
            <w:vAlign w:val="center"/>
          </w:tcPr>
          <w:p>
            <w:pPr>
              <w:pStyle w:val="TableContents"/>
              <w:bidi w:val="0"/>
              <w:spacing w:before="0" w:after="0"/>
              <w:ind w:left="0" w:right="0" w:hanging="0"/>
              <w:jc w:val="left"/>
              <w:rPr/>
            </w:pPr>
            <w:r>
              <w:rPr/>
              <w:t> </w:t>
            </w:r>
          </w:p>
        </w:tc>
        <w:tc>
          <w:tcPr>
            <w:tcW w:w="14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40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194,226</w:t>
            </w:r>
          </w:p>
        </w:tc>
        <w:tc>
          <w:tcPr>
            <w:tcW w:w="326" w:type="dxa"/>
            <w:tcBorders/>
            <w:vAlign w:val="center"/>
          </w:tcPr>
          <w:p>
            <w:pPr>
              <w:pStyle w:val="TableContents"/>
              <w:bidi w:val="0"/>
              <w:spacing w:before="0" w:after="0"/>
              <w:ind w:left="0" w:right="0" w:hanging="0"/>
              <w:jc w:val="left"/>
              <w:rPr/>
            </w:pPr>
            <w:r>
              <w:rPr/>
              <w:t> </w:t>
            </w:r>
          </w:p>
        </w:tc>
        <w:tc>
          <w:tcPr>
            <w:tcW w:w="14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493,430</w:t>
            </w:r>
          </w:p>
        </w:tc>
      </w:tr>
      <w:tr>
        <w:trPr/>
        <w:tc>
          <w:tcPr>
            <w:tcW w:w="329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in thirds on each anniversary of the grant date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415,676</w:t>
            </w:r>
          </w:p>
        </w:tc>
        <w:tc>
          <w:tcPr>
            <w:tcW w:w="326" w:type="dxa"/>
            <w:tcBorders/>
            <w:shd w:fill="CCEEFF" w:val="clear"/>
            <w:vAlign w:val="center"/>
          </w:tcPr>
          <w:p>
            <w:pPr>
              <w:pStyle w:val="TableContents"/>
              <w:bidi w:val="0"/>
              <w:spacing w:before="0" w:after="0"/>
              <w:ind w:left="0" w:right="0" w:hanging="0"/>
              <w:jc w:val="left"/>
              <w:rPr/>
            </w:pPr>
            <w:r>
              <w:rPr/>
              <w:t> </w:t>
            </w:r>
          </w:p>
        </w:tc>
        <w:tc>
          <w:tcPr>
            <w:tcW w:w="13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9,234,611</w:t>
            </w:r>
          </w:p>
        </w:tc>
        <w:tc>
          <w:tcPr>
            <w:tcW w:w="326" w:type="dxa"/>
            <w:tcBorders/>
            <w:shd w:fill="CCEEFF" w:val="clear"/>
            <w:vAlign w:val="center"/>
          </w:tcPr>
          <w:p>
            <w:pPr>
              <w:pStyle w:val="TableContents"/>
              <w:bidi w:val="0"/>
              <w:spacing w:before="0" w:after="0"/>
              <w:ind w:left="0" w:right="0" w:hanging="0"/>
              <w:jc w:val="left"/>
              <w:rPr/>
            </w:pPr>
            <w:r>
              <w:rPr/>
              <w:t> </w:t>
            </w:r>
          </w:p>
        </w:tc>
        <w:tc>
          <w:tcPr>
            <w:tcW w:w="14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7,212,375</w:t>
            </w:r>
          </w:p>
        </w:tc>
      </w:tr>
      <w:tr>
        <w:trPr/>
        <w:tc>
          <w:tcPr>
            <w:tcW w:w="3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in fourths on each anniversary of the grant date</w:t>
            </w:r>
          </w:p>
        </w:tc>
        <w:tc>
          <w:tcPr>
            <w:tcW w:w="326" w:type="dxa"/>
            <w:tcBorders/>
            <w:vAlign w:val="center"/>
          </w:tcPr>
          <w:p>
            <w:pPr>
              <w:pStyle w:val="TableContents"/>
              <w:bidi w:val="0"/>
              <w:spacing w:before="0" w:after="0"/>
              <w:ind w:left="0" w:right="0" w:hanging="0"/>
              <w:jc w:val="left"/>
              <w:rPr/>
            </w:pPr>
            <w:r>
              <w:rPr/>
              <w:t> </w:t>
            </w:r>
          </w:p>
        </w:tc>
        <w:tc>
          <w:tcPr>
            <w:tcW w:w="14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132,435</w:t>
            </w:r>
          </w:p>
        </w:tc>
        <w:tc>
          <w:tcPr>
            <w:tcW w:w="326" w:type="dxa"/>
            <w:tcBorders/>
            <w:vAlign w:val="center"/>
          </w:tcPr>
          <w:p>
            <w:pPr>
              <w:pStyle w:val="TableContents"/>
              <w:bidi w:val="0"/>
              <w:spacing w:before="0" w:after="0"/>
              <w:ind w:left="0" w:right="0" w:hanging="0"/>
              <w:jc w:val="left"/>
              <w:rPr/>
            </w:pPr>
            <w:r>
              <w:rPr/>
              <w:t> </w:t>
            </w:r>
          </w:p>
        </w:tc>
        <w:tc>
          <w:tcPr>
            <w:tcW w:w="140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176,302</w:t>
            </w:r>
          </w:p>
        </w:tc>
        <w:tc>
          <w:tcPr>
            <w:tcW w:w="326" w:type="dxa"/>
            <w:tcBorders/>
            <w:vAlign w:val="center"/>
          </w:tcPr>
          <w:p>
            <w:pPr>
              <w:pStyle w:val="TableContents"/>
              <w:bidi w:val="0"/>
              <w:spacing w:before="0" w:after="0"/>
              <w:ind w:left="0" w:right="0" w:hanging="0"/>
              <w:jc w:val="left"/>
              <w:rPr/>
            </w:pPr>
            <w:r>
              <w:rPr/>
              <w:t> </w:t>
            </w:r>
          </w:p>
        </w:tc>
        <w:tc>
          <w:tcPr>
            <w:tcW w:w="14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834,315</w:t>
            </w:r>
          </w:p>
        </w:tc>
      </w:tr>
      <w:tr>
        <w:trPr/>
        <w:tc>
          <w:tcPr>
            <w:tcW w:w="32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three years from grant date</w:t>
            </w:r>
          </w:p>
        </w:tc>
        <w:tc>
          <w:tcPr>
            <w:tcW w:w="326"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66,508</w:t>
            </w:r>
          </w:p>
        </w:tc>
        <w:tc>
          <w:tcPr>
            <w:tcW w:w="326"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right"/>
              <w:rPr/>
            </w:pPr>
            <w:r>
              <w:rPr/>
              <w:t>—</w:t>
            </w:r>
          </w:p>
        </w:tc>
      </w:tr>
      <w:tr>
        <w:trPr/>
        <w:tc>
          <w:tcPr>
            <w:tcW w:w="329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four years from grant date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1,750,000</w:t>
            </w:r>
          </w:p>
        </w:tc>
        <w:tc>
          <w:tcPr>
            <w:tcW w:w="326" w:type="dxa"/>
            <w:tcBorders/>
            <w:vAlign w:val="center"/>
          </w:tcPr>
          <w:p>
            <w:pPr>
              <w:pStyle w:val="TableContents"/>
              <w:bidi w:val="0"/>
              <w:spacing w:before="0" w:after="0"/>
              <w:ind w:left="0" w:right="0" w:hanging="0"/>
              <w:jc w:val="left"/>
              <w:rPr/>
            </w:pPr>
            <w:r>
              <w:rPr/>
              <w:t>​</w:t>
            </w:r>
          </w:p>
        </w:tc>
        <w:tc>
          <w:tcPr>
            <w:tcW w:w="13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1,750,000</w:t>
            </w:r>
          </w:p>
        </w:tc>
        <w:tc>
          <w:tcPr>
            <w:tcW w:w="326"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right"/>
              <w:rPr/>
            </w:pPr>
            <w:r>
              <w:rPr/>
              <w:t>—</w:t>
            </w:r>
          </w:p>
        </w:tc>
      </w:tr>
      <w:tr>
        <w:trPr/>
        <w:tc>
          <w:tcPr>
            <w:tcW w:w="32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based on performance conditions</w:t>
            </w:r>
          </w:p>
        </w:tc>
        <w:tc>
          <w:tcPr>
            <w:tcW w:w="326"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688,969</w:t>
            </w:r>
          </w:p>
        </w:tc>
        <w:tc>
          <w:tcPr>
            <w:tcW w:w="326"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right"/>
              <w:rPr/>
            </w:pPr>
            <w:r>
              <w:rPr/>
              <w:t>—</w:t>
            </w:r>
          </w:p>
        </w:tc>
      </w:tr>
      <w:tr>
        <w:trPr/>
        <w:tc>
          <w:tcPr>
            <w:tcW w:w="329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based on market conditions </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w:t>
            </w:r>
          </w:p>
        </w:tc>
        <w:tc>
          <w:tcPr>
            <w:tcW w:w="14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18,750,000</w:t>
            </w:r>
          </w:p>
        </w:tc>
        <w:tc>
          <w:tcPr>
            <w:tcW w:w="326" w:type="dxa"/>
            <w:tcBorders/>
            <w:vAlign w:val="center"/>
          </w:tcPr>
          <w:p>
            <w:pPr>
              <w:pStyle w:val="TableContents"/>
              <w:bidi w:val="0"/>
              <w:spacing w:before="0" w:after="0"/>
              <w:ind w:left="0" w:right="0" w:hanging="0"/>
              <w:jc w:val="left"/>
              <w:rPr/>
            </w:pPr>
            <w:r>
              <w:rPr/>
              <w:t>​</w:t>
            </w:r>
          </w:p>
        </w:tc>
        <w:tc>
          <w:tcPr>
            <w:tcW w:w="1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18,750,000</w:t>
            </w:r>
          </w:p>
        </w:tc>
        <w:tc>
          <w:tcPr>
            <w:tcW w:w="326" w:type="dxa"/>
            <w:tcBorders/>
            <w:vAlign w:val="center"/>
          </w:tcPr>
          <w:p>
            <w:pPr>
              <w:pStyle w:val="TableContents"/>
              <w:bidi w:val="0"/>
              <w:spacing w:before="0" w:after="0"/>
              <w:ind w:left="0" w:right="0" w:hanging="0"/>
              <w:jc w:val="left"/>
              <w:rPr/>
            </w:pPr>
            <w:r>
              <w:rPr/>
              <w:t>​</w:t>
            </w:r>
          </w:p>
        </w:tc>
        <w:tc>
          <w:tcPr>
            <w:tcW w:w="14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20,000,000</w:t>
            </w:r>
          </w:p>
        </w:tc>
      </w:tr>
      <w:tr>
        <w:trPr/>
        <w:tc>
          <w:tcPr>
            <w:tcW w:w="329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Units Granted</w:t>
            </w:r>
          </w:p>
        </w:tc>
        <w:tc>
          <w:tcPr>
            <w:tcW w:w="326" w:type="dxa"/>
            <w:tcBorders/>
            <w:shd w:fill="CCEEFF" w:val="clear"/>
            <w:vAlign w:val="center"/>
          </w:tcPr>
          <w:p>
            <w:pPr>
              <w:pStyle w:val="TableContents"/>
              <w:bidi w:val="0"/>
              <w:spacing w:before="0" w:after="0"/>
              <w:ind w:left="0" w:right="0" w:hanging="0"/>
              <w:jc w:val="left"/>
              <w:rPr/>
            </w:pPr>
            <w:r>
              <w:rPr/>
              <w:t>​</w:t>
            </w:r>
          </w:p>
        </w:tc>
        <w:tc>
          <w:tcPr>
            <w:tcW w:w="14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21,214,317</w:t>
            </w:r>
          </w:p>
        </w:tc>
        <w:tc>
          <w:tcPr>
            <w:tcW w:w="326" w:type="dxa"/>
            <w:tcBorders/>
            <w:shd w:fill="CCEEFF" w:val="clear"/>
            <w:vAlign w:val="center"/>
          </w:tcPr>
          <w:p>
            <w:pPr>
              <w:pStyle w:val="TableContents"/>
              <w:bidi w:val="0"/>
              <w:spacing w:before="0" w:after="0"/>
              <w:ind w:left="0" w:right="0" w:hanging="0"/>
              <w:jc w:val="left"/>
              <w:rPr/>
            </w:pPr>
            <w:r>
              <w:rPr/>
              <w:t>​</w:t>
            </w:r>
          </w:p>
        </w:tc>
        <w:tc>
          <w:tcPr>
            <w:tcW w:w="1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293,258</w:t>
            </w:r>
          </w:p>
        </w:tc>
        <w:tc>
          <w:tcPr>
            <w:tcW w:w="326" w:type="dxa"/>
            <w:tcBorders/>
            <w:shd w:fill="CCEEFF" w:val="clear"/>
            <w:vAlign w:val="center"/>
          </w:tcPr>
          <w:p>
            <w:pPr>
              <w:pStyle w:val="TableContents"/>
              <w:bidi w:val="0"/>
              <w:spacing w:before="0" w:after="0"/>
              <w:ind w:left="0" w:right="0" w:hanging="0"/>
              <w:jc w:val="left"/>
              <w:rPr/>
            </w:pPr>
            <w:r>
              <w:rPr/>
              <w:t>​</w:t>
            </w:r>
          </w:p>
        </w:tc>
        <w:tc>
          <w:tcPr>
            <w:tcW w:w="14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34,240,884</w:t>
            </w:r>
          </w:p>
        </w:tc>
        <w:tc>
          <w:tcPr>
            <w:tcW w:w="326" w:type="dxa"/>
            <w:tcBorders/>
            <w:shd w:fill="CCEEFF" w:val="clear"/>
            <w:vAlign w:val="center"/>
          </w:tcPr>
          <w:p>
            <w:pPr>
              <w:pStyle w:val="TableContents"/>
              <w:bidi w:val="0"/>
              <w:spacing w:before="0" w:after="0"/>
              <w:ind w:left="0" w:right="0" w:hanging="0"/>
              <w:jc w:val="left"/>
              <w:rPr/>
            </w:pPr>
            <w:r>
              <w:rPr/>
              <w:t>​</w:t>
            </w:r>
          </w:p>
        </w:tc>
        <w:tc>
          <w:tcPr>
            <w:tcW w:w="143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32,707,638</w:t>
            </w:r>
          </w:p>
        </w:tc>
      </w:tr>
    </w:tbl>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the 298,641</w:t>
            </w:r>
            <w:r>
              <w:rPr>
                <w:caps w:val="false"/>
                <w:smallCaps w:val="false"/>
              </w:rPr>
              <w:t xml:space="preserve"> </w:t>
            </w:r>
            <w:r>
              <w:rPr>
                <w:rFonts w:ascii="Times New Roman;Times;serif" w:hAnsi="Times New Roman;Times;serif"/>
                <w:b w:val="false"/>
                <w:i w:val="false"/>
                <w:caps w:val="false"/>
                <w:smallCaps w:val="false"/>
                <w:sz w:val="20"/>
              </w:rPr>
              <w:t>RSUs granted during the three months ended September 30, 2025, 148,442</w:t>
            </w:r>
            <w:r>
              <w:rPr>
                <w:caps w:val="false"/>
                <w:smallCaps w:val="false"/>
              </w:rPr>
              <w:t xml:space="preserve"> </w:t>
            </w:r>
            <w:r>
              <w:rPr>
                <w:rFonts w:ascii="Times New Roman;Times;serif" w:hAnsi="Times New Roman;Times;serif"/>
                <w:b w:val="false"/>
                <w:i w:val="false"/>
                <w:caps w:val="false"/>
                <w:smallCaps w:val="false"/>
                <w:sz w:val="20"/>
              </w:rPr>
              <w:t>RSUs were granted to consultants with an aggregate fair value of $0.8</w:t>
            </w:r>
            <w:r>
              <w:rPr>
                <w:caps w:val="false"/>
                <w:smallCaps w:val="false"/>
              </w:rPr>
              <w:t xml:space="preserve"> </w:t>
            </w:r>
            <w:r>
              <w:rPr>
                <w:rFonts w:ascii="Times New Roman;Times;serif" w:hAnsi="Times New Roman;Times;serif"/>
                <w:b w:val="false"/>
                <w:i w:val="false"/>
                <w:caps w:val="false"/>
                <w:smallCaps w:val="false"/>
                <w:sz w:val="20"/>
              </w:rPr>
              <w:t>million of which $0.7</w:t>
            </w:r>
            <w:r>
              <w:rPr>
                <w:caps w:val="false"/>
                <w:smallCaps w:val="false"/>
              </w:rPr>
              <w:t xml:space="preserve"> </w:t>
            </w:r>
            <w:r>
              <w:rPr>
                <w:rFonts w:ascii="Times New Roman;Times;serif" w:hAnsi="Times New Roman;Times;serif"/>
                <w:b w:val="false"/>
                <w:i w:val="false"/>
                <w:caps w:val="false"/>
                <w:smallCaps w:val="false"/>
                <w:sz w:val="20"/>
              </w:rPr>
              <w:t>million was recorded in general and administrative expenses and $0.1</w:t>
            </w:r>
            <w:r>
              <w:rPr>
                <w:caps w:val="false"/>
                <w:smallCaps w:val="false"/>
              </w:rPr>
              <w:t xml:space="preserve"> </w:t>
            </w:r>
            <w:r>
              <w:rPr>
                <w:rFonts w:ascii="Times New Roman;Times;serif" w:hAnsi="Times New Roman;Times;serif"/>
                <w:b w:val="false"/>
                <w:i w:val="false"/>
                <w:caps w:val="false"/>
                <w:smallCaps w:val="false"/>
                <w:sz w:val="20"/>
              </w:rPr>
              <w:t>million was recorded as exploration and evaluation expense. The remaining 150,199</w:t>
            </w:r>
            <w:r>
              <w:rPr>
                <w:caps w:val="false"/>
                <w:smallCaps w:val="false"/>
              </w:rPr>
              <w:t xml:space="preserve"> </w:t>
            </w:r>
            <w:r>
              <w:rPr>
                <w:rFonts w:ascii="Times New Roman;Times;serif" w:hAnsi="Times New Roman;Times;serif"/>
                <w:b w:val="false"/>
                <w:i w:val="false"/>
                <w:caps w:val="false"/>
                <w:smallCaps w:val="false"/>
                <w:sz w:val="20"/>
              </w:rPr>
              <w:t>grants were issued to employees.</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8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415,676</w:t>
            </w:r>
            <w:r>
              <w:rPr>
                <w:caps w:val="false"/>
                <w:smallCaps w:val="false"/>
              </w:rPr>
              <w:t xml:space="preserve"> </w:t>
            </w:r>
            <w:r>
              <w:rPr>
                <w:rFonts w:ascii="Times New Roman;Times;serif" w:hAnsi="Times New Roman;Times;serif"/>
                <w:b w:val="false"/>
                <w:i w:val="false"/>
                <w:caps w:val="false"/>
                <w:smallCaps w:val="false"/>
                <w:sz w:val="20"/>
              </w:rPr>
              <w:t>RSUs granted in the third quarter of 2025 vest in thirds on each anniversary of the grant date out of which 237,529</w:t>
            </w:r>
            <w:r>
              <w:rPr>
                <w:caps w:val="false"/>
                <w:smallCaps w:val="false"/>
              </w:rPr>
              <w:t xml:space="preserve"> </w:t>
            </w:r>
            <w:r>
              <w:rPr>
                <w:rFonts w:ascii="Times New Roman;Times;serif" w:hAnsi="Times New Roman;Times;serif"/>
                <w:b w:val="false"/>
                <w:i w:val="false"/>
                <w:caps w:val="false"/>
                <w:smallCaps w:val="false"/>
                <w:sz w:val="20"/>
              </w:rPr>
              <w:t>RSUs were granted to a director of the Company in exchange for consulting services and the remaining units were granted to a consultant.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Following the increase in the reserve under the Incentive Plan as described above, 1,750,000</w:t>
            </w:r>
            <w:r>
              <w:rPr>
                <w:caps w:val="false"/>
                <w:smallCaps w:val="false"/>
              </w:rPr>
              <w:t xml:space="preserve"> </w:t>
            </w:r>
            <w:r>
              <w:rPr>
                <w:rFonts w:ascii="Times New Roman;Times;serif" w:hAnsi="Times New Roman;Times;serif"/>
                <w:b w:val="false"/>
                <w:i w:val="false"/>
                <w:caps w:val="false"/>
                <w:smallCaps w:val="false"/>
                <w:sz w:val="20"/>
              </w:rPr>
              <w:t>RSUs were granted to a director for consulting services on August 28, 2025.</w:t>
            </w:r>
          </w:p>
        </w:tc>
      </w:tr>
    </w:tbl>
    <w:tbl>
      <w:tblPr>
        <w:tblW w:w="10205" w:type="dxa"/>
        <w:jc w:val="left"/>
        <w:tblInd w:w="0" w:type="dxa"/>
        <w:tblLayout w:type="fixed"/>
        <w:tblCellMar>
          <w:top w:w="28" w:type="dxa"/>
          <w:left w:w="28" w:type="dxa"/>
          <w:bottom w:w="28" w:type="dxa"/>
          <w:right w:w="28" w:type="dxa"/>
        </w:tblCellMar>
      </w:tblPr>
      <w:tblGrid>
        <w:gridCol w:w="124"/>
        <w:gridCol w:w="235"/>
        <w:gridCol w:w="9846"/>
      </w:tblGrid>
      <w:tr>
        <w:trPr/>
        <w:tc>
          <w:tcPr>
            <w:tcW w:w="124" w:type="dxa"/>
            <w:tcBorders/>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98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the 18,750,000</w:t>
            </w:r>
            <w:r>
              <w:rPr>
                <w:caps w:val="false"/>
                <w:smallCaps w:val="false"/>
              </w:rPr>
              <w:t xml:space="preserve"> </w:t>
            </w:r>
            <w:r>
              <w:rPr>
                <w:rFonts w:ascii="Times New Roman;Times;serif" w:hAnsi="Times New Roman;Times;serif"/>
                <w:b w:val="false"/>
                <w:i w:val="false"/>
                <w:caps w:val="false"/>
                <w:smallCaps w:val="false"/>
                <w:sz w:val="20"/>
              </w:rPr>
              <w:t>RSUs granted during the three months ended September 30, 2025, the Company issued on September 23, 2025, 9,000,000</w:t>
            </w:r>
            <w:r>
              <w:rPr>
                <w:caps w:val="false"/>
                <w:smallCaps w:val="false"/>
              </w:rPr>
              <w:t xml:space="preserve"> </w:t>
            </w:r>
            <w:r>
              <w:rPr>
                <w:rFonts w:ascii="Times New Roman;Times;serif" w:hAnsi="Times New Roman;Times;serif"/>
                <w:b w:val="false"/>
                <w:i w:val="false"/>
                <w:caps w:val="false"/>
                <w:smallCaps w:val="false"/>
                <w:sz w:val="20"/>
              </w:rPr>
              <w:t>RSUs to employees (“Retention Grants”). These Retention Grants will vest in two equal tranches based on market and service conditions: Tranche 1:50%</w:t>
            </w:r>
            <w:r>
              <w:rPr>
                <w:caps w:val="false"/>
                <w:smallCaps w:val="false"/>
              </w:rPr>
              <w:t xml:space="preserve"> </w:t>
            </w:r>
            <w:r>
              <w:rPr>
                <w:rFonts w:ascii="Times New Roman;Times;serif" w:hAnsi="Times New Roman;Times;serif"/>
                <w:b w:val="false"/>
                <w:i w:val="false"/>
                <w:caps w:val="false"/>
                <w:smallCaps w:val="false"/>
                <w:sz w:val="20"/>
              </w:rPr>
              <w:t>upon the 30-day average share price reaching $10</w:t>
            </w:r>
            <w:r>
              <w:rPr>
                <w:caps w:val="false"/>
                <w:smallCaps w:val="false"/>
              </w:rPr>
              <w:t xml:space="preserve"> </w:t>
            </w:r>
            <w:r>
              <w:rPr>
                <w:rFonts w:ascii="Times New Roman;Times;serif" w:hAnsi="Times New Roman;Times;serif"/>
                <w:b w:val="false"/>
                <w:i w:val="false"/>
                <w:caps w:val="false"/>
                <w:smallCaps w:val="false"/>
                <w:sz w:val="20"/>
              </w:rPr>
              <w:t>and Tranche 2:50%</w:t>
            </w:r>
            <w:r>
              <w:rPr>
                <w:caps w:val="false"/>
                <w:smallCaps w:val="false"/>
              </w:rPr>
              <w:t xml:space="preserve"> </w:t>
            </w:r>
            <w:r>
              <w:rPr>
                <w:rFonts w:ascii="Times New Roman;Times;serif" w:hAnsi="Times New Roman;Times;serif"/>
                <w:b w:val="false"/>
                <w:i w:val="false"/>
                <w:caps w:val="false"/>
                <w:smallCaps w:val="false"/>
                <w:sz w:val="20"/>
              </w:rPr>
              <w:t>upon the 30-day average share price reaching $12.50, subject to continued employment through specific target dates per the grant terms.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1509" w:name="Tc_qVS0aLNuH0ayTKpmvxo8Yw_4_5"/>
      <w:bookmarkStart w:id="1510" w:name="Tc_KiN72zK55EiFViiA2DWr-w_4_2"/>
      <w:bookmarkStart w:id="1511" w:name="Tc_opqKyUeg_0GbgPC7N65BTw_4_0"/>
      <w:bookmarkStart w:id="1512" w:name="Tc_qYGOSB5GsEa8gQiD_fhmSg_3_5"/>
      <w:bookmarkStart w:id="1513" w:name="Tc_URo51nS2U0KHq_J-Wj2diQ_3_2"/>
      <w:bookmarkStart w:id="1514" w:name="Tc_aVGI8-Pm40aHsGyFyA7tvw_3_0"/>
      <w:bookmarkStart w:id="1515" w:name="Tc_7t6g4iLxp0qnVQOJA2tXQQ_2_5"/>
      <w:bookmarkStart w:id="1516" w:name="Tc_zFAX92e15EeJQQxfPY2wJg_2_2"/>
      <w:bookmarkStart w:id="1517" w:name="Tc_XFdkGU3PvkKVkipmuiQYoA_2_0"/>
      <w:bookmarkStart w:id="1518" w:name="Tc_TYBXJFkGNkaPvPMLWoDfMA_1_5"/>
      <w:bookmarkStart w:id="1519" w:name="Tc_ltKACC0pHkSRZnpe_nzeCA_1_2"/>
      <w:bookmarkStart w:id="1520" w:name="Tc_z8GUD2xTaEiaXeIiOE8F-A_1_0"/>
      <w:bookmarkStart w:id="1521" w:name="Tc_CfuGs-9xS0KtTCKh3js89A_7_4"/>
      <w:bookmarkStart w:id="1522" w:name="Tc_wFt52uu7U0u-0XoYe0aZpg_7_0"/>
      <w:bookmarkStart w:id="1523" w:name="Tc_YUtrMq4gLUGI3-_PcdvN6w_6_4"/>
      <w:bookmarkStart w:id="1524" w:name="Tc_Re9zgqJCsEWKfpWa9s7s_g_6_0"/>
      <w:bookmarkStart w:id="1525" w:name="Tc_uzXiZ6HY9EePAKAhQeMmLA_5_3"/>
      <w:bookmarkStart w:id="1526" w:name="Tc_Eh_UR5V7GEiJbbVdPAyM9A_5_0"/>
      <w:bookmarkStart w:id="1527" w:name="Tc_8xHVi-C5LEykH0xWyEawXQ_4_4"/>
      <w:bookmarkStart w:id="1528" w:name="Tc_pWWzYhsQSUymptuYzzDmAw_4_0"/>
      <w:bookmarkStart w:id="1529" w:name="Tc_QWWjdZepQ0GGkgE4l0sE-Q_3_2"/>
      <w:bookmarkStart w:id="1530" w:name="Tc_jnfqKEY9TE-fbjE3KbbT_w_3_0"/>
      <w:bookmarkStart w:id="1531" w:name="Tc_UObxUUZXb0iTL-RVdW4wIA_2_2"/>
      <w:bookmarkStart w:id="1532" w:name="Tc_IybACe5vxE6TJZPx5RY2rQ_1_2"/>
      <w:bookmarkStart w:id="1533" w:name="Tc_BEz8v1Qdkk-F2JKt4x8jPg_7_4"/>
      <w:bookmarkStart w:id="1534" w:name="Tc_McxwFyC-006VlQuwpEsooA_7_0"/>
      <w:bookmarkStart w:id="1535" w:name="Tc_9yMo9ZKeGUOCvK_CgSII-A_6_4"/>
      <w:bookmarkStart w:id="1536" w:name="Tc_ZTcVs1UXVEOIy5YDFY6aaw_6_0"/>
      <w:bookmarkStart w:id="1537" w:name="Tc_jsg0CTKybEiR1ubR0rDG5g_5_3"/>
      <w:bookmarkStart w:id="1538" w:name="Tc_t7jPHPnj6U-YCCJJalHigQ_5_0"/>
      <w:bookmarkStart w:id="1539" w:name="Tc_nz6KGOzzYEm4tYd45gnAOA_4_4"/>
      <w:bookmarkStart w:id="1540" w:name="Tc_z9EMaGgDKUiH1RvC_SH_3A_4_0"/>
      <w:bookmarkStart w:id="1541" w:name="Tc_4szlwLY7T0iuBpcjJF4bqg_3_2"/>
      <w:bookmarkStart w:id="1542" w:name="Tc_dPABNpVvoUirhMkTfEFxyw_3_0"/>
      <w:bookmarkStart w:id="1543" w:name="Tc_ca9W6NZdGkagBXu251h2mA_2_2"/>
      <w:bookmarkStart w:id="1544" w:name="Tc_dfPZi5-wxEuvSxbcfi27zA_1_2"/>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r>
        <w:rPr>
          <w:rFonts w:ascii="Times New Roman;Times;serif" w:hAnsi="Times New Roman;Times;serif"/>
          <w:sz w:val="20"/>
        </w:rPr>
        <w:t>The Company calculated the fair value of the Retention Grants using Monte Carlo simulation and below assumptions. The fair value of Tranche 1 and Tranche 2 was calculated as $5.82 per unit and $5.58 per unit respectively.</w:t>
      </w:r>
    </w:p>
    <w:p>
      <w:pPr>
        <w:pStyle w:val="TextBody"/>
        <w:bidi w:val="0"/>
        <w:spacing w:before="0" w:after="0"/>
        <w:ind w:left="0" w:right="0" w:hanging="0"/>
        <w:jc w:val="left"/>
        <w:rPr/>
      </w:pPr>
      <w:r>
        <w:rPr/>
        <w:t>​</w:t>
      </w:r>
    </w:p>
    <w:tbl>
      <w:tblPr>
        <w:tblW w:w="8160" w:type="dxa"/>
        <w:jc w:val="left"/>
        <w:tblInd w:w="0" w:type="dxa"/>
        <w:tblLayout w:type="fixed"/>
        <w:tblCellMar>
          <w:top w:w="0" w:type="dxa"/>
          <w:left w:w="0" w:type="dxa"/>
          <w:bottom w:w="0" w:type="dxa"/>
          <w:right w:w="0" w:type="dxa"/>
        </w:tblCellMar>
      </w:tblPr>
      <w:tblGrid>
        <w:gridCol w:w="4096"/>
        <w:gridCol w:w="326"/>
        <w:gridCol w:w="211"/>
        <w:gridCol w:w="3181"/>
        <w:gridCol w:w="34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600960" cy="175260"/>
                      <wp:effectExtent l="0" t="0" r="0" b="0"/>
                      <wp:wrapNone/>
                      <wp:docPr id="262" name="Frame262"/>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19935" cy="175260"/>
                      <wp:effectExtent l="0" t="0" r="0" b="0"/>
                      <wp:wrapNone/>
                      <wp:docPr id="265" name="Frame265"/>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392"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September 23, </w:t>
            </w:r>
          </w:p>
        </w:tc>
        <w:tc>
          <w:tcPr>
            <w:tcW w:w="346" w:type="dxa"/>
            <w:tcBorders/>
            <w:vAlign w:val="center"/>
          </w:tcPr>
          <w:p>
            <w:pPr>
              <w:pStyle w:val="TableContents"/>
              <w:bidi w:val="0"/>
              <w:spacing w:before="0" w:after="1"/>
              <w:ind w:left="0" w:right="0" w:hanging="0"/>
              <w:jc w:val="left"/>
              <w:rPr/>
            </w:pPr>
            <w:r>
              <w:rPr/>
              <w:t>​</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6.32</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1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100.60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Performance Period to achieve market conditions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September 23, 2025 – April 16, 2029</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1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3.54</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remaining 9,750,000 RSUs were considered as granted on August 28, 2025 out of which 7,500,000 were granted to a director of the Company in return for consulting services and the remaining 2,250,000 were granted to a consultant. The RSUs vest in three equal tranches as described below:</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Tranche 1: Vesting upon share price reaching or exceeding $10 for 10 consecutive trading days, or the Company’s market capitalization reaching or exceeding $3.3 billion, for ten consecutive days.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2: Vesting upon share price reaching or exceeding $12.50 for 10 consecutive trading days, or the Company’s market capitalization reaching or exceeding $4 billion, for ten consecutive days.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Tranche 3: Vesting upon share price reaching or exceeding $15 for 10 consecutive trading days, or the Company’s market capitalization reaching or exceeding $5 billion, for ten consecutive days.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 determined the fair value of the RSUs using a Monte-Carlo valuation method and below assumptions.</w:t>
      </w:r>
    </w:p>
    <w:p>
      <w:pPr>
        <w:pStyle w:val="TextBody"/>
        <w:bidi w:val="0"/>
        <w:spacing w:before="0" w:after="240"/>
        <w:ind w:left="360" w:right="0" w:hanging="0"/>
        <w:jc w:val="both"/>
        <w:rPr/>
      </w:pPr>
      <w:r>
        <w:rPr/>
        <w:t>​</w:t>
      </w:r>
    </w:p>
    <w:tbl>
      <w:tblPr>
        <w:tblW w:w="5010" w:type="dxa"/>
        <w:jc w:val="left"/>
        <w:tblInd w:w="0" w:type="dxa"/>
        <w:tblLayout w:type="fixed"/>
        <w:tblCellMar>
          <w:top w:w="0" w:type="dxa"/>
          <w:left w:w="0" w:type="dxa"/>
          <w:bottom w:w="0" w:type="dxa"/>
          <w:right w:w="0" w:type="dxa"/>
        </w:tblCellMar>
      </w:tblPr>
      <w:tblGrid>
        <w:gridCol w:w="1696"/>
        <w:gridCol w:w="326"/>
        <w:gridCol w:w="211"/>
        <w:gridCol w:w="2431"/>
        <w:gridCol w:w="34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076960" cy="175260"/>
                      <wp:effectExtent l="0" t="0" r="0" b="0"/>
                      <wp:wrapNone/>
                      <wp:docPr id="267" name="Frame267"/>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543685" cy="175260"/>
                      <wp:effectExtent l="0" t="0" r="0" b="0"/>
                      <wp:wrapNone/>
                      <wp:docPr id="270" name="Frame270"/>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42"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August 28, </w:t>
            </w:r>
          </w:p>
        </w:tc>
        <w:tc>
          <w:tcPr>
            <w:tcW w:w="346" w:type="dxa"/>
            <w:tcBorders/>
            <w:vAlign w:val="center"/>
          </w:tcPr>
          <w:p>
            <w:pPr>
              <w:pStyle w:val="TableContents"/>
              <w:bidi w:val="0"/>
              <w:spacing w:before="0" w:after="1"/>
              <w:ind w:left="0" w:right="0" w:hanging="0"/>
              <w:jc w:val="center"/>
              <w:rPr/>
            </w:pPr>
            <w:r>
              <w:rPr/>
              <w:t> </w:t>
            </w:r>
          </w:p>
        </w:tc>
      </w:tr>
      <w:tr>
        <w:trPr/>
        <w:tc>
          <w:tcPr>
            <w:tcW w:w="1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4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5.26</w:t>
            </w:r>
          </w:p>
        </w:tc>
        <w:tc>
          <w:tcPr>
            <w:tcW w:w="346" w:type="dxa"/>
            <w:tcBorders/>
            <w:shd w:fill="CCEEFF" w:val="clear"/>
            <w:vAlign w:val="center"/>
          </w:tcPr>
          <w:p>
            <w:pPr>
              <w:pStyle w:val="TableContents"/>
              <w:bidi w:val="0"/>
              <w:spacing w:before="0" w:after="1"/>
              <w:ind w:left="0" w:right="0" w:hanging="0"/>
              <w:jc w:val="center"/>
              <w:rPr/>
            </w:pPr>
            <w:r>
              <w:rPr/>
              <w:t> </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24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102.16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Performance Period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24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June 4, 2025 – June 4, 2029</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24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3.57</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24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fair value of each tranche and the derived service period are as follows:</w:t>
      </w:r>
    </w:p>
    <w:p>
      <w:pPr>
        <w:pStyle w:val="TextBody"/>
        <w:bidi w:val="0"/>
        <w:spacing w:before="0" w:after="240"/>
        <w:ind w:left="360" w:right="0" w:hanging="0"/>
        <w:jc w:val="both"/>
        <w:rPr/>
      </w:pPr>
      <w:r>
        <w:rPr/>
        <w:t>​</w:t>
      </w:r>
    </w:p>
    <w:tbl>
      <w:tblPr>
        <w:tblW w:w="4555" w:type="dxa"/>
        <w:jc w:val="left"/>
        <w:tblInd w:w="0" w:type="dxa"/>
        <w:tblLayout w:type="fixed"/>
        <w:tblCellMar>
          <w:top w:w="0" w:type="dxa"/>
          <w:left w:w="0" w:type="dxa"/>
          <w:bottom w:w="0" w:type="dxa"/>
          <w:right w:w="0" w:type="dxa"/>
        </w:tblCellMar>
      </w:tblPr>
      <w:tblGrid>
        <w:gridCol w:w="691"/>
        <w:gridCol w:w="326"/>
        <w:gridCol w:w="453"/>
        <w:gridCol w:w="1003"/>
        <w:gridCol w:w="326"/>
        <w:gridCol w:w="1756"/>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38785" cy="175260"/>
                      <wp:effectExtent l="0" t="0" r="0" b="0"/>
                      <wp:wrapNone/>
                      <wp:docPr id="272" name="Frame2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87655" cy="175260"/>
                      <wp:effectExtent l="0" t="0" r="0" b="0"/>
                      <wp:wrapNone/>
                      <wp:docPr id="274" name="Frame274"/>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36905" cy="175260"/>
                      <wp:effectExtent l="0" t="0" r="0" b="0"/>
                      <wp:wrapNone/>
                      <wp:docPr id="275" name="Frame275"/>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115060" cy="175260"/>
                      <wp:effectExtent l="0" t="0" r="0" b="0"/>
                      <wp:wrapNone/>
                      <wp:docPr id="277" name="Frame277"/>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Tranche</w:t>
            </w:r>
          </w:p>
        </w:tc>
        <w:tc>
          <w:tcPr>
            <w:tcW w:w="326" w:type="dxa"/>
            <w:tcBorders/>
            <w:vAlign w:val="center"/>
          </w:tcPr>
          <w:p>
            <w:pPr>
              <w:pStyle w:val="TableContents"/>
              <w:bidi w:val="0"/>
              <w:spacing w:before="0" w:after="1"/>
              <w:ind w:left="0" w:right="0" w:hanging="0"/>
              <w:jc w:val="center"/>
              <w:rPr/>
            </w:pPr>
            <w:r>
              <w:rPr/>
              <w:t>    </w:t>
            </w:r>
          </w:p>
        </w:tc>
        <w:tc>
          <w:tcPr>
            <w:tcW w:w="14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Fair Value per RSU</w:t>
            </w:r>
          </w:p>
        </w:tc>
        <w:tc>
          <w:tcPr>
            <w:tcW w:w="326" w:type="dxa"/>
            <w:tcBorders/>
            <w:vAlign w:val="center"/>
          </w:tcPr>
          <w:p>
            <w:pPr>
              <w:pStyle w:val="TableContents"/>
              <w:bidi w:val="0"/>
              <w:spacing w:before="0" w:after="1"/>
              <w:ind w:left="0" w:right="0" w:hanging="0"/>
              <w:jc w:val="center"/>
              <w:rPr/>
            </w:pPr>
            <w:r>
              <w:rPr/>
              <w:t>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Derived Service Period</w:t>
            </w:r>
          </w:p>
        </w:tc>
      </w:tr>
      <w:tr>
        <w:trPr/>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center"/>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shd w:fill="CCEEFF" w:val="clear"/>
            <w:vAlign w:val="center"/>
          </w:tcPr>
          <w:p>
            <w:pPr>
              <w:pStyle w:val="TableContents"/>
              <w:bidi w:val="0"/>
              <w:spacing w:before="0" w:after="1"/>
              <w:ind w:left="0" w:right="0" w:hanging="0"/>
              <w:jc w:val="center"/>
              <w:rPr/>
            </w:pPr>
            <w:r>
              <w:rPr/>
              <w:t>​</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 years</w:t>
            </w:r>
          </w:p>
        </w:tc>
      </w:tr>
      <w:tr>
        <w:trPr/>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 years</w:t>
            </w:r>
          </w:p>
        </w:tc>
      </w:tr>
      <w:tr>
        <w:trPr/>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0.85 years</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grant date fair value of all RSUs granted during the three and nine months ended September 30, 2025, apart from the RSUs mentioned in footnote 4 above, is equivalent to the closing share price of the Company’s common shares on the date of grant. During the three and nine months ended September 30, 2025, a total of $15 million and $26.6 million, respectively was charged to the statement of loss and comprehensive loss as share-based compensation expense for RSUs (three and nine months ended September 30, 2024: $5.6 million and $14.1 million respectively). For the three and nine months ended September 30, 2025, a total of $4.3 million and $9.3 million, respectively, was recognized as share-based compensation expense related to exploration and evaluation activities (three and nine months ended September 30, 2024 - $3.2 million and $7.6 million, respectively). The amount of share-based compensation expense related to general and administrative matters for three and nine months ended September 30, 2025, was $10.7 million and $17.2 million, respectively (three and nine months ended September 30, 2024 - $2.4 million and $6.5 million, respectively). As at September 30, 2025, the total unrecognized share-based compensation expense for RSUs was $118.8 million (December 31, 2024 - $20.5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2025, an aggregate of 129,910 vested RSUs were being processed and due to be converted into common shares.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31, 2022, TMC’s 2021 Employee Stock Purchase Plan (“ESPP”) was approved at the Company’s 2022 annual shareholders meeting. As at September 30, 2025, there were 14,395,117 total common shares reserved for issuance under the ESPP, of which 14,043,174 remain available for future issuance. This included 3,407,085 shares added to the ESPP in January 2025 pursuant to the ESPP’s automatic annual increase provision.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2025, a total of $11 thousand and $16 thousand, respectively, was charged to the statement of loss and comprehensive loss as share-based compensation expense representing the share price purchase discount offered by the Company (three and nine months ended September 30, 2024: $3 thousand and $33 thousand respectively). For the three and nine months ended September 30, 2025, a total of $6 thousand and $9 thousand, respectively, was recognized as share-based compensation expense related to exploration and evaluation activities (three and nine months ended September 30, 2024 - $2 thousand and $17 thousand, respectively). The amount of share-based compensation expense related to general and administrative matters for three and nine months ended September 30, 2025 was $5 thousand and $7 thousand, respectively (three and nine months ended September 30, 2024 - $1 thousand and $16 thousand, respectively).</w:t>
      </w:r>
    </w:p>
    <w:p>
      <w:pPr>
        <w:pStyle w:val="TextBody"/>
        <w:bidi w:val="0"/>
        <w:spacing w:before="0" w:after="240"/>
        <w:ind w:left="0" w:right="0" w:hanging="0"/>
        <w:jc w:val="left"/>
        <w:rPr>
          <w:rFonts w:ascii="Times New Roman;Times;serif" w:hAnsi="Times New Roman;Times;serif"/>
          <w:b/>
          <w:sz w:val="20"/>
        </w:rPr>
      </w:pPr>
      <w:bookmarkStart w:id="1545" w:name="Tc_Gyg9DMZE7UyCeAs09R8P7Q_9_0"/>
      <w:bookmarkStart w:id="1546" w:name="Tc_CXqHRc3ktUuwi9JkEWRZ7g_8_0"/>
      <w:bookmarkStart w:id="1547" w:name="Tc_flC_v_K7jUSBazt-bYQa7g_7_0"/>
      <w:bookmarkStart w:id="1548" w:name="Tc_XSIy5IKBrEe1sus51eoacA_6_0"/>
      <w:bookmarkStart w:id="1549" w:name="Tc_1huDfZOJv0u5Xh-JzneCSQ_5_0"/>
      <w:bookmarkStart w:id="1550" w:name="Tc_TIZBcYv580CDDxrAlaZotw_4_0"/>
      <w:bookmarkStart w:id="1551" w:name="Tc_lmgCPytuU0S3dy0Dg4CRYw_3_4"/>
      <w:bookmarkStart w:id="1552" w:name="Tc_8L6Qa-iEOkuwqnTQ7PsBKA_3_2"/>
      <w:bookmarkStart w:id="1553" w:name="Tc_-v1v5srNUEm_quNmsiR3bg_2_4"/>
      <w:bookmarkStart w:id="1554" w:name="Tc_sMD75ce53USQ_3DtUVt_jg_2_2"/>
      <w:bookmarkStart w:id="1555" w:name="Tc_hk1FAzVn5kS5wCPgU2nKig_1_4"/>
      <w:bookmarkStart w:id="1556" w:name="Tc_J7mXFO3s-kqIGQWXNBUuDg_1_2"/>
      <w:bookmarkEnd w:id="1545"/>
      <w:bookmarkEnd w:id="1546"/>
      <w:bookmarkEnd w:id="1547"/>
      <w:bookmarkEnd w:id="1548"/>
      <w:bookmarkEnd w:id="1549"/>
      <w:bookmarkEnd w:id="1550"/>
      <w:bookmarkEnd w:id="1551"/>
      <w:bookmarkEnd w:id="1552"/>
      <w:bookmarkEnd w:id="1553"/>
      <w:bookmarkEnd w:id="1554"/>
      <w:bookmarkEnd w:id="1555"/>
      <w:bookmarkEnd w:id="1556"/>
      <w:r>
        <w:rPr>
          <w:rFonts w:ascii="Times New Roman;Times;serif" w:hAnsi="Times New Roman;Times;serif"/>
          <w:b/>
          <w:i w:val="false"/>
          <w:caps w:val="false"/>
          <w:smallCaps w:val="false"/>
          <w:sz w:val="20"/>
        </w:rPr>
        <w:t>15.</w:t>
      </w:r>
      <w:r>
        <w:rPr>
          <w:rFonts w:ascii="Times New Roman;Times;serif" w:hAnsi="Times New Roman;Times;serif"/>
          <w:b/>
          <w:sz w:val="20"/>
        </w:rPr>
        <w:t>Loss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Anti-dilutive equivalent common shares were as follows:</w:t>
      </w:r>
    </w:p>
    <w:p>
      <w:pPr>
        <w:pStyle w:val="TextBody"/>
        <w:bidi w:val="0"/>
        <w:spacing w:before="0" w:after="0"/>
        <w:ind w:left="0" w:right="0" w:hanging="0"/>
        <w:jc w:val="left"/>
        <w:rPr/>
      </w:pPr>
      <w:r>
        <w:rPr/>
        <w:t>​</w:t>
      </w:r>
    </w:p>
    <w:tbl>
      <w:tblPr>
        <w:tblW w:w="9250" w:type="dxa"/>
        <w:jc w:val="left"/>
        <w:tblInd w:w="0" w:type="dxa"/>
        <w:tblLayout w:type="fixed"/>
        <w:tblCellMar>
          <w:top w:w="0" w:type="dxa"/>
          <w:left w:w="0" w:type="dxa"/>
          <w:bottom w:w="0" w:type="dxa"/>
          <w:right w:w="0" w:type="dxa"/>
        </w:tblCellMar>
      </w:tblPr>
      <w:tblGrid>
        <w:gridCol w:w="5536"/>
        <w:gridCol w:w="326"/>
        <w:gridCol w:w="1516"/>
        <w:gridCol w:w="326"/>
        <w:gridCol w:w="1546"/>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515360" cy="175260"/>
                      <wp:effectExtent l="0" t="0" r="0" b="0"/>
                      <wp:wrapNone/>
                      <wp:docPr id="278" name="Frame278"/>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62660" cy="175260"/>
                      <wp:effectExtent l="0" t="0" r="0" b="0"/>
                      <wp:wrapNone/>
                      <wp:docPr id="280" name="Frame28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981710" cy="175260"/>
                      <wp:effectExtent l="0" t="0" r="0" b="0"/>
                      <wp:wrapNone/>
                      <wp:docPr id="282" name="Frame28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righ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Nine months ended </w: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righ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September 30, </w: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righ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30,924,568</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27,943,343</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RSUs</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57,299,944</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35,733,505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shares under ESPP</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6,982</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warrants</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59,280,282</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30,730,770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Special Shares and options to purchase Special Shares</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136,011,413</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136,239,964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anti-dilutive common equivalent shares</w:t>
            </w:r>
          </w:p>
        </w:tc>
        <w:tc>
          <w:tcPr>
            <w:tcW w:w="326" w:type="dxa"/>
            <w:tcBorders/>
            <w:vAlign w:val="center"/>
          </w:tcPr>
          <w:p>
            <w:pPr>
              <w:pStyle w:val="TableContents"/>
              <w:bidi w:val="0"/>
              <w:spacing w:before="0" w:after="0"/>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283,523,189</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230,658,609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557" w:name="Narr_X-uYyzncik6iK4OBVdAl7Q"/>
      <w:bookmarkEnd w:id="1557"/>
      <w:r>
        <w:rPr>
          <w:rFonts w:ascii="Times New Roman;Times;serif" w:hAnsi="Times New Roman;Times;serif"/>
          <w:b/>
          <w:i w:val="false"/>
          <w:caps w:val="false"/>
          <w:smallCaps w:val="false"/>
          <w:sz w:val="20"/>
        </w:rPr>
        <w:t>16.</w:t>
      </w:r>
      <w:r>
        <w:rPr>
          <w:rFonts w:ascii="Times New Roman;Times;serif" w:hAnsi="Times New Roman;Times;serif"/>
          <w:b/>
          <w:sz w:val="20"/>
        </w:rPr>
        <w:t>Related Party Transactions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March 22, 2024, the Company entered into an Unsecured Credit Facility (the “2024 Credit Facility”) with Gerard Barron, the Company’s Chief Executive Officer and Chairman, and ERAS Capital LLC, the family fund of one of the Company’s directors, (collectively, the “2024 Lenders”), pursuant to which, the Company may borrow from the 2024 Lenders up to $20 million in the aggregate ( $10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from time to time, subject to certain conditions. All amounts drawn under the 2024 Credit Facility will bear interest at the 6-month Secured Overnight Funding Rate (SOFR), 180-day average plus 4.0% per annum payable in cash semi - annually (or plus 5% if paid - in - kind at maturity, at our election) on the first business day of each of June and January. The Company will pay an underutilization fee equal to 4.0% per annum payable semi-annually for any amounts that remain undrawn under the 2024 Credit Facility. The 2024 Credit Facility also contains customary events of default. On August 13, 2024, the Company entered into the First Amendment to the 2024 Credit Facility with the 2024 Lenders, to increase the borrowing limit of the 2024 Credit Facility to $25 million in the aggregate ($12.5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On November 14, 2024, the Company entered into the Second Amendment to the 2024 Credit Facility with the 2024 Lenders, to increase the borrowing limit to $38 million in the aggregate ($19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and to extend the maturity of the 2024 Credit Facility to December 31, 2025. As per the Second Amendment, the rate of underutilization fee was retroactively increased from March 22, 2024, to 6.5% on any undrawn amounts under the 2024 Credit Facility. On March 26, 2025, the Company entered into the Third Amendment to the 2024 Credit Facility with the 2024 Lenders, to, among other things, increase the borrowing limit to $44 million in the aggregate ($22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and extend the maturity of the 2024 Credit Facility to June 30, 2026. As per the Third Amendment to the 2024 Credit Facility, the 2024 Lenders have an option to terminate the credit facility upon certain financing events.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2025, the Company repaid $2.5 million and $4.3 million respectively of the drawn amount and did not draw from the 2024 Credit Facility any further (During the three and nine months ended September 30, 2024, the Company drew $0.3 million and $4.2 million respectively from the 2024 Credit Facility and made no repayments). During the three and nine months ended September 30, 2025, the Company incurred $nil and $0.1 million respectively as interest expense, while for those same periods, it incurred $0.7 million and $1.9 million respectively, as underutilization fees (For the three and nine months ended September 30, 2024, the interest amounted to $0.1 million for both periods, and underutilization fees amounted to $0.2 million and $0.4 million respectively). During the three and nine months ended September 30, 2025, the Company repaid interest amounting to $0.1 and $0.4 million, respectively (For three and nine months ended September 30, 2024: nil and $25 thousand), and underutilization fees amounting to $1.2 million and $2.2 million, respectively (For three and nine months ended September 30, 2024: nil and $0.1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One of the Company’s directors is the Chairman of Robertsbridge Consultants Limited, which previously provided the Company with consulting services. During the three and nine months ended September 30, 2025, Robertsbridge Consultants Limited, provided consulting services amounting to $nil and $5 thousand respectively, recorded in general and administrative expenses (During the three and nine months ended September 30, 2024, Robertsbridge Consultants Limited provided consulting services amounting to $16 thousand and $21 thousand). As at September 30, 2025, the amount payable to Robertsbridge Consultants </w:t>
      </w:r>
      <w:r>
        <w:rPr>
          <w:rFonts w:ascii="Times New Roman;Times;serif" w:hAnsi="Times New Roman;Times;serif"/>
          <w:b w:val="false"/>
          <w:i w:val="false"/>
          <w:caps w:val="false"/>
          <w:smallCaps w:val="false"/>
          <w:sz w:val="20"/>
        </w:rPr>
        <w:t>Limited</w:t>
      </w:r>
      <w:r>
        <w:rPr>
          <w:rFonts w:ascii="Times New Roman;Times;serif" w:hAnsi="Times New Roman;Times;serif"/>
          <w:sz w:val="20"/>
        </w:rPr>
        <w:t xml:space="preserve"> was $nil.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2025 Registered Direct Offering included $10 million from the participation of one of the Company’s directors appointed in the Annual General Meeting held in the second quarter of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second quarter of 2025, the Company entered into consulting agreements with two individuals who subsequently became directors. The consideration for the consulting services provided by the directors was in the form of RSUs and stock options and was approved by the shareholders in the special meeting of shareholders held on August 28, 2025 (Note 14).</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Apart from the above-mentioned transactions, the Company had transactions with Allseas which are detailed in Note 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Contingent Liabilities</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On January 23, 2023,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There is no assurance that the Company will be successful in our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8, 2024, a shareholder filed a putative class action against the Company and certain of its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the Company’s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the Company’s securities between May 12, 2023, and March 25, 2024, and seeks to recover compensable damages caused by the alleged wrongdoings. On February 6, 2025, the Court appointed a lead plaintiff. An amended complaint was filed on March 6, 2025. Pursuant to court-approved scheduling, the Company filed a motion to dismiss on April 10, 2025. The lead plaintiff filed an opposition on May 15, 2025, and the Company filed a reply on June 5, 2025. On June 18, 2025, the Court granted the Company’s motion to dismiss in full but granted plaintiffs leave to amend. The plaintiffs filed a Second Amended Complaint on July 2, 2025. The Company’s motion to dismiss the Second Amended Complaint was filed on August 6, 2025, the plaintiff’s opposition was filed on September 9, 2025, and the Company's reply was filed by September 23, 2025. The Company intends to continue defending against the lawsuit. There can be no assurance, however, that the Company will be successful in its defense, or that insurance will be available or adequate to fund any settlement or judgment or the litigation costs of this action. Due to the early stage of this litigation, such losses or range of possible losses cannot be reliably estimated.</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Revised Sponsorship Agreement with Republic of Nauru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29, 2025, NORI entered into a Revised Sponsorship Agreement with the Republic of Nauru which provides NORI with exclusive right to explore for polymetallic nodules in the ISA contract area, pursuant to its ISA Exploration Contract. The Republic of Nauru will continue to sponsor NORI’s seabed mineral activities in the area as per the terms of this Sponsorship Agreement. In exchange for the Republic of Nauru’s sponsorship, NORI will make cash payments (“Continuity Benefits”) to the Republic of Nauru for its continued sponsorship. The Continuity Benefits would only be payable if (i) a subsidiary of the Company other than NORI obtains a permit, license or other authorization from the US for the conduct of deep seabed mineral activities; (ii) and that Subsidiary commences commercial recovery activities of deep seabed minerals pursuant to that permit, license or other authorization (“Continuity Conditions”) and the range of the Continuity Benefits to the Republic of Nauru will be between $265 million and $515 million (undiscounted). In connection with the Revised Sponsorship Agreement, the Company entered into a Deed of Guarantee and Indemnity in favor of the Republic of Nauru under which the Company guarantees certain obligations of NORI and provides customary indemnities. As of September 30, 2025, the Continuity conditions are not probable but reasonably possible, and therefore the Company has not recorded any amount as Continuity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Revised Sponsorship Agreement with the Kingdom of Tonga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August 4, 2025, TOML entered into a revised sponsorship agreement (the “Sponsorship Agreement”) with the Kingdom of Tonga, acting through the Tonga Seabed Minerals Authority (“the State”), which provides TOML with exclusive right to explore for polymetallic nodules in the ISA contract area, pursuant to its ISA Exploration Contract. The State will continue to sponsor TOML’s seabed mineral activities in the area as per the terms of this Sponsorship Agreement. In exchange for the State’s sponsorship, TOML will make cash payments (“Continuity Benefits”) to the State for its continued sponsorship. The Continuity Benefits would only be payable if (i) a subsidiary of the Company other than TOML obtains a permit, license or other authorization from the US for the conduct of deep seabed mineral activities in TOML’s ISA Contract Area; (ii) and that Subsidiary commences commercial recovery activities of deep seabed minerals pursuant to that permit, license or other authorization TOML’s ISA Contract Area (“Continuity Conditions”). The range of the Continuity Benefits to the State will be between $75 million and $200 million (undiscounted). In connection with the Revised Sponsorship Agreement, the Company entered into a Deed of Guarantee and Indemnity in favor of the State under which the Company guarantees certain obligations of TOML and provides customary indemnities. As of September 30, 2025, the Continuity conditions are not probable but reasonably possible, and therefore the Company has not recorded any amount as Continuity Benefits.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58" w:name="Tc_EeEF9k0e1UGmm6vTDMr_mA_18_11"/>
      <w:bookmarkStart w:id="1559" w:name="Tc_D2sSfNJwakSm6yqlVA7b0A_18_8"/>
      <w:bookmarkStart w:id="1560" w:name="Tc_Y0rd9e1NEEyPC4DO-OFnQg_18_6"/>
      <w:bookmarkStart w:id="1561" w:name="Tc_HUWA4zBMfkmuZyr8-_inaQ_18_5"/>
      <w:bookmarkStart w:id="1562" w:name="Tc_XaPhNK1qwEq80uPbwt4xxQ_18_2"/>
      <w:bookmarkStart w:id="1563" w:name="Tc_Fq831cEI_kSNnFJsMlcB4w_17_9"/>
      <w:bookmarkStart w:id="1564" w:name="Tc_miTQRCzdBkuH2gTR6k5Z5Q_17_6"/>
      <w:bookmarkStart w:id="1565" w:name="Tc_ui1GT_dHiEu3tg4c4DgVXw_17_0"/>
      <w:bookmarkStart w:id="1566" w:name="Tc_kJhGOTCdxE-QOLUhFdqtvA_16_9"/>
      <w:bookmarkStart w:id="1567" w:name="Tc_lXLobip4vE2FeqRt8iauHw_16_6"/>
      <w:bookmarkStart w:id="1568" w:name="Tc_Mvipp52NI0-gd3hmIsF6sA_16_0"/>
      <w:bookmarkStart w:id="1569" w:name="Tc_3MgFJX2icUau7tPutJ0FdA_15_12"/>
      <w:bookmarkStart w:id="1570" w:name="Tc_ufr9-4fTSEKQFhDQYX5XyQ_15_6"/>
      <w:bookmarkStart w:id="1571" w:name="Tc_usslDcsaAUagylu5huuYpQ_15_0"/>
      <w:bookmarkStart w:id="1572" w:name="Tc_O7FkgC0SV0udDd0up7pFqw_14_12"/>
      <w:bookmarkStart w:id="1573" w:name="Tc_4VsH5weSMEKsWXIhmKzOdQ_14_11"/>
      <w:bookmarkStart w:id="1574" w:name="Tc_rwIJiMTgVUWTQiX-dwnaTQ_14_8"/>
      <w:bookmarkStart w:id="1575" w:name="Tc_yEFk9wX0mU2wByfiR1TUaQ_14_6"/>
      <w:bookmarkStart w:id="1576" w:name="Tc_VRde9tj-WEqpHYbVd_hf2A_14_5"/>
      <w:bookmarkStart w:id="1577" w:name="Tc_Oh-Kpe-JPkawUJ-iRgb8lg_14_2"/>
      <w:bookmarkStart w:id="1578" w:name="Tc__8XSam5qKkGq1muzMb6NKw_14_0"/>
      <w:bookmarkStart w:id="1579" w:name="Tc_jUxEKLF4VE-UazUnRRmXOQ_13_0"/>
      <w:bookmarkStart w:id="1580" w:name="Tc_TeLr87oP70e8GxklVsr1dg_11_11"/>
      <w:bookmarkStart w:id="1581" w:name="Tc_Zet_6AjbjkeFvCuq2xN40A_11_8"/>
      <w:bookmarkStart w:id="1582" w:name="Tc_p58W0LvcIESKQf3ecw3YQQ_11_5"/>
      <w:bookmarkStart w:id="1583" w:name="Tc_0haPpbLWw0iZFodNw_WSzg_11_2"/>
      <w:bookmarkStart w:id="1584" w:name="Tc_qyHmWaQiWEmGtgfS0N_5ow_10_9"/>
      <w:bookmarkStart w:id="1585" w:name="Tc_3bnHq0EIC0Kepy9HJsj1sw_10_6"/>
      <w:bookmarkStart w:id="1586" w:name="Tc_oCvlYl2Lv0i6AS8fOjnfXQ_10_0"/>
      <w:bookmarkStart w:id="1587" w:name="Tc_XP8yRIdN1kSiLL5kKwzeTQ_9_9"/>
      <w:bookmarkStart w:id="1588" w:name="Tc_tFezcNhrM0CT2ekeKUpIsg_9_6"/>
      <w:bookmarkStart w:id="1589" w:name="Tc_TkK0fVQmaEq-NZZ6cb6GGA_9_0"/>
      <w:bookmarkStart w:id="1590" w:name="Tc_tFWC4hdxFE2wbXCzkQ9C8g_8_9"/>
      <w:bookmarkStart w:id="1591" w:name="Tc_7Ogt-k85Qke5CCU5lWGdkg_8_6"/>
      <w:bookmarkStart w:id="1592" w:name="Tc_01QimWEFJU2X8zlwMhJ2mQ_8_0"/>
      <w:bookmarkStart w:id="1593" w:name="Tc_cQBLmBVUAUC6gBCr71rR6g_7_9"/>
      <w:bookmarkStart w:id="1594" w:name="Tc_lvs7gsmKokejydOPzMhoTQ_7_6"/>
      <w:bookmarkStart w:id="1595" w:name="Tc_G7_x8W3QQEeKBWg7zUxhnA_7_0"/>
      <w:bookmarkStart w:id="1596" w:name="Tc_N5xpyKAR9Uuyi6THO2Y6rA_6_9"/>
      <w:bookmarkStart w:id="1597" w:name="Tc_6hRjJ5CBoUSlsQ-SuGg7aw_6_6"/>
      <w:bookmarkStart w:id="1598" w:name="Tc_qDjrJ5ED8UyF3lizfZJ0lg_6_0"/>
      <w:bookmarkStart w:id="1599" w:name="Tc_F21NI-OnskOr5AGpedNHcQ_5_12"/>
      <w:bookmarkStart w:id="1600" w:name="Tc_sfPHjJlBu0yI43niFdm_Qg_5_6"/>
      <w:bookmarkStart w:id="1601" w:name="Tc_8OaUijVoBEeFuI8Vr51Urw_5_0"/>
      <w:bookmarkStart w:id="1602" w:name="Tc_ZLjZ0sxOu0iKWUfIVS1Pkw_4_12"/>
      <w:bookmarkStart w:id="1603" w:name="Tc_bpZWZxsRpEmVlkP9hk9iwg_4_11"/>
      <w:bookmarkStart w:id="1604" w:name="Tc_IfvccStSc0WX38nwipOimQ_4_9"/>
      <w:bookmarkStart w:id="1605" w:name="Tc_cKz0hh72VkigEDDrkyHIkg_4_8"/>
      <w:bookmarkStart w:id="1606" w:name="Tc_nv2RgBqMek-7hFFW7oyxCg_4_5"/>
      <w:bookmarkStart w:id="1607" w:name="Tc_btl2WLXe0kKdicnILRc_2w_4_2"/>
      <w:bookmarkStart w:id="1608" w:name="Tc_LF8RhHZgH0CPtq27olACuA_4_0"/>
      <w:bookmarkStart w:id="1609" w:name="Tc_FWMzzGaaC0eolWz7iL5BvA_3_0"/>
      <w:bookmarkStart w:id="1610" w:name="Tc_BGa_Smfo8EOxzwvRC1YMwg_2_11"/>
      <w:bookmarkStart w:id="1611" w:name="Tc_jhK3Wxa1YUKEVfMA-o4yDA_2_8"/>
      <w:bookmarkStart w:id="1612" w:name="Tc_NpUf_IQ_ZUW6fY4iYkuT6A_2_5"/>
      <w:bookmarkStart w:id="1613" w:name="Tc_qUCRU_WC_UGoAds4HGzbbQ_2_2"/>
      <w:bookmarkStart w:id="1614" w:name="Tc_DuLr7Qk8BEaysqf5z7_8ZQ_1_2"/>
      <w:bookmarkStart w:id="1615" w:name="_c93767d3_54d5_4de1_b2ef_5bcaf13f6d5f"/>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r>
        <w:rPr>
          <w:rFonts w:ascii="Times New Roman;Times;serif" w:hAnsi="Times New Roman;Times;serif"/>
          <w:b/>
          <w:i w:val="false"/>
          <w:caps w:val="false"/>
          <w:smallCaps w:val="false"/>
          <w:sz w:val="20"/>
        </w:rPr>
        <w:t>18.</w:t>
      </w:r>
      <w:r>
        <w:rPr>
          <w:rFonts w:ascii="Times New Roman;Times;serif" w:hAnsi="Times New Roman;Times;serif"/>
          <w:b/>
          <w:sz w:val="20"/>
        </w:rPr>
        <w:t>Fair Value Accounting</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tables set forth the Company’s assets and liabilities measured at fair value (Note 4):</w:t>
      </w:r>
    </w:p>
    <w:p>
      <w:pPr>
        <w:pStyle w:val="TextBody"/>
        <w:bidi w:val="0"/>
        <w:spacing w:before="0" w:after="240"/>
        <w:ind w:left="0" w:right="0" w:hanging="0"/>
        <w:jc w:val="both"/>
        <w:rPr/>
      </w:pPr>
      <w:r>
        <w:rPr/>
        <w:t>​</w:t>
      </w:r>
    </w:p>
    <w:tbl>
      <w:tblPr>
        <w:tblW w:w="8693" w:type="dxa"/>
        <w:jc w:val="left"/>
        <w:tblInd w:w="0" w:type="dxa"/>
        <w:tblLayout w:type="fixed"/>
        <w:tblCellMar>
          <w:top w:w="0" w:type="dxa"/>
          <w:left w:w="0" w:type="dxa"/>
          <w:bottom w:w="0" w:type="dxa"/>
          <w:right w:w="0" w:type="dxa"/>
        </w:tblCellMar>
      </w:tblPr>
      <w:tblGrid>
        <w:gridCol w:w="3421"/>
        <w:gridCol w:w="326"/>
        <w:gridCol w:w="211"/>
        <w:gridCol w:w="781"/>
        <w:gridCol w:w="326"/>
        <w:gridCol w:w="211"/>
        <w:gridCol w:w="781"/>
        <w:gridCol w:w="326"/>
        <w:gridCol w:w="211"/>
        <w:gridCol w:w="676"/>
        <w:gridCol w:w="326"/>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72335" cy="175260"/>
                      <wp:effectExtent l="0" t="0" r="0" b="0"/>
                      <wp:wrapNone/>
                      <wp:docPr id="283" name="Frame28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95935" cy="175260"/>
                      <wp:effectExtent l="0" t="0" r="0" b="0"/>
                      <wp:wrapNone/>
                      <wp:docPr id="286" name="Frame2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95935" cy="175260"/>
                      <wp:effectExtent l="0" t="0" r="0" b="0"/>
                      <wp:wrapNone/>
                      <wp:docPr id="289" name="Frame2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29260" cy="175260"/>
                      <wp:effectExtent l="0" t="0" r="0" b="0"/>
                      <wp:wrapNone/>
                      <wp:docPr id="292" name="Frame2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62610" cy="175260"/>
                      <wp:effectExtent l="0" t="0" r="0" b="0"/>
                      <wp:wrapNone/>
                      <wp:docPr id="295" name="Frame29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4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 September 30, 2025</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115,648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115,648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contracts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42,951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42,951</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2,384</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597</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2,082</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10,387</w:t>
            </w:r>
          </w:p>
        </w:tc>
      </w:tr>
      <w:tr>
        <w:trPr/>
        <w:tc>
          <w:tcPr>
            <w:tcW w:w="34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175,615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115,648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58,401</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46,834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46,834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Royalty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145,000</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13,730</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216,239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57,509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158,730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616" w:name="Tc_0GZ8ezyuZECPb8-RiA7UQQ_19_11"/>
      <w:bookmarkStart w:id="1617" w:name="Tc_QFQcZnr6hUOwIjfoj9ny3g_19_8"/>
      <w:bookmarkStart w:id="1618" w:name="Tc__RmHPXwY20CM55EBE5VBBQ_19_6"/>
      <w:bookmarkStart w:id="1619" w:name="Tc_bBVNXgBwIUeO8VKhI2l3gQ_19_5"/>
      <w:bookmarkStart w:id="1620" w:name="Tc_Y_ChDQxIKUmWDQYPO6Jftw_19_2"/>
      <w:bookmarkStart w:id="1621" w:name="Tc_6QUNTr8YIEWlzFfLS1BBfA_18_9"/>
      <w:bookmarkStart w:id="1622" w:name="Tc_BVMdlPzqVUi9uJGatV9UYQ_18_6"/>
      <w:bookmarkStart w:id="1623" w:name="Tc_LJm7x_vZJkCP6BesnY5o7A_18_0"/>
      <w:bookmarkStart w:id="1624" w:name="Tc_LhZ_8F59bEuAenX1QZSfMQ_17_9"/>
      <w:bookmarkStart w:id="1625" w:name="Tc_lW1Xzh6RJ0mabuEXWpa6-w_17_6"/>
      <w:bookmarkStart w:id="1626" w:name="Tc_-aAilqGEQ0GXplPjiUKF_A_17_0"/>
      <w:bookmarkStart w:id="1627" w:name="Tc_azdo9mncKUCfMb5aXbnQAg_16_12"/>
      <w:bookmarkStart w:id="1628" w:name="Tc_Tr6UJsNQ5kW_PXeQDWIPCw_16_6"/>
      <w:bookmarkStart w:id="1629" w:name="Tc_SZ8biq3ocUSJvzUo63kAjA_16_0"/>
      <w:bookmarkStart w:id="1630" w:name="Tc_T5Y6SnUgHU2urXXjw03RPg_15_12"/>
      <w:bookmarkStart w:id="1631" w:name="Tc_MA8PTZTlK0e-jiw6Qe_J-g_15_6"/>
      <w:bookmarkStart w:id="1632" w:name="Tc_ktsE1XmcT0qIOYhcaFZf7A_15_0"/>
      <w:bookmarkStart w:id="1633" w:name="Tc_it2QgaCa_0qq0vnAilwKoQ_14_12"/>
      <w:bookmarkStart w:id="1634" w:name="Tc_YtgfvxQk1kSVUHZkx4kvbw_14_11"/>
      <w:bookmarkStart w:id="1635" w:name="Tc_vLaYrRT9LkSG5FBbUIsTQg_14_8"/>
      <w:bookmarkStart w:id="1636" w:name="Tc_Qo2kG3_alUqhmdVOqeGQow_14_6"/>
      <w:bookmarkStart w:id="1637" w:name="Tc_g_bTblfxMEORLPkjUT3oqg_14_5"/>
      <w:bookmarkStart w:id="1638" w:name="Tc_kcJHoNpsFUGtJ0af_vR1TA_14_2"/>
      <w:bookmarkStart w:id="1639" w:name="Tc_Ov49y6Rfq0C8XKJqK_EKWw_14_0"/>
      <w:bookmarkStart w:id="1640" w:name="Tc_Dx1bFcIBUUO3VfuA-P2NJg_13_0"/>
      <w:bookmarkStart w:id="1641" w:name="Tc_LVCmfN0yrkiZnD-JyRbX-w_11_11"/>
      <w:bookmarkStart w:id="1642" w:name="Tc_3DNGjLbfB0e7sN-OOjR0ow_11_8"/>
      <w:bookmarkStart w:id="1643" w:name="Tc_8mTx2RzeKkWv59dOQSZRLA_11_5"/>
      <w:bookmarkStart w:id="1644" w:name="Tc_CwX2UAcO5kmjNQdGPY2htg_11_2"/>
      <w:bookmarkStart w:id="1645" w:name="Tc_aFbut145DEKHbeAVtwyDnA_10_9"/>
      <w:bookmarkStart w:id="1646" w:name="Tc_OiqrjjYvuE2cS36iLgmYRQ_10_6"/>
      <w:bookmarkStart w:id="1647" w:name="Tc_BsoortX74k64xSPBB9_W2Q_10_0"/>
      <w:bookmarkStart w:id="1648" w:name="Tc_AueVKzeBvEKBX-H8vhxW4g_9_9"/>
      <w:bookmarkStart w:id="1649" w:name="Tc_ZpWD4GQyQUCvj62SNE9N-Q_9_6"/>
      <w:bookmarkStart w:id="1650" w:name="Tc_aXRx-p8T8kG2iP6udkD10w_9_0"/>
      <w:bookmarkStart w:id="1651" w:name="Tc_I_RH-kUU5kekA_38jN0gqg_8_9"/>
      <w:bookmarkStart w:id="1652" w:name="Tc_qdykPfZqoUunrqQHTlPVmQ_8_6"/>
      <w:bookmarkStart w:id="1653" w:name="Tc_IqbH9mzcOE2OFyIkyTvXaw_8_0"/>
      <w:bookmarkStart w:id="1654" w:name="Tc_Ou127_Tb-UaHFNqDqxDveg_7_9"/>
      <w:bookmarkStart w:id="1655" w:name="Tc_MWmk84aCH063j6dloNHyXA_7_6"/>
      <w:bookmarkStart w:id="1656" w:name="Tc_X-d46qtgKEOPJdK7yjk9wQ_7_0"/>
      <w:bookmarkStart w:id="1657" w:name="Tc_ftctUDxA8Euuo2zijlU5Aw_6_9"/>
      <w:bookmarkStart w:id="1658" w:name="Tc_an--qM5BaU-d1YmH4naaRA_6_6"/>
      <w:bookmarkStart w:id="1659" w:name="Tc_c70aURCkoUiFVI79as51cQ_6_0"/>
      <w:bookmarkStart w:id="1660" w:name="Tc_HTR-gsoU8U6MxHUpjAeIyQ_5_12"/>
      <w:bookmarkStart w:id="1661" w:name="Tc_AzrQKHzI50SlmZgDAj3BSQ_5_6"/>
      <w:bookmarkStart w:id="1662" w:name="Tc_Jtxf7U6DGkiLfeL0CNSLGw_5_0"/>
      <w:bookmarkStart w:id="1663" w:name="Tc_Q4TIo1_KUEqI37gsDbN3Mw_4_12"/>
      <w:bookmarkStart w:id="1664" w:name="Tc_6drEDwcbfEGGyZnRoMQdVw_4_11"/>
      <w:bookmarkStart w:id="1665" w:name="Tc_n7CLgmcQlE6LQEC0jA3eiA_4_9"/>
      <w:bookmarkStart w:id="1666" w:name="Tc_5nHI9ZxqN0m3JdxqzWqHpQ_4_8"/>
      <w:bookmarkStart w:id="1667" w:name="Tc_N5yr_XKHykmAOo5NFz-OFw_4_5"/>
      <w:bookmarkStart w:id="1668" w:name="Tc_OGVjB675yk2u8cnZajwDkg_4_2"/>
      <w:bookmarkStart w:id="1669" w:name="Tc_Q5BC4LKI8E63pnRtRMwQbQ_4_0"/>
      <w:bookmarkStart w:id="1670" w:name="Tc_MDsC7oVv0UCuEWDRC8v8sQ_3_0"/>
      <w:bookmarkStart w:id="1671" w:name="Tc_hp7PfhkiiUWg94aFyk0UuQ_2_11"/>
      <w:bookmarkStart w:id="1672" w:name="Tc_IXRNJ3R0l0GVAQYTs5D8Ng_2_8"/>
      <w:bookmarkStart w:id="1673" w:name="Tc_Gvv5yaa6zE2Mp1S3qApdOg_2_5"/>
      <w:bookmarkStart w:id="1674" w:name="Tc_-oV78gceKkuiUAT6lq3dTw_2_2"/>
      <w:bookmarkStart w:id="1675" w:name="Tc_HHOGrXRN_UKB1rap-PK6Aw_1_2"/>
      <w:bookmarkStart w:id="1676" w:name="_3b3a4667_9660_43a4_a29b_b07cc2a0378d"/>
      <w:bookmarkStart w:id="1677" w:name="Tc_0GZ8ezyuZECPb8-RiA7UQQ_19_11"/>
      <w:bookmarkStart w:id="1678" w:name="Tc_QFQcZnr6hUOwIjfoj9ny3g_19_8"/>
      <w:bookmarkStart w:id="1679" w:name="Tc__RmHPXwY20CM55EBE5VBBQ_19_6"/>
      <w:bookmarkStart w:id="1680" w:name="Tc_bBVNXgBwIUeO8VKhI2l3gQ_19_5"/>
      <w:bookmarkStart w:id="1681" w:name="Tc_Y_ChDQxIKUmWDQYPO6Jftw_19_2"/>
      <w:bookmarkStart w:id="1682" w:name="Tc_6QUNTr8YIEWlzFfLS1BBfA_18_9"/>
      <w:bookmarkStart w:id="1683" w:name="Tc_BVMdlPzqVUi9uJGatV9UYQ_18_6"/>
      <w:bookmarkStart w:id="1684" w:name="Tc_LJm7x_vZJkCP6BesnY5o7A_18_0"/>
      <w:bookmarkStart w:id="1685" w:name="Tc_LhZ_8F59bEuAenX1QZSfMQ_17_9"/>
      <w:bookmarkStart w:id="1686" w:name="Tc_lW1Xzh6RJ0mabuEXWpa6-w_17_6"/>
      <w:bookmarkStart w:id="1687" w:name="Tc_-aAilqGEQ0GXplPjiUKF_A_17_0"/>
      <w:bookmarkStart w:id="1688" w:name="Tc_azdo9mncKUCfMb5aXbnQAg_16_12"/>
      <w:bookmarkStart w:id="1689" w:name="Tc_Tr6UJsNQ5kW_PXeQDWIPCw_16_6"/>
      <w:bookmarkStart w:id="1690" w:name="Tc_SZ8biq3ocUSJvzUo63kAjA_16_0"/>
      <w:bookmarkStart w:id="1691" w:name="Tc_T5Y6SnUgHU2urXXjw03RPg_15_12"/>
      <w:bookmarkStart w:id="1692" w:name="Tc_MA8PTZTlK0e-jiw6Qe_J-g_15_6"/>
      <w:bookmarkStart w:id="1693" w:name="Tc_ktsE1XmcT0qIOYhcaFZf7A_15_0"/>
      <w:bookmarkStart w:id="1694" w:name="Tc_it2QgaCa_0qq0vnAilwKoQ_14_12"/>
      <w:bookmarkStart w:id="1695" w:name="Tc_YtgfvxQk1kSVUHZkx4kvbw_14_11"/>
      <w:bookmarkStart w:id="1696" w:name="Tc_vLaYrRT9LkSG5FBbUIsTQg_14_8"/>
      <w:bookmarkStart w:id="1697" w:name="Tc_Qo2kG3_alUqhmdVOqeGQow_14_6"/>
      <w:bookmarkStart w:id="1698" w:name="Tc_g_bTblfxMEORLPkjUT3oqg_14_5"/>
      <w:bookmarkStart w:id="1699" w:name="Tc_kcJHoNpsFUGtJ0af_vR1TA_14_2"/>
      <w:bookmarkStart w:id="1700" w:name="Tc_Ov49y6Rfq0C8XKJqK_EKWw_14_0"/>
      <w:bookmarkStart w:id="1701" w:name="Tc_Dx1bFcIBUUO3VfuA-P2NJg_13_0"/>
      <w:bookmarkStart w:id="1702" w:name="Tc_LVCmfN0yrkiZnD-JyRbX-w_11_11"/>
      <w:bookmarkStart w:id="1703" w:name="Tc_3DNGjLbfB0e7sN-OOjR0ow_11_8"/>
      <w:bookmarkStart w:id="1704" w:name="Tc_8mTx2RzeKkWv59dOQSZRLA_11_5"/>
      <w:bookmarkStart w:id="1705" w:name="Tc_CwX2UAcO5kmjNQdGPY2htg_11_2"/>
      <w:bookmarkStart w:id="1706" w:name="Tc_aFbut145DEKHbeAVtwyDnA_10_9"/>
      <w:bookmarkStart w:id="1707" w:name="Tc_OiqrjjYvuE2cS36iLgmYRQ_10_6"/>
      <w:bookmarkStart w:id="1708" w:name="Tc_BsoortX74k64xSPBB9_W2Q_10_0"/>
      <w:bookmarkStart w:id="1709" w:name="Tc_AueVKzeBvEKBX-H8vhxW4g_9_9"/>
      <w:bookmarkStart w:id="1710" w:name="Tc_ZpWD4GQyQUCvj62SNE9N-Q_9_6"/>
      <w:bookmarkStart w:id="1711" w:name="Tc_aXRx-p8T8kG2iP6udkD10w_9_0"/>
      <w:bookmarkStart w:id="1712" w:name="Tc_I_RH-kUU5kekA_38jN0gqg_8_9"/>
      <w:bookmarkStart w:id="1713" w:name="Tc_qdykPfZqoUunrqQHTlPVmQ_8_6"/>
      <w:bookmarkStart w:id="1714" w:name="Tc_IqbH9mzcOE2OFyIkyTvXaw_8_0"/>
      <w:bookmarkStart w:id="1715" w:name="Tc_Ou127_Tb-UaHFNqDqxDveg_7_9"/>
      <w:bookmarkStart w:id="1716" w:name="Tc_MWmk84aCH063j6dloNHyXA_7_6"/>
      <w:bookmarkStart w:id="1717" w:name="Tc_X-d46qtgKEOPJdK7yjk9wQ_7_0"/>
      <w:bookmarkStart w:id="1718" w:name="Tc_ftctUDxA8Euuo2zijlU5Aw_6_9"/>
      <w:bookmarkStart w:id="1719" w:name="Tc_an--qM5BaU-d1YmH4naaRA_6_6"/>
      <w:bookmarkStart w:id="1720" w:name="Tc_c70aURCkoUiFVI79as51cQ_6_0"/>
      <w:bookmarkStart w:id="1721" w:name="Tc_HTR-gsoU8U6MxHUpjAeIyQ_5_12"/>
      <w:bookmarkStart w:id="1722" w:name="Tc_AzrQKHzI50SlmZgDAj3BSQ_5_6"/>
      <w:bookmarkStart w:id="1723" w:name="Tc_Jtxf7U6DGkiLfeL0CNSLGw_5_0"/>
      <w:bookmarkStart w:id="1724" w:name="Tc_Q4TIo1_KUEqI37gsDbN3Mw_4_12"/>
      <w:bookmarkStart w:id="1725" w:name="Tc_6drEDwcbfEGGyZnRoMQdVw_4_11"/>
      <w:bookmarkStart w:id="1726" w:name="Tc_n7CLgmcQlE6LQEC0jA3eiA_4_9"/>
      <w:bookmarkStart w:id="1727" w:name="Tc_5nHI9ZxqN0m3JdxqzWqHpQ_4_8"/>
      <w:bookmarkStart w:id="1728" w:name="Tc_N5yr_XKHykmAOo5NFz-OFw_4_5"/>
      <w:bookmarkStart w:id="1729" w:name="Tc_OGVjB675yk2u8cnZajwDkg_4_2"/>
      <w:bookmarkStart w:id="1730" w:name="Tc_Q5BC4LKI8E63pnRtRMwQbQ_4_0"/>
      <w:bookmarkStart w:id="1731" w:name="Tc_MDsC7oVv0UCuEWDRC8v8sQ_3_0"/>
      <w:bookmarkStart w:id="1732" w:name="Tc_hp7PfhkiiUWg94aFyk0UuQ_2_11"/>
      <w:bookmarkStart w:id="1733" w:name="Tc_IXRNJ3R0l0GVAQYTs5D8Ng_2_8"/>
      <w:bookmarkStart w:id="1734" w:name="Tc_Gvv5yaa6zE2Mp1S3qApdOg_2_5"/>
      <w:bookmarkStart w:id="1735" w:name="Tc_-oV78gceKkuiUAT6lq3dTw_2_2"/>
      <w:bookmarkStart w:id="1736" w:name="Tc_HHOGrXRN_UKB1rap-PK6Aw_1_2"/>
      <w:bookmarkStart w:id="1737" w:name="_3b3a4667_9660_43a4_a29b_b07cc2a0378d"/>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p>
    <w:tbl>
      <w:tblPr>
        <w:tblW w:w="8273" w:type="dxa"/>
        <w:jc w:val="left"/>
        <w:tblInd w:w="0" w:type="dxa"/>
        <w:tblLayout w:type="fixed"/>
        <w:tblCellMar>
          <w:top w:w="0" w:type="dxa"/>
          <w:left w:w="0" w:type="dxa"/>
          <w:bottom w:w="0" w:type="dxa"/>
          <w:right w:w="0" w:type="dxa"/>
        </w:tblCellMar>
      </w:tblPr>
      <w:tblGrid>
        <w:gridCol w:w="3421"/>
        <w:gridCol w:w="326"/>
        <w:gridCol w:w="211"/>
        <w:gridCol w:w="676"/>
        <w:gridCol w:w="326"/>
        <w:gridCol w:w="211"/>
        <w:gridCol w:w="571"/>
        <w:gridCol w:w="326"/>
        <w:gridCol w:w="211"/>
        <w:gridCol w:w="676"/>
        <w:gridCol w:w="326"/>
        <w:gridCol w:w="211"/>
        <w:gridCol w:w="78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72335" cy="175260"/>
                      <wp:effectExtent l="0" t="0" r="0" b="0"/>
                      <wp:wrapNone/>
                      <wp:docPr id="296" name="Frame29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29260" cy="175260"/>
                      <wp:effectExtent l="0" t="0" r="0" b="0"/>
                      <wp:wrapNone/>
                      <wp:docPr id="299" name="Frame2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62585" cy="175260"/>
                      <wp:effectExtent l="0" t="0" r="0" b="0"/>
                      <wp:wrapNone/>
                      <wp:docPr id="302" name="Frame3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29260" cy="175260"/>
                      <wp:effectExtent l="0" t="0" r="0" b="0"/>
                      <wp:wrapNone/>
                      <wp:docPr id="305" name="Frame3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95935" cy="175260"/>
                      <wp:effectExtent l="0" t="0" r="0" b="0"/>
                      <wp:wrapNone/>
                      <wp:docPr id="308" name="Frame3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2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 December 31, 2024</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contracts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42,951</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8,203</w:t>
            </w:r>
          </w:p>
        </w:tc>
      </w:tr>
      <w:tr>
        <w:trPr/>
        <w:tc>
          <w:tcPr>
            <w:tcW w:w="34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57,667</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Royalty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34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14,912</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738" w:name="Tc_Noznkdm5PUmuuGRy95YKTA_4_5"/>
      <w:bookmarkStart w:id="1739" w:name="Tc_xsbijH_IJ0O5BN4l3pepmg_4_2"/>
      <w:bookmarkStart w:id="1740" w:name="Tc_LL5Nt8Hgk0-2JjP8rGWQaA_4_0"/>
      <w:bookmarkStart w:id="1741" w:name="Tc_xth2tWztKU2F-CEJyNB1jg_3_0"/>
      <w:bookmarkStart w:id="1742" w:name="Tc_RIrfuqML7kOWCf9o13ygug_2_5"/>
      <w:bookmarkStart w:id="1743" w:name="Tc_QFMny-fXlUGpa0zXHSM9XA_2_2"/>
      <w:bookmarkStart w:id="1744" w:name="Tc_8bgfC7PQ-kqmcKAmFuHp9g_2_0"/>
      <w:bookmarkStart w:id="1745" w:name="Tc_4DY_bnJQ2UaJYdi9PJTgaA_1_5"/>
      <w:bookmarkStart w:id="1746" w:name="Tc_PLYj1_J2akSpqOMVqmiTyg_1_2"/>
      <w:bookmarkStart w:id="1747" w:name="_50f9859f_b6fd_47ae_9ede_ec1bd2f8b0fa"/>
      <w:bookmarkStart w:id="1748" w:name="Tc_QVdim0143EWjqYeHkUpxYA_5_5"/>
      <w:bookmarkStart w:id="1749" w:name="Tc_TLUrl5TCBUmBVpMxEhuHbw_5_2"/>
      <w:bookmarkStart w:id="1750" w:name="Tc_Sqou26lKwEOnA_gvEryNOQ_5_0"/>
      <w:bookmarkStart w:id="1751" w:name="Tc_-NHivDxdLUK-lP6aaySfBg_4_6"/>
      <w:bookmarkStart w:id="1752" w:name="Tc_A_NgG4tA4EOvm7UsFodLmg_4_3"/>
      <w:bookmarkStart w:id="1753" w:name="Tc_8Ld1TdXD_02md_oNjbgcjA_4_0"/>
      <w:bookmarkStart w:id="1754" w:name="Tc__Vi91wfpSkenna_uV1p6mA_3_5"/>
      <w:bookmarkStart w:id="1755" w:name="Tc_a9L04lqom0WQivCsQBK2CA_3_2"/>
      <w:bookmarkStart w:id="1756" w:name="Tc_vaydMBiKyE-eeijKurtPDQ_3_0"/>
      <w:bookmarkStart w:id="1757" w:name="Tc_S9nvawujY0-hcg2j8w3IOQ_2_5"/>
      <w:bookmarkStart w:id="1758" w:name="Tc_ik6O5F4km0SwCcxMmI1Yqw_2_2"/>
      <w:bookmarkStart w:id="1759" w:name="Tc_gQy2EVaK4kK53cHqZkE37g_2_0"/>
      <w:bookmarkStart w:id="1760" w:name="Tc_H1HjrkeqL0CIGZ2GodMpEw_1_5"/>
      <w:bookmarkStart w:id="1761" w:name="Tc_bAR0rWFj90KY32WzKHAZSw_1_2"/>
      <w:bookmarkStart w:id="1762" w:name="_cbc1b7c6_debe_4323_beb6_3a26fa2d127b"/>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r>
        <w:rPr>
          <w:rFonts w:ascii="Times New Roman;Times;serif" w:hAnsi="Times New Roman;Times;serif"/>
          <w:b/>
          <w:i w:val="false"/>
          <w:caps w:val="false"/>
          <w:smallCaps w:val="false"/>
          <w:sz w:val="20"/>
        </w:rPr>
        <w:t>19.</w:t>
      </w:r>
      <w:r>
        <w:rPr>
          <w:rFonts w:ascii="Times New Roman;Times;serif" w:hAnsi="Times New Roman;Times;serif"/>
          <w:b/>
          <w:sz w:val="20"/>
        </w:rPr>
        <w:t>Segmented Information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Company’s business consists of only one operating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pStyle w:val="TextBody"/>
        <w:bidi w:val="0"/>
        <w:spacing w:before="0" w:after="240"/>
        <w:ind w:left="0" w:right="0" w:hanging="0"/>
        <w:jc w:val="both"/>
        <w:rPr/>
      </w:pPr>
      <w:r>
        <w:rPr/>
        <w:t>​</w:t>
      </w:r>
    </w:p>
    <w:tbl>
      <w:tblPr>
        <w:tblW w:w="3834" w:type="dxa"/>
        <w:jc w:val="left"/>
        <w:tblInd w:w="0" w:type="dxa"/>
        <w:tblLayout w:type="fixed"/>
        <w:tblCellMar>
          <w:top w:w="0" w:type="dxa"/>
          <w:left w:w="0" w:type="dxa"/>
          <w:bottom w:w="0" w:type="dxa"/>
          <w:right w:w="0" w:type="dxa"/>
        </w:tblCellMar>
      </w:tblPr>
      <w:tblGrid>
        <w:gridCol w:w="901"/>
        <w:gridCol w:w="326"/>
        <w:gridCol w:w="394"/>
        <w:gridCol w:w="791"/>
        <w:gridCol w:w="326"/>
        <w:gridCol w:w="313"/>
        <w:gridCol w:w="783"/>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72135" cy="175260"/>
                      <wp:effectExtent l="0" t="0" r="0" b="0"/>
                      <wp:wrapNone/>
                      <wp:docPr id="309" name="Frame3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50190" cy="175260"/>
                      <wp:effectExtent l="0" t="0" r="0" b="0"/>
                      <wp:wrapNone/>
                      <wp:docPr id="311" name="Frame311"/>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02285" cy="175260"/>
                      <wp:effectExtent l="0" t="0" r="0" b="0"/>
                      <wp:wrapNone/>
                      <wp:docPr id="312" name="Frame31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98755" cy="175260"/>
                      <wp:effectExtent l="0" t="0" r="0" b="0"/>
                      <wp:wrapNone/>
                      <wp:docPr id="314" name="Frame314"/>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7205" cy="175260"/>
                      <wp:effectExtent l="0" t="0" r="0" b="0"/>
                      <wp:wrapNone/>
                      <wp:docPr id="315" name="Frame31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w:t>
            </w:r>
          </w:p>
        </w:tc>
      </w:tr>
      <w:tr>
        <w:trPr/>
        <w:tc>
          <w:tcPr>
            <w:tcW w:w="9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Nauru</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597</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Tonga</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597</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771</w:t>
            </w:r>
          </w:p>
        </w:tc>
      </w:tr>
    </w:tbl>
    <w:p>
      <w:pPr>
        <w:pStyle w:val="TextBody"/>
        <w:bidi w:val="0"/>
        <w:spacing w:before="0" w:after="240"/>
        <w:ind w:left="0" w:right="0" w:hanging="0"/>
        <w:jc w:val="both"/>
        <w:rPr/>
      </w:pPr>
      <w:r>
        <w:rPr/>
        <w:t>​</w:t>
      </w:r>
    </w:p>
    <w:tbl>
      <w:tblPr>
        <w:tblW w:w="5153" w:type="dxa"/>
        <w:jc w:val="left"/>
        <w:tblInd w:w="0" w:type="dxa"/>
        <w:tblLayout w:type="fixed"/>
        <w:tblCellMar>
          <w:top w:w="0" w:type="dxa"/>
          <w:left w:w="0" w:type="dxa"/>
          <w:bottom w:w="0" w:type="dxa"/>
          <w:right w:w="0" w:type="dxa"/>
        </w:tblCellMar>
      </w:tblPr>
      <w:tblGrid>
        <w:gridCol w:w="2131"/>
        <w:gridCol w:w="326"/>
        <w:gridCol w:w="319"/>
        <w:gridCol w:w="866"/>
        <w:gridCol w:w="326"/>
        <w:gridCol w:w="281"/>
        <w:gridCol w:w="904"/>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53185" cy="175260"/>
                      <wp:effectExtent l="0" t="0" r="0" b="0"/>
                      <wp:wrapNone/>
                      <wp:docPr id="316" name="Frame31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2565" cy="175260"/>
                      <wp:effectExtent l="0" t="0" r="0" b="0"/>
                      <wp:wrapNone/>
                      <wp:docPr id="318" name="Frame31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49910" cy="175260"/>
                      <wp:effectExtent l="0" t="0" r="0" b="0"/>
                      <wp:wrapNone/>
                      <wp:docPr id="319" name="Frame319"/>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78435" cy="175260"/>
                      <wp:effectExtent l="0" t="0" r="0" b="0"/>
                      <wp:wrapNone/>
                      <wp:docPr id="321" name="Frame32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74040" cy="175260"/>
                      <wp:effectExtent l="0" t="0" r="0" b="0"/>
                      <wp:wrapNone/>
                      <wp:docPr id="322" name="Frame322"/>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Software development costs</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26" w:type="dxa"/>
            <w:tcBorders/>
            <w:shd w:fill="CCEEFF" w:val="clear"/>
            <w:vAlign w:val="center"/>
          </w:tcPr>
          <w:p>
            <w:pPr>
              <w:pStyle w:val="TableContents"/>
              <w:bidi w:val="0"/>
              <w:spacing w:before="0" w:after="1"/>
              <w:ind w:left="0" w:right="0" w:hanging="0"/>
              <w:jc w:val="left"/>
              <w:rPr/>
            </w:pPr>
            <w:r>
              <w:rPr/>
              <w:t> </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2,082</w:t>
            </w:r>
          </w:p>
        </w:tc>
        <w:tc>
          <w:tcPr>
            <w:tcW w:w="326" w:type="dxa"/>
            <w:tcBorders/>
            <w:shd w:fill="CCEEFF" w:val="clear"/>
            <w:vAlign w:val="center"/>
          </w:tcPr>
          <w:p>
            <w:pPr>
              <w:pStyle w:val="TableContents"/>
              <w:bidi w:val="0"/>
              <w:spacing w:before="0" w:after="1"/>
              <w:ind w:left="0" w:right="0" w:hanging="0"/>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2,082</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1,928</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both"/>
        <w:rPr>
          <w:rFonts w:ascii="Times New Roman;Times;serif" w:hAnsi="Times New Roman;Times;serif"/>
          <w:b/>
          <w:sz w:val="20"/>
        </w:rPr>
      </w:pPr>
      <w:bookmarkStart w:id="1763" w:name="Item2ManagementsDiscussionandAnalysisofF"/>
      <w:bookmarkStart w:id="1764" w:name="_58a86fe2_0082_4ef9_92f5_4842735704e8"/>
      <w:bookmarkEnd w:id="1763"/>
      <w:bookmarkEnd w:id="176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interim consolidated financial statements and notes thereto contained in this Quarterly Report on Form 10-Q and the consolidated financial statements and notes thereto for the year ended December 31, 2024 contained in our 2024 Annual Report on Form 10-K. This discussion contains forward looking statements and involves numerous risks and uncertainties, including, but not limited to, those described in “Risk Factors” in Item 1A of Part I of the 2024 Annual Report on Form 10-K, as updated and/or supplemented in subsequent filings with the SEC, including our Quarterly Report on Form 10-Q for the quarter ended March 31, 2025, our Quarterly Report on Form 10-Q for the quarter ended June 30, 2025 and this Quarterly Report on Form 10-Q. Actual results may differ materially from those contained in any forward-looking statements. Unless the context otherwise requires, references to “we”, “us”, “our”, </w:t>
      </w:r>
      <w:r>
        <w:rPr>
          <w:rFonts w:ascii="Times New Roman;Times;serif" w:hAnsi="Times New Roman;Times;serif"/>
          <w:sz w:val="20"/>
        </w:rPr>
        <w:t>“</w:t>
      </w:r>
      <w:r>
        <w:rPr>
          <w:rFonts w:ascii="Times New Roman;Times;serif" w:hAnsi="Times New Roman;Times;serif"/>
          <w:i/>
          <w:sz w:val="20"/>
        </w:rPr>
        <w:t>TMC” and “the Company” are intended to mean the business and operations of TMC the metals company Inc. and its consolidated subsidiaries. The unaudited condensed consolidated interim financial statements for the three and nine months ended September 30, 2025 and 2024, respectively, present the financial position and results of operations of TMC the metals company Inc.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deep-sea minerals exploration and development company focused on the collection, processing and refining of polymetallic nodules found on the seafloor in international waters of the CCZ, with NORI Area D located approximately1,500 miles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in a single rock.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four metals contained in the polymetallic nodules are critical for energy, defense, manufacturing and infrastructure. Our resource definition work to date shows that nodules in our contract areas represent the world’s largest undeveloped resource of the four critical metals contained in nodules. If we are able to collect polymetallic nodules from the seafloor on a commercial scale, we plan to use such nodules to produce three types of metal products: (i) feedstock for battery cathode precursors (nickel, cobalt and manganese sulfates, or intermediate nickel-copper-cobalt matte or nickel-copper-cobalt alloy) for nickel-rich lithium-ion batteries, (ii) copper cathode for electric wiring, energy transmission and other applications and (iii) feedstock for steel manufacturing (nickel metal for stainless and other specialty steels, manganese silicate for manganese alloy production cobalt metal for high-performance steel alloys).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now in the evaluation stage following the release of S-K 1300 NORI Area D Technical Report on August 4, 2025 where the Company declared mining reserves for a seafloor polymetallic nodule project.  We have not yet obtained an exploitation license, a commercial recovery permit and all other related offshore and onshore permits from the regulators. Additionally, we do not yet hold the environmental or other permits required to construct and operate commercial-scale polymetallic nodule processing and refining facilities on land.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International Seabed Authority (“ISA”), comprised of 170 countries and the European Union, established regulations over deep-sea exploration activities of their nationals, pursuant to the United Nations Convention on the Law of the Sea (“UNCLOS”). The ISA has adopted exploration regulations and issued 19 polymetallic nodule exploration contracts (17 of which located in the CCZ) but has been unable to adopt the final exploitation regulations, standards and guidelines despite initiating work in 2014. Almost 30 countries, including the United States, have not ratified UNCLOS and are not member states of the ISA. To regulate deep-sea mining activities of its citizens in the high seas, the United States adopted the Deep Seabed Hard Mineral Resources Act of 1980, a U.S. domestic statute administered by the U.S. Department of Commerce through the National Oceanic and Atmospheric Administration, or NOAA. NOAA implemented regulations for exploration licenses in 1981 and for commercial recovery permits in 1989.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continue to be focused on advancing our commercial production strategy under the U.S.-based DSHMRA regime. In April 2025, our wholly owned subsidiary, The Metals Company USA, LLC, or TMC USA, submitted two exploration license applications (covering 187,017 square kilometers in the CCZ referred to as TMC USA-A and TMC USA-B) and one commercial recovery permit application (covering 25,160 square kilometers in the CCZ referred to as TMC USA-A_2) to NOAA. These applications are estimated to hold approximately 1.639 billion wet tonnes of measured, indicated and inferred mineral resources. Together, the resources are estimated to contain approximately 15.5 million tonnes of nickel, 12.8 million tonnes of copper, 2.0 million tonnes of cobalt, and 345 million tonnes of manganese.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These applications reflect our belief that DSHMRA provides a viable and robust regulatory path to commercial production, distinct from the ISA regime under UNCLOS, which despite expectations to the contrary, has repeatedly delayed the adoption of the Regulations on the Exploitation of Mineral Resources in the Area. On April 24, 2025, the Executive Order, titled “Unleashing America’s Offshore Critical Minerals and Resources”, was signed, which directs the Commerce Secretary to implement an expedited permitting process under DSHMRA. In addition to directing the International Development Finance Corporation, Export-Import Bank and Trade and Development Agency to identify tools to support this new industry, the Executive Order instructs the Departments of Defense and Energy to assess the use of the National Defense Stockpile for nodule-derived minerals and of entering into offtake agreements for the procurement of these minerals. In addition, these departments are also directed to review and revise domestic processing capabilities for seabed mineral resources.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At the same time as we pursue the U.S. regulatory pathway, we continue to preserve our rights and comply with all our contractual obligations under the ISA system. While the ISA does not have jurisdiction over activities conducted under the regulatory authority of the United States, we maintain two ISA exploration contracts in the CCZ, one held by our subsidiary Nauru Ocean Resources Inc., or NORI, sponsored by the Republic of Nauru (“Nauru”), and one held by Tonga Offshore Mining Limited, or TOML, sponsored by the Kingdom of Tonga (“Tonga”). We are increasingly focused on pursuing commercial production through the U.S. regulatory pathway under DSHMRA, following the April 2025 submission of TMC USA’s exploration license and commercial recovery permit applications to NOAA. We believe that the pursuit of licenses and permits with NOAA under DSHMRA by TMC USA should not adversely affect the ISA exploration contracts held by NORI and TOML.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key strategic partnerships with (i) Allseas, a leading global offshore engineering contractor, which developed and tested a pilot collection system, and is now working to modify it into the first commercial production system, (ii) Pacific Metals Co. Ltd. (“PAMCO”), an experienced Japanese ferronickel producer, which is responsible for pre-feasibility and feasibility studies on nodule processing, (iii) Korea Zinc, a world leader in non-ferrous metal refining and precursor Cathode Active Material technology, partnering to advance development in the U.S. and (iv) Glencore International AG (“Glencore”) which holds offtake rights to 50% of the NORI nickel and copper production if produced from the our subsidiary DeepGreen Engineering Pte Ltd.’s (“DGE”) owned or controlled facility. In addition, we have worked with engineering firm Hatch Ltd. (“Hatch”) and consultants Kingston Process Metallurgy Inc.  (“KPM”) to develop a near-zero solid waste flowsheet. The primary processing stages of the flowsheet from nodule to NiCuCo matte intermediate were demonstrated as part of our pilot plant program at FLSmidth and XPS’ (Glencore subsidiary) facilities. The matte refining stages have been tested at SGS facility in Lakefield Canada with positive results. The near-zero solid waste flowsheet provides a design that is expected to serve as the basis for our onshore processing facilities. We expect this partnership to progress to a definitive tolling agreement in 2025, subject to successful evaluation study outcomes and agreement to mutually acceptable commercial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To reach our objective and initiate commercial production, we are working to: (i) define our resource and project economics, (ii) develop a commercial offshore nodule collection system, (iii) assess the environmental and social impacts of offshore nodule collection, and (iv) develop onshore technology to process collected polymetallic nodules into a manganese silicate product, and an intermediate nickel-copper-cobalt alloy or matte product and/or end-products like nickel and cobalt sulfates, and copper cathode.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Developments in the Third Quarter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are some of the major developments that occurred in the third quarter of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Publication of Technical Reports Prepared under Subpart 1300 of Regulation 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August 4, 2025, the Company announced the publication of two technical economic studies prepared in accordance with Subpart 1300 of Regulation S-K: (i) a </w:t>
      </w:r>
      <w:r>
        <w:rPr>
          <w:rFonts w:ascii="Times New Roman;Times;serif" w:hAnsi="Times New Roman;Times;serif"/>
          <w:color w:val="212529"/>
          <w:sz w:val="20"/>
        </w:rPr>
        <w:t>pre-feasibility study included in the technical report entitled “</w:t>
      </w:r>
      <w:r>
        <w:rPr>
          <w:rFonts w:ascii="Times New Roman;Times;serif" w:hAnsi="Times New Roman;Times;serif"/>
          <w:i/>
          <w:sz w:val="20"/>
        </w:rPr>
        <w:t>S-K 1300 NORI Area D Technical Report</w:t>
      </w:r>
      <w:r>
        <w:rPr>
          <w:rFonts w:ascii="Times New Roman;Times;serif" w:hAnsi="Times New Roman;Times;serif"/>
          <w:sz w:val="20"/>
        </w:rPr>
        <w:t>”, dated August 4, 2025 (the “NORI TRS”)</w:t>
      </w:r>
      <w:r>
        <w:rPr>
          <w:rFonts w:ascii="Times New Roman;Times;serif" w:hAnsi="Times New Roman;Times;serif"/>
          <w:color w:val="212529"/>
          <w:sz w:val="20"/>
        </w:rPr>
        <w:t>, prepared by AMC Consultants Pty Ltd. and other qualified persons, and (ii) an initial assessment included in the technical report entitled “</w:t>
      </w:r>
      <w:r>
        <w:rPr>
          <w:rFonts w:ascii="Times New Roman;Times;serif" w:hAnsi="Times New Roman;Times;serif"/>
          <w:i/>
          <w:sz w:val="20"/>
        </w:rPr>
        <w:t>Technical Report Summary—Initial Assessment of TOML and NORI Properties, Clarion-Clipperton Zone</w:t>
      </w:r>
      <w:r>
        <w:rPr>
          <w:rFonts w:ascii="Times New Roman;Times;serif" w:hAnsi="Times New Roman;Times;serif"/>
          <w:sz w:val="20"/>
        </w:rPr>
        <w:t>”, dated August 4, 2025 (the “NORI AND TOML Initial Assessment”)</w:t>
      </w:r>
      <w:r>
        <w:rPr>
          <w:rFonts w:ascii="Times New Roman;Times;serif" w:hAnsi="Times New Roman;Times;serif"/>
          <w:color w:val="212529"/>
          <w:sz w:val="20"/>
        </w:rPr>
        <w:t>, prepared by AMC Consultants Pty Ltd. and other qualified persons</w:t>
      </w:r>
      <w:r>
        <w:rPr>
          <w:rFonts w:ascii="Times New Roman;Times;serif" w:hAnsi="Times New Roman;Times;serif"/>
          <w:sz w:val="20"/>
        </w:rPr>
        <w:t xml:space="preserve"> relating to its polymetallic nodule projects in the Clarion Clipperton Zone of the Pacific Ocean. The NORI TRS covers NORI Area D for which the Company has applied for an exploration license and a commercial recovery permit under DSHMRA and was filed as Exhibit 96.1 to the Company’s Current Report on Form 8-K filed with the SEC on August 4, 2025 (the “August Form 8-K”).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NORI and TOML Initial Assessment covers the remaining NORI and TOML areas where the Company is applying for an exploration license under DSHMRA and was filed as Exhibit 96.2 to the August 4, 2025 Form 8-K.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TMC and Tonga Announce Updated Sponsorship Agreement for Tonga Offshore Mining Ltd. (TOML)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4, 2025, the Company and the Government of the Kingdom of Tonga jointly announced the signing of a revised Sponsorship Agreement (Agreement), updating the terms of the Agreement signed between the parties in 2021. The Agreement guarantees that the Kingdom of Tonga will continue to receive existing financial benefits, training and capacity building programs and in-country community and social programs it receives today, while ensuring that, in consideration for its continued sponsorship of TOML, the Kingdom of Tonga will receive continuity benefits upon the commencement of commercial production by any subsidiary of TMC, other than TOML, under the U.S. regulatory regime.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NOAA Confirms Full Compliance of TMC USA’s Exploration License Applications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11, 2025, TMC USA received notice of full compliance from NOAA on its exploration applications, and confirmation that TMC USA has priority right over both exploration areas. This notice follows earlier determinations of substantial compliance in May 2025. The Company currently anticipates a potential production start in the fourth quarter of 2027, subject to required regulatory approvals.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Developments Subsequent to September 30,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TMC Pioneers Process to Produce High-Purity Manganese Sulfate from Seafloor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2025, we announced that we had successfully produced battery-grade, high-purity manganese sulfate from our nodule-derived intermediate manganese silicate product during bench scale trials at our partner KPM’s operating facility in Ontario. North America is largely reliant on foreign sources of manganese. As the planet's largest source of manganese, nodules hold significant potential to supply a range of key industries from steelmaking and infrastructure to energy, defense and automotive manufacturing, with automakers increasingly turning toward manganese-rich cathode chemistries for their next-generation electric vehicles.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 of Mining of Deep-Sea Polymetallic Nodules by the United States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Deep Seabed Hard Mineral Resources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Deep Seabed Hard Mineral Resources Act of 1980, or DSHMRA, establishes a domestic legal regime for U.S. citizens to explore for and commercially recover hard mineral resources from the seabed in areas beyond U.S. national jurisdiction. DSHMRA affirms that deep-sea mining is a lawful freedom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NOAA’s implementing regulations detail the criteria and conditions for issuance of deep seabed exploration licenses and commercial recovery permits to U.S. citizens, including any individual, corporation, or other entity organized under the laws of a U.S. state or territory.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life or property at sea. These findings reflect NOAA’s mandate of advancing U.S. commercial interests in seabed minerals while minimizing environmental and diplomatic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NOAA has historically adopted a cautious and science-based regulatory posture under DSHMRA, coordinating with other U.S. federal agencies and supporting environmental studies to inform future decisions. In the 1980s and 1990s, the United States entered into reciprocal recognition arrangements with other nations with similar domestic seabed mining laws, helping avoid overlapping claims prior to the establishment of the ISA. Once the ISA became operational in the 1990s, most reciprocating states transitioned to the UNCLOS/ISA system. The United States, however, remains outside that framework. NOAA is not restricted under DSHMRA from issuing licenses or permits over areas that are also subject to ISA exploration or exploitation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licenses under DSHMRA grant exclusive rights to conduct technical studies in a defined area and are issued for ten-year terms, subject to extension. Commercial recovery permits authorize full-scale extraction for a period of 20 years subject to extension and are subject to enhanced environmental and operational requirements. To date, NOAA has issued exploration licenses over four areas.  Two of these licenses (USA-1 and USA-4) remain active and are currently held by Lockheed Martin. These licenses have been renewed until 2027 in accordance with DSHMRA’s statutory provisions, which require NOAA to grant extensions if the licensee has substantially complied with license terms.  NOAA has not issued any commercial recovery permits under DSHMRA as no U.S. citizen had applied for a commercial recovery permit prior to TMC USA.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TMC’s wholly owned subsidiary, TMC USA, a US-registered company established in 2013, has submitted three applications to NOAA: two for exploration licenses and one for a commercial recovery permit.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TMC USA initiated pre-application consultations with NOAA in the first quarter of 2025 and, following those discussions, submitted its applications in April 2025. On May 28, 2025, NOAA determined that TMC USA’s two exploration license applications were in substantial compliance and confirmed TMC USA has priority of right over both exploration application areas.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27, 2025, TMC USA submitted amended exploration applications with additional information requested by NOAA. NOAA confirmed that both exploration license applications were fully compliant, and it had begun its certification process.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certification process includes an interagency consultation with other U.S. government departments (including the Department of State, the Department of Defense, and the Environmental Protection Agency). Following certification, an Environmental Impact Statement, or EIS, is expected to be prepared under NEPA, and a public comment period will be provided. Following the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 or unforeseen environmental harm.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2025, NOAA issued proposed amendments to its regulations under DSHMRA (15 C.F.R. Parts 970 and 971), published as FR Doc. 2025-12513 (90 Fed. Reg. 29806). The proposed regulation introduces a new consolidated application procedure under § 971.214, allowing applicants to submit a single application for both an exploration license and commercial recovery permit. The revisions also include updated electronic submission requirements, restructured environmental review protocols, revised fee schedules, and clarified procedures for interagency consultation and public disclosure. These changes are intended to modernize and streamline the permitting process under DSHMRA implementing regulations. Public comment period closed on September 5, 2025 and public comments are now under consideration by NOAA.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and its implementing regulations do not include a statutory deadline for application review. However, the Executive Order signed by President Trump on April 24, 2025, directs the Commerce Secretary to implement an expedited permitting process under DSHMRA.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requires that all mining vessels and at least one transport vessel are U.S. flagged. TMC USA will ensure all vessels contracted for commercial recovery comply with relevant laws pertaining to vessel standards and crew safety. DSHMRA also requires that recovered minerals be processed in the United States unless a waiver is granted, in which case the permittee is required to provide assurances that processed materials are returned to the United States. We are currently evaluating U.S.-based vessel and processing options to satisfy this requirement as well as working with Japan and South Korea-based supply chain to ensure processed materials can be returned to the United States in the event the permit to process outside the United States is granted for an initial period. If necessary, we expect to seek a waiver based on the statutory criteria and applicable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become subject to additional U.S. laws and regulations as development progresses and are in the early stages of analyzing their applicability and potential impact on our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Existing ISA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hold exploration rights to certain polymetallic nodule areas in the CCZ through our subsidiaries NORI and TOML, sponsored by the Republic of Nauru and the Kingdom of Tonga,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our wholly-owned subsidiary, holds exploration rights to four blocks (NORI Area A, B, C, and D, the “NORI Contract Area”) covering 74,830 square kilometers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On August 4, 2025 a pre-feasibility study, summarized in the technical report entitled “</w:t>
      </w:r>
      <w:r>
        <w:rPr>
          <w:rFonts w:ascii="Times New Roman;Times;serif" w:hAnsi="Times New Roman;Times;serif"/>
          <w:i/>
          <w:sz w:val="20"/>
        </w:rPr>
        <w:t>S-K 1300 NORI Area D Technical Report</w:t>
      </w:r>
      <w:r>
        <w:rPr>
          <w:rFonts w:ascii="Times New Roman;Times;serif" w:hAnsi="Times New Roman;Times;serif"/>
          <w:sz w:val="20"/>
        </w:rPr>
        <w:t>” (the “NORI TRS”), and a technical report entitled “</w:t>
      </w:r>
      <w:r>
        <w:rPr>
          <w:rFonts w:ascii="Times New Roman;Times;serif" w:hAnsi="Times New Roman;Times;serif"/>
          <w:i/>
          <w:sz w:val="20"/>
        </w:rPr>
        <w:t>Technical Report Summary—Initial Assessment of TOML and NORI Properties, Clarion-Clipperton Zone</w:t>
      </w:r>
      <w:r>
        <w:rPr>
          <w:rFonts w:ascii="Times New Roman;Times;serif" w:hAnsi="Times New Roman;Times;serif"/>
          <w:sz w:val="20"/>
        </w:rPr>
        <w:t>”, dated August 4, 2025 (the “NORI AND TOML Initial Assessment” together with the TRS, the “Technical Reports”) prepared by AMC Consultants Pty Ltd. and other qualified persons, each a “qualified person” as defined in subpart 1300 of Regulation S-K. were released.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TOML, our wholly-owned subsidiary which we acquired in March 2020, holds exploration rights to an area covering 74,713 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August 4, 2025. On August 4, 2025 the technical report entitled “</w:t>
      </w:r>
      <w:r>
        <w:rPr>
          <w:rFonts w:ascii="Times New Roman;Times;serif" w:hAnsi="Times New Roman;Times;serif"/>
          <w:i/>
          <w:sz w:val="20"/>
        </w:rPr>
        <w:t>Technical Report Summary—Initial Assessment of TOML and NORI Properties, Clarion-Clipperton Zone</w:t>
      </w:r>
      <w:r>
        <w:rPr>
          <w:rFonts w:ascii="Times New Roman;Times;serif" w:hAnsi="Times New Roman;Times;serif"/>
          <w:sz w:val="20"/>
        </w:rPr>
        <w:t>”, dated August 4, 2025 (the “NORI AND TOML Initial Assessment” together with the TRS, the “Technical Reports”), prepared by AMC Consultants Pty Ltd. and other qualified persons, each a “qualified person” as defined in subpart 1300 of Regulation S-K was released.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Trends, Opportunities and Uncertainties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currently a pre-revenue company, and we do not anticipate earning revenues (other than potential service revenue) until one of our wholly-owned subsidiaries receives an exploitation contract or commercial recovery permit and we are able to successfully collect and process polymetallic nodules into saleable products on a commercial scale. We believe that our performance and future success pose risks and challenges, including those related to the approval of an application for a commercial recovery permit, development of environmental terms, conditions and restrictions associated with our application and development of our technologies to collect and process polymetallic nodules. The timing of NOAA’s review and decision on our exploration license and commercial recovery permit applications under DSHMRA remains uncertain and is outside the Company’s control. Actual timelines for certification, environmental review, and potential issuance of licenses or permits may differ materially from management’s expectations. These risks, as well as other risks, are discussed in the section entitled “</w:t>
      </w:r>
      <w:r>
        <w:rPr>
          <w:rFonts w:ascii="Times New Roman;Times;serif" w:hAnsi="Times New Roman;Times;serif"/>
          <w:i/>
          <w:sz w:val="20"/>
        </w:rPr>
        <w:t>Risk Factors</w:t>
      </w:r>
      <w:r>
        <w:rPr>
          <w:rFonts w:ascii="Times New Roman;Times;serif" w:hAnsi="Times New Roman;Times;serif"/>
          <w:sz w:val="20"/>
        </w:rPr>
        <w:t>” in Item 1A of Part I of the 2024 Annual Report on Form 10-K, as further updated and/or supplemented in subsequent filings with the SEC.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exploration and development company with no revenue to date and a net loss after tax of $184.5 million and $279.4 million for three and nine months ended September 30, 2025, respectively, compared to a net loss of $20.5 million and $65.9 million in the same periods of 2024, respectively. We have an accumulated deficit of approximately $910.9 million from inception through September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generated any revenue. We expect to generate revenue once we receive a commercial recovery permit, and we are able to successfully collect and process polymetallic nodules into saleable products on a commercial scale. Any revenue from initial production is difficult to predict.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expense all costs relating to exploration and development of mineral claims. Such exploration and development costs include, but are not limited to, regulatory approvals, exploration mineral title management, geological, geochemical and geophysical studies, environmental baseline studies and process development activities. Our exploration expenses are impacted by the amount of exploration work conducted during each period. The acquisition cost of polymetallic nodule mineral title will be charged to operations as amortization expense on a unit-of-production method based on proven and probable reserves should commercial production commence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costs from the issuance of stock options and restricted share units (“RSUs”) are measured at the grant date based on the fair value of the award and are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Nauru and Tonga Warrant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Nauru and Tonga Warrant costs represent the fair value of the warrants issued as part of the revised sponsorship agreement with the Government of the Republic of Nauru signed on May 29, 2025 and the revised sponsorship agreement with the Tonga Seabed Minerals Authority signed on August 4, 2025.  As the warrants did not contain complex features, the fair value was calculated using a Black-Scholes valuation model.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earned on our cash and cash equivalents.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Fees and interest on borrowings and credit facilities represent interest charged on the Company’s short-term debt and interest and underutilization fees associated with the Company’s credit facilities.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Foreign Exchange Gain/Loss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foreign exchange gain or loss for the periods reported primarily relates to unrealized gain or loss due to revaluation of foreign denominated accounts payable and accrued liabilities.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warrants liability primarily consists of the change in the fair value of our 9,500,000 Private Warrants, which is re-measured at the end of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discussion of our results of operations for the three and nine months ended September 30, 2025 and 2024. Our accounting policies are described in Note 3 “Significant Accounting Policies” in our financial statements filed as part of the 2024 Annual Report on Form 10-K.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Three and Nine Months Ended September 30, 2025 and 2024</w:t>
      </w:r>
    </w:p>
    <w:tbl>
      <w:tblPr>
        <w:tblW w:w="10205" w:type="dxa"/>
        <w:jc w:val="left"/>
        <w:tblInd w:w="0" w:type="dxa"/>
        <w:tblLayout w:type="fixed"/>
        <w:tblCellMar>
          <w:top w:w="0" w:type="dxa"/>
          <w:left w:w="0" w:type="dxa"/>
          <w:bottom w:w="0" w:type="dxa"/>
          <w:right w:w="0" w:type="dxa"/>
        </w:tblCellMar>
      </w:tblPr>
      <w:tblGrid>
        <w:gridCol w:w="2801"/>
        <w:gridCol w:w="326"/>
        <w:gridCol w:w="196"/>
        <w:gridCol w:w="691"/>
        <w:gridCol w:w="326"/>
        <w:gridCol w:w="196"/>
        <w:gridCol w:w="619"/>
        <w:gridCol w:w="326"/>
        <w:gridCol w:w="871"/>
        <w:gridCol w:w="326"/>
        <w:gridCol w:w="196"/>
        <w:gridCol w:w="691"/>
        <w:gridCol w:w="326"/>
        <w:gridCol w:w="196"/>
        <w:gridCol w:w="619"/>
        <w:gridCol w:w="326"/>
        <w:gridCol w:w="871"/>
        <w:gridCol w:w="302"/>
      </w:tblGrid>
      <w:tr>
        <w:trPr/>
        <w:tc>
          <w:tcPr>
            <w:tcW w:w="2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778635" cy="175260"/>
                      <wp:effectExtent l="0" t="0" r="0" b="0"/>
                      <wp:wrapNone/>
                      <wp:docPr id="323" name="Frame323"/>
                      <a:graphic xmlns:a="http://schemas.openxmlformats.org/drawingml/2006/main">
                        <a:graphicData uri="http://schemas.microsoft.com/office/word/2010/wordprocessingShape">
                          <wps:wsp>
                            <wps:cNvSpPr txBox="1"/>
                            <wps:spPr>
                              <a:xfrm>
                                <a:off x="0" y="0"/>
                                <a:ext cx="177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24460" cy="175260"/>
                      <wp:effectExtent l="0" t="0" r="0" b="0"/>
                      <wp:wrapNone/>
                      <wp:docPr id="325" name="Frame3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38785" cy="175260"/>
                      <wp:effectExtent l="0" t="0" r="0" b="0"/>
                      <wp:wrapNone/>
                      <wp:docPr id="326" name="Frame3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24460" cy="175260"/>
                      <wp:effectExtent l="0" t="0" r="0" b="0"/>
                      <wp:wrapNone/>
                      <wp:docPr id="328" name="Frame3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93065" cy="175260"/>
                      <wp:effectExtent l="0" t="0" r="0" b="0"/>
                      <wp:wrapNone/>
                      <wp:docPr id="329" name="Frame329"/>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53085" cy="175260"/>
                      <wp:effectExtent l="0" t="0" r="0" b="0"/>
                      <wp:wrapNone/>
                      <wp:docPr id="331" name="Frame33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4460" cy="175260"/>
                      <wp:effectExtent l="0" t="0" r="0" b="0"/>
                      <wp:wrapNone/>
                      <wp:docPr id="333" name="Frame3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38785" cy="175260"/>
                      <wp:effectExtent l="0" t="0" r="0" b="0"/>
                      <wp:wrapNone/>
                      <wp:docPr id="334" name="Frame3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4460" cy="175260"/>
                      <wp:effectExtent l="0" t="0" r="0" b="0"/>
                      <wp:wrapNone/>
                      <wp:docPr id="336" name="Frame3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93065" cy="175260"/>
                      <wp:effectExtent l="0" t="0" r="0" b="0"/>
                      <wp:wrapNone/>
                      <wp:docPr id="337" name="Frame337"/>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53085" cy="175260"/>
                      <wp:effectExtent l="0" t="0" r="0" b="0"/>
                      <wp:wrapNone/>
                      <wp:docPr id="339" name="Frame33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91770" cy="175260"/>
                      <wp:effectExtent l="0" t="0" r="0" b="0"/>
                      <wp:wrapNone/>
                      <wp:docPr id="340" name="Frame340"/>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22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0"/>
              <w:ind w:left="0" w:right="0" w:hanging="0"/>
              <w:jc w:val="center"/>
              <w:rPr/>
            </w:pPr>
            <w:r>
              <w:rPr/>
              <w:t>​</w:t>
            </w:r>
          </w:p>
        </w:tc>
        <w:tc>
          <w:tcPr>
            <w:tcW w:w="322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w:t>
            </w:r>
          </w:p>
        </w:tc>
        <w:tc>
          <w:tcPr>
            <w:tcW w:w="302" w:type="dxa"/>
            <w:tcBorders/>
            <w:vAlign w:val="center"/>
          </w:tcPr>
          <w:p>
            <w:pPr>
              <w:pStyle w:val="TableContents"/>
              <w:bidi w:val="0"/>
              <w:spacing w:before="0" w:after="0"/>
              <w:ind w:left="0" w:right="0" w:hanging="0"/>
              <w:jc w:val="left"/>
              <w:rPr/>
            </w:pPr>
            <w:r>
              <w:rPr/>
              <w:t>​</w:t>
            </w:r>
          </w:p>
        </w:tc>
      </w:tr>
      <w:tr>
        <w:trPr/>
        <w:tc>
          <w:tcPr>
            <w:tcW w:w="2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 except as noted)</w:t>
            </w:r>
          </w:p>
        </w:tc>
        <w:tc>
          <w:tcPr>
            <w:tcW w:w="326" w:type="dxa"/>
            <w:tcBorders/>
            <w:vAlign w:val="center"/>
          </w:tcPr>
          <w:p>
            <w:pPr>
              <w:pStyle w:val="TableContents"/>
              <w:bidi w:val="0"/>
              <w:spacing w:before="0" w:after="0"/>
              <w:ind w:left="0" w:right="0" w:hanging="0"/>
              <w:jc w:val="center"/>
              <w:rPr/>
            </w:pPr>
            <w:r>
              <w:rPr/>
              <w:t>​</w:t>
            </w:r>
          </w:p>
        </w:tc>
        <w:tc>
          <w:tcPr>
            <w:tcW w:w="322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322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02" w:type="dxa"/>
            <w:tcBorders/>
            <w:vAlign w:val="center"/>
          </w:tcPr>
          <w:p>
            <w:pPr>
              <w:pStyle w:val="TableContents"/>
              <w:bidi w:val="0"/>
              <w:spacing w:before="0" w:after="0"/>
              <w:ind w:left="0" w:right="0" w:hanging="0"/>
              <w:jc w:val="left"/>
              <w:rPr/>
            </w:pPr>
            <w:r>
              <w:rPr/>
              <w:t>​</w:t>
            </w:r>
          </w:p>
        </w:tc>
      </w:tr>
      <w:tr>
        <w:trPr/>
        <w:tc>
          <w:tcPr>
            <w:tcW w:w="28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Change</w:t>
            </w:r>
          </w:p>
        </w:tc>
        <w:tc>
          <w:tcPr>
            <w:tcW w:w="302" w:type="dxa"/>
            <w:tcBorders/>
            <w:vAlign w:val="center"/>
          </w:tcPr>
          <w:p>
            <w:pPr>
              <w:pStyle w:val="TableContents"/>
              <w:bidi w:val="0"/>
              <w:spacing w:before="0" w:after="0"/>
              <w:ind w:left="0" w:right="0" w:hanging="0"/>
              <w:jc w:val="left"/>
              <w:rPr/>
            </w:pPr>
            <w:r>
              <w:rPr/>
              <w:t>​</w:t>
            </w:r>
          </w:p>
        </w:tc>
      </w:tr>
      <w:tr>
        <w:trPr/>
        <w:tc>
          <w:tcPr>
            <w:tcW w:w="2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Exploration and evaluation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11,813</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29,644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42,339</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8,149</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65,705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22,600</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Nauru and Tonga Warrant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38,056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Equity-accounted investment loss (income)</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dilution of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royalty liability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131,000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131,000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warrants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12,818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1,262</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exchange loss</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946</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19,029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1,104</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Fees and interest on borrowings and credit facilities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2,535</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for the period, before tax</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184,394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279,323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65,882</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Three Months ended September 30, 2025 compared to Three Months ended September 30,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reported a net loss before tax of approximately $184.4 million in the third quarter of 2025, compared to a net loss of $20.5 million in the same period of 2024.  The following explains the major reasons for the increase in the net loss in the third quarter of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quarter, results were primarily affected by non-cash and non-recurring items, including share-based compensation impacted by one-time grants, fair-value changes in the royalty and warrant liabilities, and the recognition of warrant costs associated with updated sponsorship agreements.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and evaluation expenses for the three months ended September 30, 2025 were $9.6 million, compared to $11.8 million for the same period in 2024. The decrease of $2.2 million is primarily due to a decrease in mining, technological and process development activities of $2.3 million compared to the same quarter of 2024, decrease of $0.7 million in environmental studies cost as campaign 8 was completed in 2024, partially offset by an increase in share-based compensation of $1 million due to the amortization of grants made in the third quarter of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G&amp;A expenses for the three months ended September 30, 2025 were $45.7 million compared to $8.1 million for the same period in 2024. The increase of $37.6 million in G&amp;A expenses was mainly the result of an increase in share-based compensation of $35 million from the amortization of the fair value of retention grants and RSUs and options granted to directors and consultants in the third quarter of 2025 (a non-cash item), an increase of $2 million in professional and consulting fees mainly relating to the Company pursuing the U.S. regulatory route and financing activities, an increase of consulting fees as the Company became a large accelerated filer in the third quarter of 2025 and an increase in the legal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Tonga Warrant costs</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As part of the signing of a revised Sponsorship Agreement with the Tonga Seabed Minerals Authority (the “State”) on August 4, 2025, we issued 1,000,000 warrants to the State to purchase common shares of the Company.  The fair value of the Tonga Warrants, calculated using a Black-Scholes valuation model, valued each warrant at $5 for a total value of $5 million. For further details on this non-recurring item, refer to Note 13 in the Company’s third quarter 2025 interim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Gain on Dilution of Investment</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During the three months ended September 30, 2025, Low Carbon Royalties issued 2,139,770 common shares through a private placement, raising $10.7 million of gross proceeds.  The Company did not participate in the offering, which reduced its ownership interest from 32.27% to 30.73% (December 31, 2024: 32%). As the shares were issued at a price higher than the Low Carbon Royalties book value per share, the Company recorded a dilution gain of $3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Royalty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royalty liability as at September 30, 2025 was valued using a market approach for NORI Areas A to C (valued at $15 million), while for Area D an income approach was used following the Company’s filing of its Pre-Feasibility Study (PFS) on its NORI Area D project in August 2025 (valued at $130 million). The resulting royalty liability fair value of NORI Areas A to D totaled $145 million, an increase of $131 million in the third quarter of 2025 (refer to Note 7 in the Company’s third quarter 2025 interim financial statements in Item 1 for further details on this non-operating, non-cash increase).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9,500,000 Private Warrants liability at September 30, 2025 of $13.7 million, represents a decrease of $3.9 million in the third quarter 2025, results from the decrease in the price of the Company’s shares and the price of our public warrants over this same period (-3% and -29% respectively).  Refer to Note 13 in the Company’s third quarter 2025 interim financial statements for further details on this non-operating, non-cash increase.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During the third quarter of 2025, underutilization fees on the Company’s credit facilities was $0.7 million, while interest on drawn amounts on the same facilities was $nil ($0.5 and $0.1 million over the same period in 2024, respectively).</w:t>
      </w:r>
    </w:p>
    <w:p>
      <w:pPr>
        <w:pStyle w:val="TextBody"/>
        <w:bidi w:val="0"/>
        <w:spacing w:before="0" w:after="240"/>
        <w:ind w:left="0" w:right="0" w:hanging="0"/>
        <w:jc w:val="both"/>
        <w:rPr>
          <w:rFonts w:ascii="Times New Roman;Times;serif" w:hAnsi="Times New Roman;Times;serif"/>
          <w:b/>
          <w:i/>
          <w:sz w:val="22"/>
        </w:rPr>
      </w:pPr>
      <w:r>
        <w:rPr>
          <w:rFonts w:ascii="Times New Roman;Times;serif" w:hAnsi="Times New Roman;Times;serif"/>
          <w:b/>
          <w:i/>
          <w:sz w:val="22"/>
        </w:rPr>
        <w:t>Nine Months ended September 30, 2025 compared to Nine Months ended September 30, 2024</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We reported a net loss before tax of $279.3 million in the first nine months of 2025, compared to a net loss of $65.9 million in the same period of 2024.  The following explains the major reasons for the increase in the net loss in the first nine months of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and evaluation expenses for the nine months ended September 30, 2025 were $29.6 million, compared to $42.3 million for the same period in 2024. The decrease of $12.7 million was primarily due to a decrease of $13 million  in mining, technological and process development cost due to costs incurred in 2024 for  Campaign 8 resource definition work, Allseas vessel transit cost and transportation of nodules to PAMCO’s facility in Japan, a decrease of $1 million incurred on  environmental studies due to Campaign 8 which was completed in the first quarter of 2024, decrease in ISA permitting application cost in 2025, partially offset by  an increase in share-based compensation of $2.2 million on the amortization of the fair value of grants made in the third quarter of 2025 and RSUs and options granted to officers in the first quarter of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G&amp;A expenses for the nine months ended September 30, 2025 were $65.7 million, compared to $22.6 million for the same period in 2024.  The increase of $43.1 million in G&amp;A expenses in the first nine months of 2025 was mainly the result of an increase in share-based compensation of $38 million due to the amortization of the fair value of retention grants, RSUs and options granted to directors and consultants in the third quarter of 2025, an increase of $4.8 million in professional and consulting fees mainly related to the Company pursuing the U.S. regulatory route, and higher costs incurred on legal, financing and advisory activities.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Nauru and Tonga Warrant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signing of a revised Sponsorship Agreement with the Government of the Republic of Nauru on May 29, 2025, we issued 9,146,268 warrants to the Republic to purchase common shares of the Company.  The fair value of the Nauru Warrants, calculated using a Black-Scholes valuation model, valued each warrant at $3.62 for a total value of $33.1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signing of a revised Sponsorship Agreement with the Tonga Seabed Minerals Authority (the “State”) on August 4, 2025, we issued 1,000,000 warrants to the State to purchase common shares of the Company.  The fair value of the Tonga Warrants, calculated using a Black-Scholes valuation model, valued each warrant at $5 for a total value of $5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details on this non-recurring item, refer to Note 13 in the Company’s third quarter 2025 interim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Gain on Dilution of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nine months ended September 30, 2025, Low Carbon Royalties issued 2,139,770 common shares through a private placement, raising $10.7 million of gross proceeds.  The Company did not participate in the offering, which reduced its ownership interest from 32.27% to 30.73% (December 31, 2024: 32%). As the shares were issued at a price higher than the Low Carbon Royalties book value per share, the Company recorded a dilution gain of $3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Royalty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royalty liability as at September 30, 2025 was valued using a market approach for NORI Areas A to C, while for Area D an income approach was used following the Company’s filing of its Pre-Feasibility Study (PFS) on its NORI Area D project in August 2025. The resulting royalty liability fair value of NORI Areas A to D totaled $145 million, an increase of $131 million in the first nine months of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increase in the fair value of the 9,500,000 Private Warrants liability in the first nine months of 2025 of $12.8 million, results from the significant increase in the price of the Company’s shares and the price of our public warrants, mainly over the second quarter of 2025.  Refer to Note 13 in the Company’s third quarter 2025 interim financial statements for further details on this non-operating, non-cash increase.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nine months ended September 2025, underutilization fees on the Company’s credit facilities were $2.1 million, while interest on drawn amounts on the same facilities was $0.4 million (2024: $1.2 million as underutilization fees, $0.1 million as interest on credit facilities and $0.1 million as interest on short term debt).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Overall Summary of Quarterly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quarter, results were primarily affected by non-cash and non-recurring items, as explained above. Following the completion of recent financings, the Company’s cash position has been strengthened, and management believes available liquidity is sufficient to support near-term operating and permitting activities for at least the next twelve months. There were no material changes to the Company’s previously disclosed risk factors. Management remains focused on maintaining strong internal controls and continuing remediation efforts identified through ongoing SOX readiness work.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sources of financing have come from private placements and public offerings of Common Shares and warrants, the issuance of convertible debentures and from credit facilities. As of September 30, 2025, we had cash on hand of $115.6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our current cash balance,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 commercial recovery permit contract for the TMC USA-A area, and by negotiating the settlement of program expenditures with our equity whenever possible.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yet to generate any revenue from our business operations. We are an exploration and development company and the recovery of our investment in mineral exploration contracts and attainment of profitable operations is dependent upon many factors including, among other things, the development of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US exploration licenses and a commercial recovery permit and ISA exploitation contracts or provisional approvals. While we have obtained financing in the past, there is no assurance that such financing will continue to be available on favorable terms, in sufficient amounts,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incur significant expenses and operating losses for the foreseeable future, as we advance our application to NOAA for exploration licenses and a commercial recovery permit and preparation for potential commercialization.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16, 2022, we filed a registration statement on Form S-3 with the SEC, which the SEC declared effective on October 14, 2022, to sell up to $100 million of securities. In addition, on November 30, 2023, we filed an additional registration statement on Form S-3 with the SEC, which the SEC declared effective on December 8, 2023, to sell up to an additional $100 million of securities. Securities that may be sold under the registration statements include common shares, preferred shares, debt securities, warrants and units. Any such offering, if it does occur, may happen in one or more transactions. Specific terms of any securities to be sold under these registration statements will be described in supplemental filings with the SEC. As previously disclosed, the capacity under these registration statements is used as part of our capital raising strategy and we plan to file a new registration statement for the issuance of additional securities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On December 21, 2023, we amended the Sales Agreement to remove Stifel as a sales agent. The offer and sales of the shares are made under our effective “shelf” registration statement on Form S-3 filed with the SEC on September 16, 2022, which the SEC declared effective on October 14, 2022. In 2024 we sold 3,251,590 Common Shares for gross proceeds of $4.9 million under this offering. In the three and nine months ended September 30, 2025, we issued nil and 7,542,996 Common Shares. During the nine months ended September 30, 2025, the Common Shares were issued at an average share price of $2.02, for net proceeds of $14.8 million. The Sales Agreement expired in October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2023, we entered into the 2023 Credit Facility with Argentum Cedit Virtuti GCV, the parent of Allseas Investments S.A. and an affiliate of Allseas, which was amended on July 31, 2023 and March 22, 2024, pursuant to which, we were able to borrow from the Lender up to $25 million in the aggregate, from time to time, subject to certain conditions. All amounts drawn under the 2023 Credit Facility bore interest at the 6-month SOFR, 180-day average plus 4.0% per annum payable in cash semi-annually (or plus 5% if paid-in-kind at maturity, at our election) on the first business day of each of June and January. We agreed to pay an underutilization fee equal to 4.0% per annum payable semi-annually for any amounts that remain undrawn under the 2023 Credit Facility. We had the right to pre-pay the entire amount outstanding under the 2023 Credit Facility at any time, before the 2023 Credit Facility’s stated maturity of August 31, 2025. The 2023 Credit Facility also contained customary events of default. No amounts had been drawn under the 2023 Credit Facility. Pursuant to the Letter Agreement we entered into on March 24, 2025, we and Argentum Cedit Virtuti GCV agreed to cancel the 2023 Credit Facility with no outstanding amounts remaining, other than our obligation to pay the underutilization fee thereunder.</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August 14, 2023, we entered into a securities purchase agreement for a Registered Direct Offering of our Common Shares and Class A Warrants (the “2023 Offering”). The purchase price for each Common Share and Class A Warrant to purchase 0.5 Common Shares was $2.00 per unit. The exercise price to purchase one Common Share under the Class A Warrants is $3.00, subject to adjustment as provided in the warrant agreement. No investor elected to exercise its right to purchase additional Common Shares and accompanying Class A Warrants on or before September 15, 2023 under the terms of the securities purchase agreement. As of December 31, 2023, we had received gross proceeds of $15.9 million (approximately $14.6 million net of transaction fees) in the Registered Direct Offering. We received the remaining $9 million of gross proceeds on January 31, 2024, from an investor affiliated with us. As a result of the 2024 Purchase Agreement (as described below), the exercise price of the Class A Warrants was reset to $2.00 as the down round feature of the Class A Warrants agreement was triggered.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On March 22, 2024, we entered into the 2024 Credit Facility with Gerard Barron, our Chief Executive Officer and Chairman, and ERAS Capital LLC, the family fund of our director, Andrei Karkar, pursuant to which, we may borrow from the 2024 Lenders up to $20 million in the aggregate ($10 million from each of the 2024 Lenders), from time to time,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to increase the borrowing limit to $25 million in the aggregate ($12.5 million from each of the 2024 Lenders). Under the terms of the First Amendment, the borrowing limit was due to return to the initial $20 million in the aggregate ($10 million from each of the 2024 Lenders) upon certain financing events. On November 14, 2024, we entered into the Second Amendment to the 2024 Credit Facility with ERAS Capital LLC and Gerard Barron, to increase the borrowing limit to $38 million in the aggregate ($19 million from each of the 2024 Lenders) and to extend the maturity of the 2024 Credit Facility to December 31, 2025. As per the Second Amendment, the rate of underutilization fee was retroactively increased from 4% to 6.5% on any undrawn amounts under the 2024 Credit Facility. On January 30, 2025, we repaid $1.8 million from the drawn amount, leaving a balance of $2.5 million drawn under the 2024 Credit Facility, as of the date of this Quarterly Report. With the January 2025 repayment, the borrowing limit on the 2024 Credit Facility was reduced to $36.2 million ($17.2 million from Gerard Barron and $19 million from ERAS Capital LLC).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May 27, 2024, we entered into a short-term loan agreement with the Lender (Argentum Cedit Virtuti GCV), an affiliate of Allseas. In accordance with the agreement, the Lender provided a short-term loan amounting to $2 million (the “Loan”) on May 30, 2024. The Loan takes priority over the 2024 Credit Facility. The Loan matured on September 10, 2024 (maturity date) and accrued interest at a rate of 8% per annum. On the maturity date, the Company repaid the entire Loan amounting to $2 million and the accrued interest amounting to $46 thousand.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the Letter Agreement with Allseas Investments and Argentum Cedit Virtuti GCV, pursuant to which the repayment date under the Working Capital Loan Agreement was extended to September 30, 2025. In the second quarter ended June 30, 2025, the entire Working Capital Loan amount along with the interest payable was repaid and the facility was cancelled.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14, 2024, we entered into a securities purchase agreement (the “2024 Purchase Agreement”) with certain new and existing institutional investors for the sale of an aggregate of 17,500,000 common shares (the “Shares”) and accompanying Class B warrants (the “Class B Warrants”), in a registered direct offering. The offering price was $1.00 per Share, with each Share including an accompanying Class B Warrant to purchase 0.5 common shares. The Class B Warrants are exercisable immediately upon issuance at a price of $2.00 per share and expire five years from issuance. On November 26, 2024, we entered into the First Amendment to the 2024 Purchase Agreement, pursuant to which we agreed to sell and issue an additional 2,400,000 common shares and accompanying Class B Warrants to purchase 1,200,000 common shares to new investors on the same terms and conditions as initially offered. Including the First Amendment to the 2024 Purchase Agreement, we agreed to sell and issue in aggregate 19,900,000 common shares and Class B Warrants to purchase 9,950,000 common shares. Pursuant to the 2024 Purchase Agreement, we agreed not to issue any Common Shares or Common Share equivalents with an effective price of less than $1.00 per share until May 18, 2025. As at December 31, 2024, we received gross proceeds of $14.9 million (net proceeds of $14.2 million, after offering expenses), with the final $5 million of gross proceeds received on February 6,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2025, we entered into a securities purchase agreement (the “2025 Purchase Agreement”) with certain new and existing investors, including an existing strategic investor, for the sale of an aggregate of 12,333,333 common shares and accompanying Class C Warrants, in a registered direct offering, for gross proceeds of $37 million, of which $30 million was received by the end of June 2025 and $7 million was received in early July 2025. The offering price was $3.00 per Share, with each Share including an accompanying Class C Warrant to purchase one common share. The Class C Warrants are exercisable immediately upon issuance at a price of $4.50 per share and expire three years from issuance.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16, 2025, we entered into a Securities Purchase Agreement with Korea Zinc Company, Ltd. (“Korea Zinc”), pursuant to which in consideration of gross cash receipt of $85.2 million, we agreed to issue and sell to Korea Zinc 19,623,376 of our common shares and accompanying warrants to purchase an aggregate of 6,868,181 common shares. The purchase price per share and accompanying warrant was set at $4.34. The Korea Zinc Warrant are exercisable at an exercise price of $7 per share with an expiration date of June 25, 2028. Pursuant to this Securities Purchase Agreement, subject to certain exceptions, Korea Zinc will have a right to participate in any public offering or private placement of any of our common shares or common share equivalents primarily for capital raising purposes (each a “Proposed Offering”) up to such amount of securities to maintain its percentage ownership at the time of such Proposed Offering. Such right to participate in future financings will expire upon the earlier to occur of (i) June 16, 2030, (ii) the date on which Korea Zinc owns less than all of the common shares it purchased and subscribed pursuant to this Securities Purchase Agreement and (iii) immediately after a closing of a Proposed Offering where Korea Zinc does not exercise its participation right in full. The funds raised under this Securities Purchase Agreement are to be used for general corporate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may receive up to approximately $445 million in aggregate gross proceeds from cash exercises of the Public Warrants, the Private Warrants, the Class A Warrants and the Class B Warrants, Class C Warrants, and Warrants issued to Korea Zinc and Republic of Nauru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The warrants issued to the Republic of Nauru can only be exercised after the commercial recovery permit is received and commercial production commences and there can be no assurance that the exercise conditions will be met prior to their expiration.  In addition, the exercise price to purchase one Common Share under the outstanding Class A Warrants and Class B Warrants is $2.00 each, Class C Warrants is $4.5, warrants issued to Korea Zinc is $7 and warrants issued to Republic of Nauru is $4.72 (subject to customary adjustments) and there can be no assurance that such warrants will be exercised prior to their expiration, and as such, such warrants may expire, and we will not receive any proceeds from the exercise thereof.</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Summary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Presented below is a summary of our operating, investing and financing cash flows:</w:t>
      </w:r>
    </w:p>
    <w:tbl>
      <w:tblPr>
        <w:tblW w:w="9323" w:type="dxa"/>
        <w:jc w:val="left"/>
        <w:tblInd w:w="0" w:type="dxa"/>
        <w:tblLayout w:type="fixed"/>
        <w:tblCellMar>
          <w:top w:w="0" w:type="dxa"/>
          <w:left w:w="0" w:type="dxa"/>
          <w:bottom w:w="0" w:type="dxa"/>
          <w:right w:w="0" w:type="dxa"/>
        </w:tblCellMar>
      </w:tblPr>
      <w:tblGrid>
        <w:gridCol w:w="4051"/>
        <w:gridCol w:w="326"/>
        <w:gridCol w:w="211"/>
        <w:gridCol w:w="796"/>
        <w:gridCol w:w="326"/>
        <w:gridCol w:w="211"/>
        <w:gridCol w:w="691"/>
        <w:gridCol w:w="326"/>
        <w:gridCol w:w="211"/>
        <w:gridCol w:w="796"/>
        <w:gridCol w:w="326"/>
        <w:gridCol w:w="211"/>
        <w:gridCol w:w="84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572385" cy="175260"/>
                      <wp:effectExtent l="0" t="0" r="0" b="0"/>
                      <wp:wrapNone/>
                      <wp:docPr id="341" name="Frame341"/>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05460" cy="175260"/>
                      <wp:effectExtent l="0" t="0" r="0" b="0"/>
                      <wp:wrapNone/>
                      <wp:docPr id="344" name="Frame3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38785" cy="175260"/>
                      <wp:effectExtent l="0" t="0" r="0" b="0"/>
                      <wp:wrapNone/>
                      <wp:docPr id="347" name="Frame3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05460" cy="175260"/>
                      <wp:effectExtent l="0" t="0" r="0" b="0"/>
                      <wp:wrapNone/>
                      <wp:docPr id="350" name="Frame3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34035" cy="175260"/>
                      <wp:effectExtent l="0" t="0" r="0" b="0"/>
                      <wp:wrapNone/>
                      <wp:docPr id="353" name="Frame35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0"/>
              <w:ind w:left="0" w:right="0" w:hanging="0"/>
              <w:jc w:val="center"/>
              <w:rPr/>
            </w:pPr>
            <w:r>
              <w:rPr/>
              <w:t> </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w:t>
            </w:r>
          </w:p>
        </w:tc>
      </w:tr>
      <w:tr>
        <w:trPr/>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    </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    </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generated (used in) investing activities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23,386</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Increase (Decrease) in cash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(6,829)</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2"/>
        </w:rPr>
      </w:pPr>
      <w:r>
        <w:rPr>
          <w:rFonts w:ascii="Times New Roman;Times;serif" w:hAnsi="Times New Roman;Times;serif"/>
          <w:b/>
          <w:i/>
          <w:sz w:val="22"/>
        </w:rPr>
        <w:t>Nine Months ended September 30, 2025 compared to Nine Months ended September 30,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nine months ended September 30, 2025, major operating activities over this period included advanced work on pre-feasibility studies and work to advance our permit applications, resulting in net cash used in operating activities of $31.5 million.  This consisted of $8.3 million on payroll costs, $7.6 million on various environmental work, $3.8 million on legal and consulting fees, $3.1 million on stakeholder engagement, $3.0 million on interest and underutilization fees paid on the 2024 credit facilities and working capital loan, $2.6 million on business development, investor relations and communications, $1 million on mining technological and process development and $2.1 million for various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nine months ended September 30, 2024, major operating activities over this period involved Campaign 8, as well as advanced work on engineering and pre-feasibility studies as we advance towards our application to the ISA for a NORI exploitation contract and prepare for potential future commercial production. Net cash used in operating activities in the first nine months of 2024, amounted to $29.7 million, and consisted mainly of $13.0 million on various environmental work, $6.1 million on personnel costs, $3.9 million on legal, advisory and consulting, $1.9 million for sponsorship, training and stakeholder engagement support, $1.7 million spent on engineering and pre-feasibility studies, $1.5 million on communication and business development expenses, and additional payments of $1.6 million for various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generated by investing activities for the nine months ended September 30, 2025 was $0.2 million which included proceeds from the return of capital from Low Carbon Royalties offset by the purchase of equipment and software development. In the comparative period of 2024, $0.5 million was spent on acquisition of equipment and software development.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provided by 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nine months ended September 30, 2025 was $143.5 million, which comprised of net cash proceeds received from the Korea Zinc investment of $85.2 million, net proceeds from the 2025 Registered Direct Offerings of $36.7 million, the remaining net proceeds from the 2024 Registered Direct Offerings of $4.5 million, proceeds from shares issued from ATM of $14.8 million and proceeds from the exercise of stock options and warrants of $14.0 million.  This increase was partially offset by repayments totaling $11.8 million on our credit facilities and on the Allseas Working Capital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first nine months results of 2024 represent the net proceeds from the 2024 Registered Direct Offerings of $8.9 million, proceeds from shares issued from ATM of $4.9 million, proceeds from the drawdown of our credit facilities and Allseas Debt Agreement of $11.2 million and proceeds from the exercise of stock options of $0.4 million. This increase was partially offset by the repayment on the Allseas Working Capital loan of $2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NORI Exploration Contract with the ISA, NORI submitted a periodic review report to the ISA which included a five-year plan covering 2022 to 2026: NORI is currently implementing its approved five-year plan. The cost of the estimated work plan for 2025 onwards is dependent on NORI’s current five-year plan and any future approved exploration contract extension program of work. Work plans are reviewed annually by us, agreed with the ISA and may be subject to change depending on our progress to date. NORI’s exploration contract expires on July 21, 2026. NORI is required to submit an application for extension no later than six months before the expiration of the contract. NORI intends to submit an application for a five-year extension in early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 TOML intends to submit an application for a five-year extension in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Obligations Relating to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ISA requirements, both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could have a material impact on the operations of such subsidiary and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Sponsorship Agreements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July 5, 2017, Nauru, the Nauru Seabed Minerals Authority and NORI entered into the NORI Sponsorship Agreement formalizing certain obligations of the parties in relation to NORI’s exploration and potential exploitation of the NORI Area. On May 29, 2025, NORI and the Government of Nauru entered into an updated sponsorship agreement that superseded the 2017 agreement and reaffirms the Government of Nauru’s sponsorship of NORI under the ISA regime. Under the revised agreement, the Government of Nauru and NORI agreed to certain updated payment and taxation commitments, including NORI’s commitment to pay corporate income tax within Nauru assuming future NORI operations are ultimately profitable. NORI also committed to maintaining its in-country investments and presence.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8, 2008, Tonga and TOML entered into the TOML Sponsorship Agreement formalizing certain obligations of the parties in relation to TOML’s exploration and potential exploitation of the TOML Area. On September 23, 2021, Tonga updated the TOML Sponsorship Agreement harmonizing the terms of its engagement with TOML with those held by NORI with Nauru. On August 4, 2025, TOML and the Government of Tonga entered into a further updated sponsorship agreement reaffirming the Government of Tonga’s sponsorship of TOML and formalizing certain revised terms of engagement. Under the updated agreement, TOML reaffirmed its commitment to pay corporate income tax within Tonga assuming future operations are ultimately profitable. TOML also committed to maintaining its in-country investments and presence.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Allseas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to be delivered in stepped increments. TMC USA and Allseas intend to equally finance all costs related to developing and getting the first commercial system into production. Once in production, NORI is expected to pay Allseas a nodule collection and transshipment fee. Following the successful completion of the NORI Area D pilot collection system trials in November 2022 and subsequent analysis of pilot data, the parties are reviewing Project Zero Offshore Nodule Collection System production targets, system design and cost estimates and intend to enter into a binding Heads of Terms by the end of 2025. The parties expect to further detail their relationship in three separate definitive agreements for engineering, conversion/build and commercial operations phase, respectively. Subject to the necessary regulatory approvals, Allseas and TMC USA are investigating acquiring a second production vessel similar to the </w:t>
      </w:r>
      <w:r>
        <w:rPr>
          <w:rFonts w:ascii="Times New Roman;Times;serif" w:hAnsi="Times New Roman;Times;serif"/>
          <w:i/>
          <w:sz w:val="20"/>
        </w:rPr>
        <w:t>Hidden Gem</w:t>
      </w:r>
      <w:r>
        <w:rPr>
          <w:rFonts w:ascii="Times New Roman;Times;serif" w:hAnsi="Times New Roman;Times;serif"/>
          <w:sz w:val="20"/>
        </w:rPr>
        <w: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September 30, 2025,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 2023, we entered into an Exclusive Vessel Use Agreement with Allseas pursuant to which Allseas will give us exclusive use of the vessel (“</w:t>
      </w:r>
      <w:r>
        <w:rPr>
          <w:rFonts w:ascii="Times New Roman;Times;serif" w:hAnsi="Times New Roman;Times;serif"/>
          <w:i/>
          <w:sz w:val="20"/>
        </w:rPr>
        <w:t>Hidden Gem</w:t>
      </w:r>
      <w:r>
        <w:rPr>
          <w:rFonts w:ascii="Times New Roman;Times;serif" w:hAnsi="Times New Roman;Times;serif"/>
          <w:sz w:val="20"/>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Offtake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Borrowing with Company Related to Allseas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2023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described above, on March 22, 2023, we entered into the 2023 Credit Facility with Argentum Cedit Virtuti GCV, an affiliate of Allseas, under which we may borrow up to $25 million pursuant to the terms and conditions of the 2023 Credit Facility, as amended, which has a maturity date of August 31, 2025. On August 16, 2024, we entered into the Third Amendment to the 2023 Credit Facility, to increase the borrowing limit of the 2023 Credit Facility to $27.5 million. Under the terms of the Third Amendment, upon closing of the November 2024 Registered Direct Offering discussed above, the borrowing limit returned to $25 million. There was no outstanding balance under the 2023 Credit Facility as at December 31, 2024. Pursuant to the Letter Agreement entered into on March 24, 2025, we agreed to cancel the 2023 Credit Facility with no outstanding amounts remaining, other than our obligation to pay Argentum Cedit Virtuti GCV the underutilization fee thereunder.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2024 Short-Term Loan and Working Capital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27, 2024, we entered into a short-term loan agreement with Argentum Cedit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(the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“Original Repayment Date”). The Working Capital Loan will bear interest based on the 6-month Secured Overnight Financing Rate, 180-day average plus a margin of 4.0% per annum and is payable in two installments on January 2, 2025, and the Original Repayment Date (or plus a margin of 5.0% if all interest payments are deferred to the Original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a Letter Agreement with Allseas Investments and Argentum Cedit Virtuti GCV, pursuant to which the Original Repayment Date under the Working Capital Loan Agreement was extended to September 30, 2025, with principal and interest now repayable on that date. During the second quarter of 2025, we repaid the entire outstanding loan and interest, amounting to $7.5 million and $0.5 million, respectively, and cancelled the Working Capital Loan Agreement.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2024 Credit Facility with ERAS Capital LLC and Gerard Barron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2024, we entered into an Unsecured Credit Facility with Gerard Barron, our Chief Executive Officer and Chairman, and ERAS Capital LLC, the family fund of our director, Andrei Karkar, pursuant to which, we may borrow from the 2024 Lenders up to $20 million in the aggregate ($10 million from each of the 2024 Lenders), from time to time,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with the 2024 Lenders, to increase the borrowing limit of the 2024 Credit Facility to $25 million in the aggregate ($12.5 million from each of the 2024 Lenders). On November 14, 2024, we entered into the Second Amendment to increase the borrowing limit to $38 million in the aggregate ($19 million from each of the 2024 Lenders) to the 2024 Credit Facility with ERAS Capital LLC and Gerard Barron, and to extend the maturity of the 2024 Credit Facility to December 31, 2025. As per the Second Amendment, the rate of underutilization fee was retroactively increased from March 22, 2024 to 6.5% on any undrawn amounts under the 2024 Credit Facility. On March 26, 2025, we entered into the Third Amendment to, among other things, increase the borrowing limit to $44 million in the aggregate ($22 million from each of the 2024 Lenders) and extend the maturity of the 2024 Credit Facility to June 30,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September 30, 2025, the Company incurred $nil as interest expense and $0.7 million as underutilization fees. During the third quarter of 2025, the Company repaid outstanding interest payable amounting to $0.1 million and outstanding underutilization fees amounting to $1.2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not party to any off-balance sheet arrangements.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interim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2024 Annual Report on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Section 2(a) of the Securities Act and have elected to take advantage of the benefits of the extended transition period for new or revised financial accounting standards. For so long as we remain an emerging growth company, we may take advantage of certain exemptions from various reporting requirements and other burdens that are otherwise applicable generally to public companies. We will cease to qualify as an emerging growth company as of December 31, 2025.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Cautionary Statements Regarding the NORI TRS and the NORI and TOML Initial Assessment]</w:t>
      </w:r>
    </w:p>
    <w:p>
      <w:pPr>
        <w:pStyle w:val="TextBody"/>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Except where otherwise stated, the scientific and technical information set forth in this Quarterly Report on Form 10-Q relating to the area our subsidiary TMC-USA has applied for an exploration license and commercial recovery permit under DSHMRA (which includes part of the area under which our subsidiary NORI holds an exploration contract issued by the ISA) (“NORI Area D”) and the area under which our subsidiary TMC-USA has applied for an additional exploration license under DSHMRA (which includes part of the area under which our subsidiary NORI holds an exploration contract issued by the ISA and includes the area under which our subsidiary TOML holds an exploration contract issued by the ISA) (the “NORI and TOML Properties”)) is based on technical reports prepared in accordance with the SEC rules set forth in subpart 1300 of Regulation S-K (the “SEC Mining Rules”).</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both"/>
              <w:rPr>
                <w:rFonts w:ascii="Symbol" w:hAnsi="Symbol"/>
                <w:color w:val="212529"/>
                <w:sz w:val="20"/>
              </w:rPr>
            </w:pPr>
            <w:r>
              <w:rPr>
                <w:rFonts w:ascii="Symbol" w:hAnsi="Symbol"/>
                <w:color w:val="212529"/>
                <w:sz w:val="20"/>
              </w:rPr>
              <w:t>·</w:t>
            </w:r>
          </w:p>
        </w:tc>
        <w:tc>
          <w:tcPr>
            <w:tcW w:w="99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color w:val="212529"/>
                <w:sz w:val="20"/>
              </w:rPr>
              <w:t>In respect of NORI Area D, the pre-feasibility study in the technical report entitled “</w:t>
            </w:r>
            <w:r>
              <w:rPr>
                <w:rFonts w:ascii="Times New Roman;Times;serif" w:hAnsi="Times New Roman;Times;serif"/>
                <w:i/>
                <w:sz w:val="20"/>
              </w:rPr>
              <w:t>S-K 1300 NORI Area D Technical Report</w:t>
            </w:r>
            <w:r>
              <w:rPr>
                <w:rFonts w:ascii="Times New Roman;Times;serif" w:hAnsi="Times New Roman;Times;serif"/>
                <w:sz w:val="20"/>
              </w:rPr>
              <w:t>”, dated August 4, 2025 (the “NORI TRS”)</w:t>
            </w:r>
            <w:r>
              <w:rPr>
                <w:rFonts w:ascii="Times New Roman;Times;serif" w:hAnsi="Times New Roman;Times;serif"/>
                <w:color w:val="212529"/>
                <w:sz w:val="20"/>
              </w:rPr>
              <w:t>, prepared by AMC Consultants Pty Ltd. and other qualified persons, each a “qualified person” as defined in subpart 1300 of Regulation S-K; and</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color w:val="212529"/>
                <w:sz w:val="20"/>
              </w:rPr>
              <w:t>In respect of the NORI and TOML Properties, the technical report entitled “</w:t>
            </w:r>
            <w:r>
              <w:rPr>
                <w:rFonts w:ascii="Times New Roman;Times;serif" w:hAnsi="Times New Roman;Times;serif"/>
                <w:i/>
                <w:sz w:val="20"/>
              </w:rPr>
              <w:t>Technical Report Summary—Initial Assessment of TOML and NORI Properties, Clarion-Clipperton Zone</w:t>
            </w:r>
            <w:r>
              <w:rPr>
                <w:rFonts w:ascii="Times New Roman;Times;serif" w:hAnsi="Times New Roman;Times;serif"/>
                <w:sz w:val="20"/>
              </w:rPr>
              <w:t>”, dated August 4, 2025 (the “NORI AND TOML Initial Assessment” together with the TRS, the “Technical Reports”)</w:t>
            </w:r>
            <w:r>
              <w:rPr>
                <w:rFonts w:ascii="Times New Roman;Times;serif" w:hAnsi="Times New Roman;Times;serif"/>
                <w:color w:val="212529"/>
                <w:sz w:val="20"/>
              </w:rPr>
              <w:t>, prepared by AMC Consultants Pty Ltd. and other qualified persons, each a “qualified person” as defined in subpart 1300 of Regulation S-K.</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pre-feasibility study included in the NORI TRS indicated that the development of NORI Area D is technically and economically viable. The pre-feasibility study, however, does not represent a feasibility study and does not support a development decision, as additional project planning and design are needed to make this decision. In addition, the initial assessment included in the NORI and TOML Initial Assessment Report is a conceptual study of the potential viability of mineral resources in the NORI and TOML Properties. This initial assessment indicates that development of the mineral resource in the NORI and TOML Properties is potentially technically and economically viable; however, due to the preliminary nature of project planning and design, and the untested nature of the specific seafloor production systems at a commercial scale, economic viability has not yet been demonstrated. As a result, we plan to continue to estimate our resources and reserves in NORI Area D and the NORI and TOML Properties and further develop the project economics.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used in this Quarterly Report on Form 10-Q or in the applicable report summary, the terms “pre-feasibility study,” “feasibility study,” “initial assessment,” “mineral reserve,” “probable mineral reserve,” proven mineral reserve,” “mineral resource,” “measured mineral resource,” “indicated mineral resource” and “inferred mineral resource”, as applicable, and other terms used herein are defined and used in accordance with the SEC Mining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NORI TRS also does not include the conversion of all mineral resources included in NORI Area D to mineral reserves and does not include the conversion of any mineral resources to proven mineral reserves and the NORI and TOML Initial Assessment does not include the conversion of mineral resources to mineral reserves. You are specifically cautioned not to assume that any part or all of the mineral deposits in categorized as mineral resources will ever be converted into mineral reserves, as defined by the SEC. You are also cautioned that mineral resources do not have demonstrated economic value. Information concerning our mineral properties in the Technical Report and in this Quarterly Report on Form 10-Q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and approximately 6% of the NORI (Areas A to C) and TOML Properties resource are categorized as measured or indicated.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Likewise, you are cautioned not to assume that all or any part of measured or indicated mineral resources will ever be upgraded to mineral reserves or that probable mineral reserves will ever be upgraded to proven mineral reserves. Until mineral deposits are actually mined and processed, mineral resources and mineral reserves must be considered as estimates only.</w:t>
      </w:r>
    </w:p>
    <w:p>
      <w:pPr>
        <w:pStyle w:val="TextBody"/>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Further information on each of the polymetallic nodule areas in the CCZ and the Technical Reports referred to above can be found in our Current Report on Form 8-K filed with the SEC on August 4, 2025. The information contained in this Quarterly Report in Form 10-Q regarding NORI Area D and the NORI and TOML Properties has been derived from the Technical Reports, is subject to certain assumptions, qualifications and procedures described in the Technical Reports and is qualified in its entirety by the full text of the NORI TRS and the NORI and TOML Initial Assessment, which are filed as exhibit 96.1 and 96.2, respectively, to our Current Report on Form 8-K filed with the SEC on August 4, 2025.</w:t>
      </w:r>
    </w:p>
    <w:p>
      <w:pPr>
        <w:pStyle w:val="TextBody"/>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The technical report entitled “Technical Report Summary – Initial Assessment of the NORI Property, Clarion-Clipperton Zone” dated as of March 17, 2021 (the “2021 NORI Initial Assessment”) and the technical report entitled “Technical Report Summary – TOML Mineral Resource, Clarion Clipperton Zone, Pacific Ocean” dated as of March 26, 2021 (the “2021 TOML Mineral Resource Statement”), each prepared by AMC Consultants Pty Ltd. and other qualified persons, have been superseded by the NORI TRS and the NORI and TOML Initial Assessment and therefore, the 2021 NORI Initial Assessment and the 2021 TOML Resource Statement and any summaries of or excerpts thereof should no longer be relied upon or used by investors for any reason unless specifically allowed by us.</w:t>
      </w:r>
    </w:p>
    <w:p>
      <w:pPr>
        <w:pStyle w:val="TextBody"/>
        <w:pBdr/>
        <w:bidi w:val="0"/>
        <w:spacing w:before="0" w:after="240"/>
        <w:ind w:left="0" w:right="0" w:hanging="720"/>
        <w:jc w:val="both"/>
        <w:rPr>
          <w:rFonts w:ascii="Times New Roman;Times;serif" w:hAnsi="Times New Roman;Times;serif"/>
          <w:b/>
          <w:sz w:val="20"/>
        </w:rPr>
      </w:pPr>
      <w:bookmarkStart w:id="1765" w:name="Item3QuantitativeandQualitativeDisclosur"/>
      <w:bookmarkStart w:id="1766" w:name="_93b2bba7_32bb_4485_9864_4904b7456407"/>
      <w:bookmarkEnd w:id="1765"/>
      <w:bookmarkEnd w:id="1766"/>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 and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rate risk is the risk that the fair value of our future cash flows and our financial instruments will fluctuate because of changes in market interest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 PS Std" w:hAnsi="Times New Roman PS Std"/>
          <w:sz w:val="20"/>
        </w:rPr>
        <w:t>Our current practice is to invest excess cash in investment-grade</w:t>
      </w:r>
      <w:r>
        <w:rPr>
          <w:rFonts w:ascii="Times New Roman;Times;serif" w:hAnsi="Times New Roman;Times;serif"/>
          <w:sz w:val="20"/>
        </w:rPr>
        <w:t> </w:t>
      </w:r>
      <w:r>
        <w:rPr>
          <w:rFonts w:ascii="Times New Roman PS Std" w:hAnsi="Times New Roman PS Std"/>
          <w:sz w:val="20"/>
        </w:rPr>
        <w:t>short-term</w:t>
      </w:r>
      <w:r>
        <w:rPr>
          <w:rFonts w:ascii="Times New Roman;Times;serif" w:hAnsi="Times New Roman;Times;serif"/>
          <w:sz w:val="20"/>
        </w:rPr>
        <w:t> </w:t>
      </w:r>
      <w:r>
        <w:rPr>
          <w:rFonts w:ascii="Times New Roman PS Std" w:hAnsi="Times New Roman PS Std"/>
          <w:sz w:val="20"/>
        </w:rPr>
        <w:t>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September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Regulatory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Both the ISA and the U.S. regime under DSHMRA have not yet been used for commercial production of seafloor polymetallic nodules. To date, NOAA has not issued a commercial recovery permit, and while the legal framework is established, it has not yet been applied to the full lifecycle of a seabed mining project. Our April 2025 applications are under NOAA review. On August 11, 2025, TMC USA received notice of full compliance from NOAA on its exploration applications, and confirmation that TMC USA has priority right over both exploration areas. Both applications are fully compliant and have moved into the certification process. There can be no assurance that the certification process will be favorable. There is also no assurance that any of our applications will result in NOAA granting us any exploration licenses or a commercial recovery permit on a timely basis or at all, or on commercially viable terms and conditions, and any such failure would materially and adversely affect our business, financial condition, liquidity, results of operations and prospects. There is no guarantee that NOAA’s proposed amendments that introduce a new consolidated application procedure under § 971.214, allowing submission of a single application for both an exploration license and commercial recovery permit, will be adopted as proposed or at all.  If NOAA requires us to begin the DSHMRA permitting process with an exploration license, this could delay our intended commercialization timeline and increase permitting costs and complexity. In addition, there is no assurance that we will be able to comply with, or obtain a waiver of, the requirement under DSHMRA requirement that minerals be processed in the United States, should we pursue this avenue.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permitting under DSHMRA will subject us to a complex regulatory system in the United States which we are currently analyzing to determine applicability and how compliance will impact our development plans and potential commercial operations. For example, we will be subject to the Merchant Marine Act of 1920 and will need to be in full compliance with U.S. environmental laws, and NOAA may deny a commercial recovery permit if it determines that significant adverse environmental effects cannot be adequately mitigated. The review and approval process will also be subject to a full EIS process under NEPA, as well as public comment and potential legal challenge in U.S. courts by third parties. Although the recent Executive Order signed by President Trump on April 24, 2025 directs the Commerce Secretary to implement an expedited permitting process under DSHMRA, the timing of license or permit issuance remains uncertain, as there is no statutory deadline under DSHMRA and actual review timelines will depend on the scope and outcome of NOAA’s assessment.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Risks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inflation and foreign currency translation, commodity pricing risks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0"/>
        <w:ind w:left="0" w:right="0" w:hanging="0"/>
        <w:jc w:val="both"/>
        <w:rPr/>
      </w:pPr>
      <w:r>
        <w:rPr/>
        <w:t>​</w:t>
      </w:r>
    </w:p>
    <w:p>
      <w:pPr>
        <w:pStyle w:val="TextBody"/>
        <w:pBdr/>
        <w:bidi w:val="0"/>
        <w:spacing w:before="0" w:after="240"/>
        <w:ind w:left="0" w:right="0" w:hanging="720"/>
        <w:jc w:val="both"/>
        <w:rPr>
          <w:rFonts w:ascii="Times New Roman;Times;serif" w:hAnsi="Times New Roman;Times;serif"/>
          <w:b/>
          <w:sz w:val="20"/>
        </w:rPr>
      </w:pPr>
      <w:bookmarkStart w:id="1767" w:name="Item4ControlsandProcedures_279483"/>
      <w:bookmarkStart w:id="1768" w:name="_c099f853_5d93_44b9_9cdc_76c75f45502b"/>
      <w:bookmarkEnd w:id="1767"/>
      <w:bookmarkEnd w:id="1768"/>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September 30, 2025, as a result of a material weakness in our internal control over financial reporting as described below.</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Material Weaknesses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previously disclosed in our 2024 Annual Report on Form 10-K, management identified a material weakness in the operating effectiveness of our internal controls over the accounting for significant non-routine transactions that resulted from the inadequate and untimely involvement of stakeholders and technical advisors with an appropriate level of expertise to account for a non-routine, unusual and complex transaction.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material weakness resulted in errors in the financial statements and related disclosures in our Quarterly Reports on Form 10-Q for the quarter ended March 31, 2023, and for the six months ended June 30, 2023 and nine months ended September 30, 2023. See Note 22 to the audited consolidated financial statements for the year ended December 31, 2023, included in our 2023 Annual Report on form 10-K for more information about these errors and our revisions to these previously issued financial statements in our financial statements as of and for the year ended December 31, 2023, as included in the 2023 Annual report on Form 10-K.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remediate this material weakness, during 2024, we developed a policy to assist with the identification of significant, non-routine transactions and to define the processes to follow in addressing the accounting and reporting requirements of these transactions. In addition, we rolled out training on processes and controls related to significant, non-routine transactions and identifying circumstances under which we use technical advisors in connection with evaluating such transactions. During the fourth quarter of 2024 and in the first nine months of 2025, we identified several significant, non-routine transactions that occurred, and we applied the processes as required under the new policy. Although management believes the new policy, processes and training worked effectively for these significant, non-routine transaction, the new internal control over significant, non-routine transactions needs to be in operation and tested for sufficient instances, including a successful evaluation from our 2025 year-end audit procedures, in order to be considered effective and, therefore, these changes can only be deemed effective once they have been in place over a longer time period and applied in additional instances. Remediation testing will continue through the 2025 year-end and the effectiveness of management’s new processes will be reassessed as part of the annual audit.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continue to review the effectiveness of our newly implemented controls and make improvements as warranted. This is no assurance, however, that these control modifications will ultimately have the intended effects.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Notwithstanding our material weakness, we have concluded that our unaudited condensed consolidated interim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connection with the evaluation of such internal controls that occurred during the third quarter ended September 30, 2025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Limitations on the Effectiveness of Disclosure Controls and Procedures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769" w:name="PARTIIOTHERINFORMATION_322011"/>
      <w:bookmarkStart w:id="1770" w:name="_297c2491_195d_4449_a380_79b2926deca1"/>
      <w:bookmarkEnd w:id="1769"/>
      <w:bookmarkEnd w:id="1770"/>
      <w:r>
        <w:rPr>
          <w:rFonts w:ascii="Times New Roman;Times;serif" w:hAnsi="Times New Roman;Times;serif"/>
          <w:b/>
          <w:sz w:val="20"/>
        </w:rPr>
        <w:t>PART II – OTHER INFORMATION</w:t>
      </w:r>
    </w:p>
    <w:p>
      <w:pPr>
        <w:pStyle w:val="TextBody"/>
        <w:bidi w:val="0"/>
        <w:spacing w:before="0" w:after="240"/>
        <w:ind w:left="0" w:right="0" w:hanging="0"/>
        <w:jc w:val="both"/>
        <w:rPr>
          <w:rFonts w:ascii="Times New Roman;Times;serif" w:hAnsi="Times New Roman;Times;serif"/>
          <w:b/>
          <w:sz w:val="20"/>
        </w:rPr>
      </w:pPr>
      <w:bookmarkStart w:id="1771" w:name="ITEM1LEGALPROCEEDINGS_208283"/>
      <w:bookmarkEnd w:id="1771"/>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set forth below, we are not currently a party to any material legal proceedings (refer to Note 17 – Contingent Liabilities, in the Company’s third quarter 2025 interim financial statements in Item 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which is currently ongoing.  At this time no further court proceedings or trial date have been set.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70"/>
        <w:ind w:left="0" w:right="0" w:firstLine="360"/>
        <w:jc w:val="both"/>
        <w:rPr>
          <w:rFonts w:ascii="Times New Roman;Times;serif" w:hAnsi="Times New Roman;Times;serif"/>
          <w:sz w:val="20"/>
        </w:rPr>
      </w:pPr>
      <w:r>
        <w:rPr>
          <w:rFonts w:ascii="Times New Roman;Times;serif" w:hAnsi="Times New Roman;Times;serif"/>
          <w:sz w:val="20"/>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On February 6, 2025, the Court appointed a lead plaintiff. An amended complaint was filed on March 6, 2025. Pursuant to court-approved scheduling, we filed our motion to dismiss on April 10, 2025. The lead plaintiff filed an opposition on May 15, 2025, and we filed our reply on June 5, 2025. On June 18, 2025, the Court granted our motion to dismiss in full but granted plaintiffs leave to amend. The plaintiffs filed a Second Amended Complaint on July 2, 2025. Our motion to dismiss the Second Amended Complaint was filed on August 6, 2025, the plaintiff’s opposition was filed on September 9, 2025, and our reply was filed by September 23, 2025. The matter remains pending before the Court and is awaiting a decision on our motion to dismiss. We intend to continue defending against the lawsuit. There can be no assurance, however, that we will be successful in our defense, or that insurance will be available or adequate to fund any settlement or judgment or the litigation costs of this action. Due to the early stage of this litigation, such losses or range of possible losses cannot be reliably estimated.</w:t>
      </w:r>
    </w:p>
    <w:p>
      <w:pPr>
        <w:pStyle w:val="TextBody"/>
        <w:pBdr/>
        <w:bidi w:val="0"/>
        <w:spacing w:before="0" w:after="240"/>
        <w:ind w:left="0" w:right="0" w:hanging="907"/>
        <w:jc w:val="both"/>
        <w:rPr>
          <w:rFonts w:ascii="Times New Roman;Times;serif" w:hAnsi="Times New Roman;Times;serif"/>
          <w:b/>
          <w:sz w:val="20"/>
        </w:rPr>
      </w:pPr>
      <w:bookmarkStart w:id="1772" w:name="ITEM1ARISKFACTORS_765069"/>
      <w:bookmarkStart w:id="1773" w:name="_31476c17_2003_4a67_9ba6_ee082a153f12"/>
      <w:bookmarkEnd w:id="1772"/>
      <w:bookmarkEnd w:id="1773"/>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should carefully review and consider the information regarding certain factors that could materially affect our business, consolidated financial condition or results of operations set forth under Item 1A. Risk Factors in our 2024 Annual Report on Form 10-K and our Quarterly Report on Form 10-Q for the quarters ended March 31, 2025 and June 30, 2025. There have been no material changes from or additions to the risk factors disclosed in those reports. We may disclose changes to risk factors or additional factors from time to time in our future filings with the SEC.</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774" w:name="ITEM2UNREGISTEREDSALESOFEQUITYSECURITIES"/>
      <w:bookmarkStart w:id="1775" w:name="_2fb7786d_806d_4ba3_b2ea_7126d83446b7"/>
      <w:bookmarkEnd w:id="1774"/>
      <w:bookmarkEnd w:id="1775"/>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did not repurchase any of our equity securities during the three months ended September 30, 2025.</w:t>
      </w:r>
    </w:p>
    <w:p>
      <w:pPr>
        <w:pStyle w:val="TextBody"/>
        <w:bidi w:val="0"/>
        <w:spacing w:before="0" w:after="240"/>
        <w:ind w:left="0" w:right="0" w:hanging="0"/>
        <w:jc w:val="both"/>
        <w:rPr>
          <w:rFonts w:ascii="Times New Roman;Times;serif" w:hAnsi="Times New Roman;Times;serif"/>
          <w:b/>
          <w:sz w:val="20"/>
        </w:rPr>
      </w:pPr>
      <w:bookmarkStart w:id="1776" w:name="ITEM3DEFAULTSUPONSENIORSECURITIES_440018"/>
      <w:bookmarkStart w:id="1777" w:name="_24c1a55c_0a67_4584_83dd_8f19351cddcf"/>
      <w:bookmarkEnd w:id="1776"/>
      <w:bookmarkEnd w:id="1777"/>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778" w:name="ITEM4MINESAFETYDISCLOSURES_620629"/>
      <w:bookmarkStart w:id="1779" w:name="_fbc7024c_863f_4866_ab32_904c81b2cac1"/>
      <w:bookmarkEnd w:id="1778"/>
      <w:bookmarkEnd w:id="1779"/>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780" w:name="ITEM5OTHERINFORMATION_798310"/>
      <w:bookmarkStart w:id="1781" w:name="_6709cb0f_c515_4866_8aaa_52326c8b6e60"/>
      <w:bookmarkEnd w:id="1780"/>
      <w:bookmarkEnd w:id="1781"/>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10b5-1 Trading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September 30, 2025,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782" w:name="ITEM_6_EXHIBITS"/>
      <w:bookmarkStart w:id="1783" w:name="_d2a7ce0b_6d95_430f_aec9_07c10f1a0dba"/>
      <w:bookmarkEnd w:id="1782"/>
      <w:bookmarkEnd w:id="1783"/>
      <w:r>
        <w:rPr>
          <w:rFonts w:ascii="Times New Roman;Times;serif" w:hAnsi="Times New Roman;Times;serif"/>
          <w:b/>
          <w:sz w:val="20"/>
        </w:rPr>
        <w:t>ITEM 6.    EXHIBITS.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28" w:type="dxa"/>
          <w:right w:w="0" w:type="dxa"/>
        </w:tblCellMar>
      </w:tblPr>
      <w:tblGrid>
        <w:gridCol w:w="716"/>
        <w:gridCol w:w="326"/>
        <w:gridCol w:w="3874"/>
        <w:gridCol w:w="326"/>
        <w:gridCol w:w="876"/>
        <w:gridCol w:w="326"/>
        <w:gridCol w:w="1143"/>
        <w:gridCol w:w="326"/>
        <w:gridCol w:w="1140"/>
        <w:gridCol w:w="326"/>
        <w:gridCol w:w="826"/>
      </w:tblGrid>
      <w:tr>
        <w:trPr/>
        <w:tc>
          <w:tcPr>
            <w:tcW w:w="7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387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114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Incorporated by</w:t>
              <w:br/>
              <w:t>Reference Herein</w:t>
              <w:br/>
              <w:t>from</w:t>
            </w:r>
            <w:r>
              <w:rPr>
                <w:rFonts w:ascii="Times New Roman;Times;serif" w:hAnsi="Times New Roman;Times;serif"/>
                <w:sz w:val="16"/>
              </w:rPr>
              <w:t xml:space="preserve"> </w:t>
              <w:br/>
            </w:r>
            <w:r>
              <w:rPr>
                <w:rFonts w:ascii="Times New Roman;Times;serif" w:hAnsi="Times New Roman;Times;serif"/>
                <w:b/>
                <w:sz w:val="16"/>
              </w:rPr>
              <w:t>Form or Schedule</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11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w:t>
              <w:br/>
              <w:t>Reg. Number</w:t>
            </w:r>
          </w:p>
        </w:tc>
      </w:tr>
      <w:tr>
        <w:trPr/>
        <w:tc>
          <w:tcPr>
            <w:tcW w:w="71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874"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Notice of Articles of TMC the metals company Inc.</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br/>
              <w:t>(Exhibit 3.1)</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0"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14, 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2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874"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Articles of TMC the metals company Inc.</w:t>
              </w:r>
            </w:hyperlink>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3.2)</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15, 2021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874" w:type="dxa"/>
            <w:tcBorders/>
            <w:shd w:fill="CCEEFF" w:val="clear"/>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to Company’s Articles, adopted May 29, 2025</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3.1)</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4, 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874"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Class C Common Share Purchase Warrant</w:t>
              </w:r>
            </w:hyperlink>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4.1)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12, 2025</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874" w:type="dxa"/>
            <w:tcBorders/>
            <w:shd w:fill="CCEEFF" w:val="clear"/>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Common Share Purchase Warrant, dated May 29, 2025, issued to the Government of the Republic of Nauru</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4.1)</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4, 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874"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Waiver to Class B Common Share Purchase Warrants, dated as of June 17, 2025</w:t>
              </w:r>
            </w:hyperlink>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4.1)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18, 2025</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874" w:type="dxa"/>
            <w:tcBorders/>
            <w:shd w:fill="CCEEFF" w:val="clear"/>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Common Share Purchase Warrant, dated as of June 25, 2025, issued to Korea Zinc Company, Ltd.</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br/>
              <w:t>(Exhibit 4.4)</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14, 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874"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Common Share Purchase Warrant, dated as of August 4, 2025, issued to The Kingdom of Tonga</w:t>
              </w:r>
            </w:hyperlink>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4.1)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4, 2025</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874" w:type="dxa"/>
            <w:tcBorders/>
            <w:shd w:fill="CCEEFF" w:val="clear"/>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Securities Purchase Agreement, dated as of May 12, 2025, by and among the Company and the purchasers set forth therein</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10.1)</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12, 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874"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Sponsorship Agreement, revised May 29, 2025, by and among The Republic of Nauru, The Nauru Seabed Minerals Authority and Nauru Ocean Resources Inc.</w:t>
              </w:r>
            </w:hyperlink>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10.1)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4, 2025</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874" w:type="dxa"/>
            <w:tcBorders/>
            <w:shd w:fill="CCEEFF" w:val="clear"/>
            <w:tcMar>
              <w:bottom w:w="0" w:type="dxa"/>
            </w:tcM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Deed of Guarantee and Indemnity, dated May 29, 2025, by and between the Company and The Republic of Nauru</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10.2)</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4, 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874" w:type="dxa"/>
            <w:tcBorders/>
            <w:tcMar>
              <w:bottom w:w="0" w:type="dxa"/>
            </w:tcM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Services Agreement, dated June 4, 2025, by and between the Company and Michael B. Hess</w:t>
              </w:r>
            </w:hyperlink>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10.3)</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4, 2025</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 [†]</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874" w:type="dxa"/>
            <w:tcBorders/>
            <w:shd w:fill="CCEEFF" w:val="clear"/>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Securities Purchase Agreement, dated as of June 16, 2025, by and between the Company and Korea Zinc Company, Ltd.</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br/>
              <w:t>(Exhibit 10.5)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14, 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874" w:type="dxa"/>
            <w:tcBorders/>
            <w:tcMar>
              <w:bottom w:w="0" w:type="dxa"/>
            </w:tcM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Board Observer Agreement, dated as of May 12, 2025, by and between the Company and Zachary A. Wydra</w:t>
              </w:r>
            </w:hyperlink>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br/>
              <w:t>(Exhibit 10.6)</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14, 2025</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874" w:type="dxa"/>
            <w:tcBorders/>
            <w:shd w:fill="CCEEFF" w:val="clear"/>
            <w:tcMar>
              <w:bottom w:w="0" w:type="dxa"/>
            </w:tcM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Services Agreement, dated as of June 12, 2025, by and between the Company and Alex Spiro</w:t>
              </w:r>
            </w:hyperlink>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7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br/>
              <w:t>(Exhibit 10.7)</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11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14, 2025</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8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874" w:type="dxa"/>
            <w:tcBorders/>
            <w:tcMar>
              <w:bottom w:w="0" w:type="dxa"/>
            </w:tcMar>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Board Observer Agreement, dated as of July 14, 2025, by and between the Company and Yun B. Choi</w:t>
              </w:r>
            </w:hyperlink>
          </w:p>
        </w:tc>
        <w:tc>
          <w:tcPr>
            <w:tcW w:w="326" w:type="dxa"/>
            <w:tcBorders/>
            <w:tcMar>
              <w:bottom w:w="0" w:type="dxa"/>
            </w:tcMar>
            <w:vAlign w:val="center"/>
          </w:tcPr>
          <w:p>
            <w:pPr>
              <w:pStyle w:val="TableContents"/>
              <w:bidi w:val="0"/>
              <w:spacing w:before="0" w:after="0"/>
              <w:ind w:left="0" w:right="0" w:hanging="0"/>
              <w:jc w:val="center"/>
              <w:rPr/>
            </w:pPr>
            <w:r>
              <w:rPr/>
              <w:t>​</w:t>
            </w:r>
          </w:p>
        </w:tc>
        <w:tc>
          <w:tcPr>
            <w:tcW w:w="87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br/>
              <w:t>(Exhibit 10.8)</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1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14, 2025</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9"/>
        <w:gridCol w:w="109"/>
        <w:gridCol w:w="6000"/>
        <w:gridCol w:w="109"/>
        <w:gridCol w:w="241"/>
        <w:gridCol w:w="109"/>
        <w:gridCol w:w="949"/>
        <w:gridCol w:w="109"/>
        <w:gridCol w:w="967"/>
        <w:gridCol w:w="109"/>
        <w:gridCol w:w="814"/>
      </w:tblGrid>
      <w:tr>
        <w:trPr/>
        <w:tc>
          <w:tcPr>
            <w:tcW w:w="6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 ††</w:t>
            </w:r>
          </w:p>
        </w:tc>
        <w:tc>
          <w:tcPr>
            <w:tcW w:w="109" w:type="dxa"/>
            <w:tcBorders/>
            <w:shd w:fill="CCEEFF" w:val="clear"/>
            <w:vAlign w:val="center"/>
          </w:tcPr>
          <w:p>
            <w:pPr>
              <w:pStyle w:val="TableContents"/>
              <w:bidi w:val="0"/>
              <w:spacing w:before="0" w:after="0"/>
              <w:ind w:left="0" w:right="0" w:hanging="0"/>
              <w:jc w:val="left"/>
              <w:rPr/>
            </w:pPr>
            <w:r>
              <w:rPr/>
              <w:t>​</w:t>
            </w:r>
          </w:p>
        </w:tc>
        <w:tc>
          <w:tcPr>
            <w:tcW w:w="6000" w:type="dxa"/>
            <w:tcBorders/>
            <w:shd w:fill="CCEEFF" w:val="cle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Sponsorship Agreement, dated August 4, 2025, among The Government of The Kingdom of Tonga and Tonga Offshore Mining Limited</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10.1)</w:t>
            </w:r>
          </w:p>
        </w:tc>
        <w:tc>
          <w:tcPr>
            <w:tcW w:w="109" w:type="dxa"/>
            <w:tcBorders/>
            <w:shd w:fill="CCEEFF" w:val="clear"/>
            <w:vAlign w:val="center"/>
          </w:tcPr>
          <w:p>
            <w:pPr>
              <w:pStyle w:val="TableContents"/>
              <w:bidi w:val="0"/>
              <w:spacing w:before="0" w:after="0"/>
              <w:ind w:left="0" w:right="0" w:hanging="0"/>
              <w:jc w:val="center"/>
              <w:rPr/>
            </w:pPr>
            <w:r>
              <w:rPr/>
              <w:t>​</w:t>
            </w:r>
          </w:p>
        </w:tc>
        <w:tc>
          <w:tcPr>
            <w:tcW w:w="9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4, 2025</w:t>
            </w:r>
          </w:p>
        </w:tc>
        <w:tc>
          <w:tcPr>
            <w:tcW w:w="109" w:type="dxa"/>
            <w:tcBorders/>
            <w:shd w:fill="CCEEFF" w:val="clear"/>
            <w:vAlign w:val="center"/>
          </w:tcPr>
          <w:p>
            <w:pPr>
              <w:pStyle w:val="TableContents"/>
              <w:bidi w:val="0"/>
              <w:spacing w:before="0" w:after="0"/>
              <w:ind w:left="0" w:right="0" w:hanging="0"/>
              <w:jc w:val="center"/>
              <w:rPr/>
            </w:pPr>
            <w:r>
              <w:rPr/>
              <w:t>​</w:t>
            </w:r>
          </w:p>
        </w:tc>
        <w:tc>
          <w:tcPr>
            <w:tcW w:w="81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6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Deed of Guarantee and Indemnity, dated August 4, 2025, by TMC the metals company Inc. in favor of The Kingdom of Tonga</w:t>
              </w:r>
            </w:hyperlink>
          </w:p>
        </w:tc>
        <w:tc>
          <w:tcPr>
            <w:tcW w:w="10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10.2)</w:t>
            </w:r>
          </w:p>
        </w:tc>
        <w:tc>
          <w:tcPr>
            <w:tcW w:w="109"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4, 2025</w:t>
            </w:r>
          </w:p>
        </w:tc>
        <w:tc>
          <w:tcPr>
            <w:tcW w:w="109"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6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shd w:fill="CCEEFF" w:val="clear"/>
            <w:vAlign w:val="center"/>
          </w:tcPr>
          <w:p>
            <w:pPr>
              <w:pStyle w:val="TableContents"/>
              <w:bidi w:val="0"/>
              <w:spacing w:before="0" w:after="0"/>
              <w:ind w:left="0" w:right="0" w:hanging="0"/>
              <w:jc w:val="left"/>
              <w:rPr/>
            </w:pPr>
            <w:r>
              <w:rPr/>
              <w:t>​</w:t>
            </w:r>
          </w:p>
        </w:tc>
        <w:tc>
          <w:tcPr>
            <w:tcW w:w="6000" w:type="dxa"/>
            <w:tcBorders/>
            <w:shd w:fill="CCEEFF" w:val="clear"/>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TMC the metals company Inc. 2021 Incentive Equity Plan, as amended through August 28, 2025</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10.1)</w:t>
            </w:r>
          </w:p>
        </w:tc>
        <w:tc>
          <w:tcPr>
            <w:tcW w:w="109" w:type="dxa"/>
            <w:tcBorders/>
            <w:shd w:fill="CCEEFF" w:val="clear"/>
            <w:vAlign w:val="center"/>
          </w:tcPr>
          <w:p>
            <w:pPr>
              <w:pStyle w:val="TableContents"/>
              <w:bidi w:val="0"/>
              <w:spacing w:before="0" w:after="0"/>
              <w:ind w:left="0" w:right="0" w:hanging="0"/>
              <w:jc w:val="center"/>
              <w:rPr/>
            </w:pPr>
            <w:r>
              <w:rPr/>
              <w:t>​</w:t>
            </w:r>
          </w:p>
        </w:tc>
        <w:tc>
          <w:tcPr>
            <w:tcW w:w="9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28, 2025</w:t>
            </w:r>
          </w:p>
        </w:tc>
        <w:tc>
          <w:tcPr>
            <w:tcW w:w="109" w:type="dxa"/>
            <w:tcBorders/>
            <w:shd w:fill="CCEEFF" w:val="clear"/>
            <w:vAlign w:val="center"/>
          </w:tcPr>
          <w:p>
            <w:pPr>
              <w:pStyle w:val="TableContents"/>
              <w:bidi w:val="0"/>
              <w:spacing w:before="0" w:after="0"/>
              <w:ind w:left="0" w:right="0" w:hanging="0"/>
              <w:jc w:val="center"/>
              <w:rPr/>
            </w:pPr>
            <w:r>
              <w:rPr/>
              <w:t>​</w:t>
            </w:r>
          </w:p>
        </w:tc>
        <w:tc>
          <w:tcPr>
            <w:tcW w:w="81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689" w:type="dxa"/>
            <w:tcBorders/>
            <w:vAlign w:val="center"/>
          </w:tcPr>
          <w:p>
            <w:pPr>
              <w:pStyle w:val="TableContents"/>
              <w:bidi w:val="0"/>
              <w:spacing w:before="0" w:after="0"/>
              <w:ind w:left="0" w:right="0" w:hanging="0"/>
              <w:jc w:val="left"/>
              <w:rPr/>
            </w:pPr>
            <w:hyperlink w:anchor="tmc-20250930xex31d1.htm">
              <w:r>
                <w:rPr>
                  <w:rStyle w:val="InternetLink"/>
                  <w:rFonts w:ascii="Times New Roman;Times;serif" w:hAnsi="Times New Roman;Times;serif"/>
                  <w:b w:val="false"/>
                  <w:i w:val="false"/>
                  <w:caps w:val="false"/>
                  <w:smallCaps w:val="false"/>
                  <w:sz w:val="20"/>
                </w:rPr>
                <w:t>31.1</w:t>
              </w:r>
            </w:hyperlink>
          </w:p>
        </w:tc>
        <w:tc>
          <w:tcPr>
            <w:tcW w:w="109"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left"/>
              <w:rPr/>
            </w:pPr>
            <w:hyperlink w:anchor="tmc-20250930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pPr>
            <w:r>
              <w:rPr/>
              <w:t>​</w:t>
            </w:r>
          </w:p>
        </w:tc>
      </w:tr>
      <w:tr>
        <w:trPr/>
        <w:tc>
          <w:tcPr>
            <w:tcW w:w="689" w:type="dxa"/>
            <w:tcBorders/>
            <w:shd w:fill="CCEEFF" w:val="clear"/>
            <w:vAlign w:val="center"/>
          </w:tcPr>
          <w:p>
            <w:pPr>
              <w:pStyle w:val="TableContents"/>
              <w:bidi w:val="0"/>
              <w:spacing w:before="0" w:after="0"/>
              <w:ind w:left="0" w:right="0" w:hanging="0"/>
              <w:jc w:val="left"/>
              <w:rPr/>
            </w:pPr>
            <w:hyperlink w:anchor="tmc-20250930xex31d2.htm">
              <w:r>
                <w:rPr>
                  <w:rStyle w:val="InternetLink"/>
                  <w:rFonts w:ascii="Times New Roman;Times;serif" w:hAnsi="Times New Roman;Times;serif"/>
                  <w:b w:val="false"/>
                  <w:i w:val="false"/>
                  <w:caps w:val="false"/>
                  <w:smallCaps w:val="false"/>
                  <w:sz w:val="20"/>
                </w:rPr>
                <w:t>31.2</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6000" w:type="dxa"/>
            <w:tcBorders/>
            <w:shd w:fill="CCEEFF" w:val="clear"/>
            <w:vAlign w:val="center"/>
          </w:tcPr>
          <w:p>
            <w:pPr>
              <w:pStyle w:val="TableContents"/>
              <w:bidi w:val="0"/>
              <w:spacing w:before="0" w:after="0"/>
              <w:ind w:left="0" w:right="0" w:hanging="0"/>
              <w:jc w:val="left"/>
              <w:rPr/>
            </w:pPr>
            <w:hyperlink w:anchor="tmc-20250930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shd w:fill="CCEEFF" w:val="clear"/>
            <w:vAlign w:val="center"/>
          </w:tcPr>
          <w:p>
            <w:pPr>
              <w:pStyle w:val="TableContents"/>
              <w:bidi w:val="0"/>
              <w:spacing w:before="0" w:after="0"/>
              <w:ind w:left="0" w:right="0" w:hanging="0"/>
              <w:jc w:val="center"/>
              <w:rPr/>
            </w:pPr>
            <w:r>
              <w:rPr/>
              <w:t>​</w:t>
            </w:r>
          </w:p>
        </w:tc>
        <w:tc>
          <w:tcPr>
            <w:tcW w:w="94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814"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bidi w:val="0"/>
              <w:spacing w:before="0" w:after="0"/>
              <w:ind w:left="0" w:right="0" w:hanging="0"/>
              <w:jc w:val="left"/>
              <w:rPr/>
            </w:pPr>
            <w:hyperlink w:anchor="tmc-20250930xex32.htm">
              <w:r>
                <w:rPr>
                  <w:rStyle w:val="InternetLink"/>
                  <w:rFonts w:ascii="Times New Roman;Times;serif" w:hAnsi="Times New Roman;Times;serif"/>
                  <w:b w:val="false"/>
                  <w:i w:val="false"/>
                  <w:caps w:val="false"/>
                  <w:smallCaps w:val="false"/>
                  <w:sz w:val="20"/>
                </w:rPr>
                <w:t>32*</w:t>
              </w:r>
            </w:hyperlink>
          </w:p>
        </w:tc>
        <w:tc>
          <w:tcPr>
            <w:tcW w:w="109"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left"/>
              <w:rPr/>
            </w:pPr>
            <w:hyperlink w:anchor="tmc-20250930xex32.htm">
              <w:r>
                <w:rPr>
                  <w:rStyle w:val="InternetLink"/>
                  <w:rFonts w:ascii="Times New Roman;Times;serif" w:hAnsi="Times New Roman;Times;serif"/>
                  <w:b w:val="false"/>
                  <w:i w:val="false"/>
                  <w:caps w:val="false"/>
                  <w:smallCaps w:val="false"/>
                  <w:sz w:val="20"/>
                </w:rPr>
                <w:t>Certifications of the Chief Executive Officer and Chief Financial Officer pursuant to Section 906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pPr>
            <w:r>
              <w:rPr/>
              <w:t>​</w:t>
            </w:r>
          </w:p>
        </w:tc>
      </w:tr>
      <w:tr>
        <w:trPr/>
        <w:tc>
          <w:tcPr>
            <w:tcW w:w="6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bidi w:val="0"/>
              <w:spacing w:before="0" w:after="0"/>
              <w:ind w:left="0" w:right="0" w:hanging="0"/>
              <w:jc w:val="left"/>
              <w:rPr/>
            </w:pPr>
            <w:r>
              <w:rPr/>
              <w:t>​</w:t>
            </w:r>
          </w:p>
        </w:tc>
        <w:tc>
          <w:tcPr>
            <w:tcW w:w="6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c>
          <w:tcPr>
            <w:tcW w:w="109"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shd w:fill="CCEEFF" w:val="clear"/>
            <w:vAlign w:val="center"/>
          </w:tcPr>
          <w:p>
            <w:pPr>
              <w:pStyle w:val="TableContents"/>
              <w:bidi w:val="0"/>
              <w:spacing w:before="0" w:after="0"/>
              <w:ind w:left="0" w:right="0" w:hanging="0"/>
              <w:jc w:val="center"/>
              <w:rPr/>
            </w:pPr>
            <w:r>
              <w:rPr/>
              <w:t>​</w:t>
            </w:r>
          </w:p>
        </w:tc>
        <w:tc>
          <w:tcPr>
            <w:tcW w:w="94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814"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pPr>
            <w:r>
              <w:rPr/>
              <w:t>​</w:t>
            </w:r>
          </w:p>
        </w:tc>
      </w:tr>
      <w:tr>
        <w:trPr/>
        <w:tc>
          <w:tcPr>
            <w:tcW w:w="6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bidi w:val="0"/>
              <w:spacing w:before="0" w:after="0"/>
              <w:ind w:left="0" w:right="0" w:hanging="0"/>
              <w:jc w:val="left"/>
              <w:rPr/>
            </w:pPr>
            <w:r>
              <w:rPr/>
              <w:t>​</w:t>
            </w:r>
          </w:p>
        </w:tc>
        <w:tc>
          <w:tcPr>
            <w:tcW w:w="6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shd w:fill="CCEEFF" w:val="clear"/>
            <w:vAlign w:val="center"/>
          </w:tcPr>
          <w:p>
            <w:pPr>
              <w:pStyle w:val="TableContents"/>
              <w:bidi w:val="0"/>
              <w:spacing w:before="0" w:after="0"/>
              <w:ind w:left="0" w:right="0" w:hanging="0"/>
              <w:jc w:val="center"/>
              <w:rPr/>
            </w:pPr>
            <w:r>
              <w:rPr/>
              <w:t>​</w:t>
            </w:r>
          </w:p>
        </w:tc>
        <w:tc>
          <w:tcPr>
            <w:tcW w:w="94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814"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pPr>
            <w:r>
              <w:rPr/>
              <w:t>​</w:t>
            </w:r>
          </w:p>
        </w:tc>
      </w:tr>
      <w:tr>
        <w:trPr/>
        <w:tc>
          <w:tcPr>
            <w:tcW w:w="6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bidi w:val="0"/>
              <w:spacing w:before="0" w:after="0"/>
              <w:ind w:left="0" w:right="0" w:hanging="0"/>
              <w:jc w:val="left"/>
              <w:rPr/>
            </w:pPr>
            <w:r>
              <w:rPr/>
              <w:t>​</w:t>
            </w:r>
          </w:p>
        </w:tc>
        <w:tc>
          <w:tcPr>
            <w:tcW w:w="6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shd w:fill="CCEEFF" w:val="clear"/>
            <w:vAlign w:val="center"/>
          </w:tcPr>
          <w:p>
            <w:pPr>
              <w:pStyle w:val="TableContents"/>
              <w:bidi w:val="0"/>
              <w:spacing w:before="0" w:after="0"/>
              <w:ind w:left="0" w:right="0" w:hanging="0"/>
              <w:jc w:val="center"/>
              <w:rPr/>
            </w:pPr>
            <w:r>
              <w:rPr/>
              <w:t>​</w:t>
            </w:r>
          </w:p>
        </w:tc>
        <w:tc>
          <w:tcPr>
            <w:tcW w:w="94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814"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10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pPr>
            <w:r>
              <w:rPr/>
              <w:t>​</w:t>
            </w:r>
          </w:p>
        </w:tc>
      </w:tr>
    </w:tbl>
    <w:p>
      <w:pPr>
        <w:pStyle w:val="TextBody"/>
        <w:bidi w:val="0"/>
        <w:spacing w:before="0" w:after="240"/>
        <w:ind w:left="0" w:right="0" w:hanging="0"/>
        <w:jc w:val="both"/>
        <w:rPr/>
      </w:pPr>
      <w:r>
        <w:rPr/>
        <w:t xml:space="preserve">† </w:t>
      </w:r>
      <w:r>
        <w:rPr>
          <w:rFonts w:ascii="Times New Roman;Times;serif" w:hAnsi="Times New Roman;Times;serif"/>
          <w:sz w:val="20"/>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pStyle w:val="TextBody"/>
        <w:bidi w:val="0"/>
        <w:spacing w:before="0" w:after="240"/>
        <w:ind w:left="0" w:right="0" w:hanging="0"/>
        <w:jc w:val="both"/>
        <w:rPr/>
      </w:pPr>
      <w:r>
        <w:rPr/>
        <w:t xml:space="preserve">†† </w:t>
      </w:r>
      <w:r>
        <w:rPr>
          <w:rFonts w:ascii="Times New Roman;Times;serif" w:hAnsi="Times New Roman;Times;serif"/>
          <w:sz w:val="20"/>
        </w:rPr>
        <w:t>Certain of the exhibits and schedules to this Exhibit have been omitted in accordance with Regulation S-K Item 601(a)(5). The Registrant agrees to furnish a copy of all omitted exhibits and schedules to the SEC upon its request.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Denotes management contract or compensatory plan or arrangement.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84" w:name="_05376951_5aef_4303_aa30_c833a029b2b7"/>
      <w:bookmarkStart w:id="1785" w:name="iSkippedRange_90101"/>
      <w:bookmarkEnd w:id="1784"/>
      <w:bookmarkEnd w:id="178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758" w:type="dxa"/>
        <w:jc w:val="left"/>
        <w:tblInd w:w="0" w:type="dxa"/>
        <w:tblLayout w:type="fixed"/>
        <w:tblCellMar>
          <w:top w:w="0" w:type="dxa"/>
          <w:left w:w="0" w:type="dxa"/>
          <w:bottom w:w="0" w:type="dxa"/>
          <w:right w:w="0" w:type="dxa"/>
        </w:tblCellMar>
      </w:tblPr>
      <w:tblGrid>
        <w:gridCol w:w="2206"/>
        <w:gridCol w:w="490"/>
        <w:gridCol w:w="2871"/>
        <w:gridCol w:w="19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00810" cy="175260"/>
                      <wp:effectExtent l="0" t="0" r="0" b="0"/>
                      <wp:wrapNone/>
                      <wp:docPr id="354" name="Frame354"/>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11150" cy="175260"/>
                      <wp:effectExtent l="0" t="0" r="0" b="0"/>
                      <wp:wrapNone/>
                      <wp:docPr id="355" name="Frame355"/>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823085" cy="29210"/>
                      <wp:effectExtent l="0" t="0" r="0" b="0"/>
                      <wp:wrapNone/>
                      <wp:docPr id="356" name="Frame356"/>
                      <a:graphic xmlns:a="http://schemas.openxmlformats.org/drawingml/2006/main">
                        <a:graphicData uri="http://schemas.microsoft.com/office/word/2010/wordprocessingShape">
                          <wps:wsp>
                            <wps:cNvSpPr txBox="1"/>
                            <wps:spPr>
                              <a:xfrm>
                                <a:off x="0" y="0"/>
                                <a:ext cx="182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21285" cy="29210"/>
                      <wp:effectExtent l="0" t="0" r="0" b="0"/>
                      <wp:wrapNone/>
                      <wp:docPr id="357" name="Frame357"/>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36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TMC THE METALS COMPANY INC.</w:t>
            </w:r>
          </w:p>
        </w:tc>
        <w:tc>
          <w:tcPr>
            <w:tcW w:w="191"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9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9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Craig Shesky </w:t>
            </w:r>
          </w:p>
        </w:tc>
        <w:tc>
          <w:tcPr>
            <w:tcW w:w="19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240"/>
        <w:ind w:left="0" w:right="0" w:hanging="0"/>
        <w:jc w:val="right"/>
        <w:rPr>
          <w:rFonts w:ascii="Times New Roman;Times;serif" w:hAnsi="Times New Roman;Times;serif"/>
          <w:b/>
          <w:sz w:val="20"/>
        </w:rPr>
      </w:pPr>
      <w:bookmarkStart w:id="1786" w:name="tmc-20250930xex31d1.htm"/>
      <w:bookmarkStart w:id="1787" w:name="kstmc20250930xex31d1"/>
      <w:bookmarkEnd w:id="1786"/>
      <w:bookmarkEnd w:id="178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Gerard Barron,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TMC the metals company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595" w:type="dxa"/>
        <w:jc w:val="left"/>
        <w:tblInd w:w="0" w:type="dxa"/>
        <w:tblLayout w:type="fixed"/>
        <w:tblCellMar>
          <w:top w:w="0" w:type="dxa"/>
          <w:left w:w="0" w:type="dxa"/>
          <w:bottom w:w="0" w:type="dxa"/>
          <w:right w:w="0" w:type="dxa"/>
        </w:tblCellMar>
      </w:tblPr>
      <w:tblGrid>
        <w:gridCol w:w="4441"/>
        <w:gridCol w:w="154"/>
      </w:tblGrid>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r>
              <w:rPr>
                <w:rFonts w:ascii="Times New Roman;Times;serif" w:hAnsi="Times New Roman;Times;serif"/>
                <w:i/>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88" w:name="tmc-20250930xex31d2.htm"/>
      <w:bookmarkStart w:id="1789" w:name="kstmc20250930xex31d2"/>
      <w:bookmarkEnd w:id="1788"/>
      <w:bookmarkEnd w:id="178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Shesky,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TMC the metals company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550" w:type="dxa"/>
        <w:jc w:val="left"/>
        <w:tblInd w:w="0" w:type="dxa"/>
        <w:tblLayout w:type="fixed"/>
        <w:tblCellMar>
          <w:top w:w="0" w:type="dxa"/>
          <w:left w:w="0" w:type="dxa"/>
          <w:bottom w:w="0" w:type="dxa"/>
          <w:right w:w="0" w:type="dxa"/>
        </w:tblCellMar>
      </w:tblPr>
      <w:tblGrid>
        <w:gridCol w:w="4396"/>
        <w:gridCol w:w="154"/>
      </w:tblGrid>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r>
              <w:rPr>
                <w:rFonts w:ascii="Times New Roman;Times;serif" w:hAnsi="Times New Roman;Times;serif"/>
                <w:i/>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90" w:name="tmc-20250930xex32.htm"/>
      <w:bookmarkStart w:id="1791" w:name="kstmc20250930xex32"/>
      <w:bookmarkEnd w:id="1790"/>
      <w:bookmarkEnd w:id="1791"/>
      <w:r>
        <w:rPr>
          <w:rFonts w:ascii="Times New Roman;Times;serif" w:hAnsi="Times New Roman;Times;serif"/>
          <w:b/>
          <w:sz w:val="20"/>
        </w:rPr>
        <w:t>Exhibit 32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4832" w:type="dxa"/>
        <w:jc w:val="left"/>
        <w:tblInd w:w="0" w:type="dxa"/>
        <w:tblLayout w:type="fixed"/>
        <w:tblCellMar>
          <w:top w:w="0" w:type="dxa"/>
          <w:left w:w="0" w:type="dxa"/>
          <w:bottom w:w="0" w:type="dxa"/>
          <w:right w:w="0" w:type="dxa"/>
        </w:tblCellMar>
      </w:tblPr>
      <w:tblGrid>
        <w:gridCol w:w="2311"/>
        <w:gridCol w:w="2521"/>
      </w:tblGrid>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2025</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r>
      <w:tr>
        <w:trPr/>
        <w:tc>
          <w:tcPr>
            <w:tcW w:w="2311"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r>
      <w:tr>
        <w:trPr/>
        <w:tc>
          <w:tcPr>
            <w:tcW w:w="231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31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231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2025</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r>
      <w:tr>
        <w:trPr/>
        <w:tc>
          <w:tcPr>
            <w:tcW w:w="2311"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r>
      <w:tr>
        <w:trPr/>
        <w:tc>
          <w:tcPr>
            <w:tcW w:w="231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31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Times New Roman PS St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41057825001821/tmc-20250630xex3d1.htm" TargetMode="External"/><Relationship Id="rId3" Type="http://schemas.openxmlformats.org/officeDocument/2006/relationships/hyperlink" Target="https://www.sec.gov/Archives/edgar/data/1798562/000121390021048261/ea147253ex3-2_tmcthemet.htm" TargetMode="External"/><Relationship Id="rId4" Type="http://schemas.openxmlformats.org/officeDocument/2006/relationships/hyperlink" Target="https://www.sec.gov/Archives/edgar/data/1798562/000110465925056465/tm2516970d1_ex3-1.htm" TargetMode="External"/><Relationship Id="rId5" Type="http://schemas.openxmlformats.org/officeDocument/2006/relationships/hyperlink" Target="https://www.sec.gov/Archives/edgar/data/1798562/000110465925047373/tm2513980d1_ex4-1.htm" TargetMode="External"/><Relationship Id="rId6" Type="http://schemas.openxmlformats.org/officeDocument/2006/relationships/hyperlink" Target="https://www.sec.gov/Archives/edgar/data/1798562/000110465925056465/tm2516970d1_ex4-1.htm" TargetMode="External"/><Relationship Id="rId7" Type="http://schemas.openxmlformats.org/officeDocument/2006/relationships/hyperlink" Target="https://www.sec.gov/Archives/edgar/data/1798562/000110465925060347/tm2518216d2_ex4-1.htm" TargetMode="External"/><Relationship Id="rId8" Type="http://schemas.openxmlformats.org/officeDocument/2006/relationships/hyperlink" Target="https://www.sec.gov/Archives/edgar/data/1798562/000141057825001821/tmc-20250630xex4d4.htm" TargetMode="External"/><Relationship Id="rId9" Type="http://schemas.openxmlformats.org/officeDocument/2006/relationships/hyperlink" Target="https://www.sec.gov/Archives/edgar/data/1798562/000110465925073359/tm2521867d2_ex4-1.htm" TargetMode="External"/><Relationship Id="rId10" Type="http://schemas.openxmlformats.org/officeDocument/2006/relationships/hyperlink" Target="https://www.sec.gov/Archives/edgar/data/1798562/000110465925047373/tm2513980d1_ex10-1.htm" TargetMode="External"/><Relationship Id="rId11" Type="http://schemas.openxmlformats.org/officeDocument/2006/relationships/hyperlink" Target="https://www.sec.gov/Archives/edgar/data/1798562/000110465925056465/tm2516970d1_ex10-1.htm" TargetMode="External"/><Relationship Id="rId12" Type="http://schemas.openxmlformats.org/officeDocument/2006/relationships/hyperlink" Target="https://www.sec.gov/Archives/edgar/data/1798562/000110465925056465/tm2516970d1_ex10-2.htm" TargetMode="External"/><Relationship Id="rId13" Type="http://schemas.openxmlformats.org/officeDocument/2006/relationships/hyperlink" Target="https://www.sec.gov/Archives/edgar/data/1798562/000110465925056465/tm2516970d1_ex10-3.htm" TargetMode="External"/><Relationship Id="rId14" Type="http://schemas.openxmlformats.org/officeDocument/2006/relationships/hyperlink" Target="https://www.sec.gov/Archives/edgar/data/1798562/000141057825001821/tmc-20250630xex10d5.htm" TargetMode="External"/><Relationship Id="rId15" Type="http://schemas.openxmlformats.org/officeDocument/2006/relationships/hyperlink" Target="https://www.sec.gov/Archives/edgar/data/1798562/000141057825001821/tmc-20250630xex10d6.htm" TargetMode="External"/><Relationship Id="rId16" Type="http://schemas.openxmlformats.org/officeDocument/2006/relationships/hyperlink" Target="https://www.sec.gov/Archives/edgar/data/1798562/000141057825001821/tmc-20250630xex10d7.htm" TargetMode="External"/><Relationship Id="rId17" Type="http://schemas.openxmlformats.org/officeDocument/2006/relationships/hyperlink" Target="https://www.sec.gov/Archives/edgar/data/1798562/000141057825001821/tmc-20250630xex10d8.htm" TargetMode="External"/><Relationship Id="rId18" Type="http://schemas.openxmlformats.org/officeDocument/2006/relationships/hyperlink" Target="https://www.sec.gov/Archives/edgar/data/1798562/000110465925073359/tm2521867d2_ex10-1.htm" TargetMode="External"/><Relationship Id="rId19" Type="http://schemas.openxmlformats.org/officeDocument/2006/relationships/hyperlink" Target="https://www.sec.gov/Archives/edgar/data/1798562/000110465925073359/tm2521867d2_ex10-2.htm" TargetMode="External"/><Relationship Id="rId20" Type="http://schemas.openxmlformats.org/officeDocument/2006/relationships/hyperlink" Target="https://www.sec.gov/Archives/edgar/data/1798562/000110465925084948/tm2524639d1_ex10-1.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32062</Words>
  <Characters>173374</Characters>
  <CharactersWithSpaces>207159</CharactersWithSpaces>
  <Paragraphs>6282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