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both"/>
        <w:rPr/>
      </w:pPr>
      <w:hyperlink w:anchor="TOC">
        <w:bookmarkStart w:id="0" w:name="tmc-20260630x10q.htm"/>
        <w:bookmarkStart w:id="1" w:name="kstmc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pPr>
      <w:bookmarkStart w:id="2" w:name="_aa2e5a64_8cae_4d9e_ac29_8a0aeaca2b22"/>
      <w:bookmarkEnd w:id="2"/>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bookmarkStart w:id="3" w:name="iSkippedRange_91886"/>
      <w:bookmarkEnd w:id="3"/>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0"/>
        <w:ind w:left="0" w:right="0" w:hanging="0"/>
        <w:jc w:val="left"/>
        <w:rPr/>
      </w:pPr>
      <w:r>
        <w:rPr>
          <w:caps w:val="false"/>
          <w:smallCaps w:val="false"/>
        </w:rPr>
        <w:t>☒</w:t>
      </w:r>
      <w:r>
        <w:rPr>
          <w:rFonts w:ascii="Times New Roman;Times;serif" w:hAnsi="Times New Roman;Times;serif"/>
          <w:b/>
          <w:sz w:val="16"/>
        </w:rPr>
        <w:t>QUARTERLY REPORT PURSUANT TO SECTION 13 OR 15(d) OF THE SECURITIES EXCHANGE ACT OF 1934</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June 30, 2026</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0"/>
        <w:ind w:left="0" w:right="0" w:hanging="0"/>
        <w:jc w:val="both"/>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b/>
          <w:sz w:val="16"/>
        </w:rPr>
        <w:t>TRANSITION REPORT PURSUANT TO SECTION 13 OR 15(d) OF THE SECURITIES EXCHANGE ACT OF 1934</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For the transition period from</w:t>
      </w:r>
      <w:r>
        <w:rPr>
          <w:rFonts w:ascii="Times New Roman;Times;serif" w:hAnsi="Times New Roman;Times;serif"/>
          <w:sz w:val="16"/>
        </w:rPr>
        <w:t xml:space="preserve">       </w:t>
      </w:r>
      <w:r>
        <w:rPr>
          <w:rFonts w:ascii="Times New Roman;Times;serif" w:hAnsi="Times New Roman;Times;serif"/>
          <w:b/>
          <w:sz w:val="16"/>
        </w:rPr>
        <w:t xml:space="preserve">to </w:t>
      </w:r>
      <w:r>
        <w:rPr>
          <w:rFonts w:ascii="Times New Roman;Times;serif" w:hAnsi="Times New Roman;Times;serif"/>
          <w:sz w:val="16"/>
        </w:rPr>
        <w:t>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 001-39281</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44"/>
        </w:rPr>
      </w:pPr>
      <w:r>
        <w:rPr>
          <w:rFonts w:ascii="Times New Roman;Times;serif" w:hAnsi="Times New Roman;Times;serif"/>
          <w:b/>
          <w:i w:val="false"/>
          <w:caps w:val="false"/>
          <w:smallCaps w:val="false"/>
          <w:sz w:val="44"/>
        </w:rPr>
        <w:t>TMC THE METALS COMPANY INC.</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4" w:name="Tc_SDZ5B-Jvkk-wgfbxbmogWg_2_2"/>
      <w:bookmarkStart w:id="5" w:name="Tc_Yqn_Ef_1t0evKv0EdBNTIA_2_0"/>
      <w:bookmarkStart w:id="6" w:name="Tc_ZFGkBGZEGkOcPaLOym_uqA_0_0"/>
      <w:bookmarkStart w:id="7" w:name="_489ed942_4f0d_47f6_a1b5_4fa1fa7265de"/>
      <w:bookmarkStart w:id="8" w:name="Tc_SDZ5B-Jvkk-wgfbxbmogWg_2_2"/>
      <w:bookmarkStart w:id="9" w:name="Tc_Yqn_Ef_1t0evKv0EdBNTIA_2_0"/>
      <w:bookmarkStart w:id="10" w:name="Tc_ZFGkBGZEGkOcPaLOym_uqA_0_0"/>
      <w:bookmarkStart w:id="11" w:name="_489ed942_4f0d_47f6_a1b5_4fa1fa7265de"/>
      <w:bookmarkEnd w:id="8"/>
      <w:bookmarkEnd w:id="9"/>
      <w:bookmarkEnd w:id="10"/>
      <w:bookmarkEnd w:id="11"/>
    </w:p>
    <w:tbl>
      <w:tblPr>
        <w:tblW w:w="7248" w:type="dxa"/>
        <w:jc w:val="left"/>
        <w:tblInd w:w="0" w:type="dxa"/>
        <w:tblLayout w:type="fixed"/>
        <w:tblCellMar>
          <w:top w:w="0" w:type="dxa"/>
          <w:left w:w="0" w:type="dxa"/>
          <w:bottom w:w="0" w:type="dxa"/>
          <w:right w:w="0" w:type="dxa"/>
        </w:tblCellMar>
      </w:tblPr>
      <w:tblGrid>
        <w:gridCol w:w="4321"/>
        <w:gridCol w:w="346"/>
        <w:gridCol w:w="2581"/>
      </w:tblGrid>
      <w:tr>
        <w:trPr/>
        <w:tc>
          <w:tcPr>
            <w:tcW w:w="432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British Columbia, Canada</w:t>
            </w:r>
          </w:p>
        </w:tc>
        <w:tc>
          <w:tcPr>
            <w:tcW w:w="346" w:type="dxa"/>
            <w:tcBorders/>
            <w:vAlign w:val="center"/>
          </w:tcPr>
          <w:p>
            <w:pPr>
              <w:pStyle w:val="TableContents"/>
              <w:bidi w:val="0"/>
              <w:spacing w:before="0" w:after="0"/>
              <w:ind w:left="0" w:right="0" w:hanging="0"/>
              <w:jc w:val="left"/>
              <w:rPr/>
            </w:pPr>
            <w:r>
              <w:rPr/>
              <w:t>  ​ ​ ​</w:t>
            </w:r>
          </w:p>
        </w:tc>
        <w:tc>
          <w:tcPr>
            <w:tcW w:w="2581"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 Applicable</w:t>
            </w:r>
          </w:p>
        </w:tc>
      </w:tr>
      <w:tr>
        <w:trPr/>
        <w:tc>
          <w:tcPr>
            <w:tcW w:w="43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pPr>
            <w:r>
              <w:rPr/>
              <w:t>​</w:t>
            </w:r>
          </w:p>
        </w:tc>
      </w:tr>
      <w:tr>
        <w:trPr/>
        <w:tc>
          <w:tcPr>
            <w:tcW w:w="4321" w:type="dxa"/>
            <w:tcBorders/>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 or organization)</w:t>
            </w:r>
          </w:p>
        </w:tc>
        <w:tc>
          <w:tcPr>
            <w:tcW w:w="346"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bl>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2" w:name="Tc_8RA1wzHcuUeYZZQTvoEkIA_4_2"/>
      <w:bookmarkStart w:id="13" w:name="Tc_yg9P0raFZkeXkbaEYKRaVQ_4_0"/>
      <w:bookmarkStart w:id="14" w:name="Tc_64wSjJkIrUuuBESviDG1lg_2_0"/>
      <w:bookmarkStart w:id="15" w:name="Tc_x6z9x_FlfkKgeK-aSvVYsg_1_0"/>
      <w:bookmarkStart w:id="16" w:name="_d7746b50_3e4f_49be_95d2_6cd734f1f800"/>
      <w:bookmarkStart w:id="17" w:name="Tc_8RA1wzHcuUeYZZQTvoEkIA_4_2"/>
      <w:bookmarkStart w:id="18" w:name="Tc_yg9P0raFZkeXkbaEYKRaVQ_4_0"/>
      <w:bookmarkStart w:id="19" w:name="Tc_64wSjJkIrUuuBESviDG1lg_2_0"/>
      <w:bookmarkStart w:id="20" w:name="Tc_x6z9x_FlfkKgeK-aSvVYsg_1_0"/>
      <w:bookmarkStart w:id="21" w:name="_d7746b50_3e4f_49be_95d2_6cd734f1f800"/>
      <w:bookmarkEnd w:id="17"/>
      <w:bookmarkEnd w:id="18"/>
      <w:bookmarkEnd w:id="19"/>
      <w:bookmarkEnd w:id="20"/>
      <w:bookmarkEnd w:id="21"/>
    </w:p>
    <w:tbl>
      <w:tblPr>
        <w:tblW w:w="4293" w:type="dxa"/>
        <w:jc w:val="left"/>
        <w:tblInd w:w="0" w:type="dxa"/>
        <w:tblLayout w:type="fixed"/>
        <w:tblCellMar>
          <w:top w:w="0" w:type="dxa"/>
          <w:left w:w="0" w:type="dxa"/>
          <w:bottom w:w="0" w:type="dxa"/>
          <w:right w:w="0" w:type="dxa"/>
        </w:tblCellMar>
      </w:tblPr>
      <w:tblGrid>
        <w:gridCol w:w="3016"/>
        <w:gridCol w:w="346"/>
        <w:gridCol w:w="931"/>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1111 West Hastings Street, 15th Floor</w:t>
            </w:r>
          </w:p>
        </w:tc>
        <w:tc>
          <w:tcPr>
            <w:tcW w:w="346" w:type="dxa"/>
            <w:tcBorders/>
            <w:vAlign w:val="center"/>
          </w:tcPr>
          <w:p>
            <w:pPr>
              <w:pStyle w:val="TableContents"/>
              <w:bidi w:val="0"/>
              <w:spacing w:before="0" w:after="0"/>
              <w:ind w:left="0" w:right="0" w:hanging="0"/>
              <w:jc w:val="left"/>
              <w:rPr/>
            </w:pPr>
            <w:r>
              <w:rPr/>
              <w:t>  ​ ​ ​</w:t>
            </w:r>
          </w:p>
        </w:tc>
        <w:tc>
          <w:tcPr>
            <w:tcW w:w="931" w:type="dxa"/>
            <w:tcBorders/>
            <w:vAlign w:val="center"/>
          </w:tcPr>
          <w:p>
            <w:pPr>
              <w:pStyle w:val="TableContents"/>
              <w:bidi w:val="0"/>
              <w:spacing w:before="0" w:after="0"/>
              <w:ind w:left="0" w:right="0" w:hanging="0"/>
              <w:jc w:val="center"/>
              <w:rPr/>
            </w:pPr>
            <w:r>
              <w:rPr/>
              <w:t>​</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Vancouver, British Columbia</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V6E 2J3</w:t>
            </w:r>
          </w:p>
        </w:tc>
      </w:tr>
      <w:tr>
        <w:trPr/>
        <w:tc>
          <w:tcPr>
            <w:tcW w:w="30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r>
      <w:tr>
        <w:trPr/>
        <w:tc>
          <w:tcPr>
            <w:tcW w:w="3016" w:type="dxa"/>
            <w:tcBorders/>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(888) 458-3420</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Not applicable</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2" w:name="Tc_28GsMfmBbE-kLachIzBmPw_4_4"/>
      <w:bookmarkStart w:id="23" w:name="Tc_466e5YH6a0mXTt-3k2JZIw_2_4"/>
      <w:bookmarkStart w:id="24" w:name="Tc_41gTBX_XkUWxbFpp_BHHxA_0_4"/>
      <w:bookmarkStart w:id="25" w:name="Tc_Kq7y_bsgrEuzzmyZADieZw_0_2"/>
      <w:bookmarkStart w:id="26" w:name="Tc_91NPGc2Zeku8BQ3bzwswQQ_0_0"/>
      <w:bookmarkStart w:id="27" w:name="_077cefb7_0cdf_49f9_8c5e_1b4ce430b0fa"/>
      <w:bookmarkStart w:id="28" w:name="Tc_28GsMfmBbE-kLachIzBmPw_4_4"/>
      <w:bookmarkStart w:id="29" w:name="Tc_466e5YH6a0mXTt-3k2JZIw_2_4"/>
      <w:bookmarkStart w:id="30" w:name="Tc_41gTBX_XkUWxbFpp_BHHxA_0_4"/>
      <w:bookmarkStart w:id="31" w:name="Tc_Kq7y_bsgrEuzzmyZADieZw_0_2"/>
      <w:bookmarkStart w:id="32" w:name="Tc_91NPGc2Zeku8BQ3bzwswQQ_0_0"/>
      <w:bookmarkStart w:id="33" w:name="_077cefb7_0cdf_49f9_8c5e_1b4ce430b0fa"/>
      <w:bookmarkEnd w:id="28"/>
      <w:bookmarkEnd w:id="29"/>
      <w:bookmarkEnd w:id="30"/>
      <w:bookmarkEnd w:id="31"/>
      <w:bookmarkEnd w:id="32"/>
      <w:bookmarkEnd w:id="33"/>
    </w:p>
    <w:tbl>
      <w:tblPr>
        <w:tblW w:w="8495" w:type="dxa"/>
        <w:jc w:val="left"/>
        <w:tblInd w:w="0" w:type="dxa"/>
        <w:tblLayout w:type="fixed"/>
        <w:tblCellMar>
          <w:top w:w="0" w:type="dxa"/>
          <w:left w:w="0" w:type="dxa"/>
          <w:bottom w:w="28" w:type="dxa"/>
          <w:right w:w="0" w:type="dxa"/>
        </w:tblCellMar>
      </w:tblPr>
      <w:tblGrid>
        <w:gridCol w:w="3436"/>
        <w:gridCol w:w="346"/>
        <w:gridCol w:w="886"/>
        <w:gridCol w:w="346"/>
        <w:gridCol w:w="3481"/>
      </w:tblGrid>
      <w:tr>
        <w:trPr/>
        <w:tc>
          <w:tcPr>
            <w:tcW w:w="343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46" w:type="dxa"/>
            <w:tcBorders>
              <w:bottom w:val="single" w:sz="8" w:space="0" w:color="000000"/>
            </w:tcBorders>
            <w:vAlign w:val="center"/>
          </w:tcPr>
          <w:p>
            <w:pPr>
              <w:pStyle w:val="TableContents"/>
              <w:bidi w:val="0"/>
              <w:spacing w:before="0" w:after="0"/>
              <w:ind w:left="0" w:right="0" w:hanging="0"/>
              <w:jc w:val="left"/>
              <w:rPr/>
            </w:pPr>
            <w:r>
              <w:rPr/>
              <w:t>  ​ ​ ​</w:t>
            </w:r>
          </w:p>
        </w:tc>
        <w:tc>
          <w:tcPr>
            <w:tcW w:w="88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w:t>
              <w:br/>
              <w:t>Symbol(s)</w:t>
            </w:r>
          </w:p>
        </w:tc>
        <w:tc>
          <w:tcPr>
            <w:tcW w:w="346" w:type="dxa"/>
            <w:tcBorders>
              <w:bottom w:val="single" w:sz="8" w:space="0" w:color="000000"/>
            </w:tcBorders>
            <w:vAlign w:val="center"/>
          </w:tcPr>
          <w:p>
            <w:pPr>
              <w:pStyle w:val="TableContents"/>
              <w:bidi w:val="0"/>
              <w:spacing w:before="0" w:after="0"/>
              <w:ind w:left="0" w:right="0" w:hanging="0"/>
              <w:jc w:val="left"/>
              <w:rPr/>
            </w:pPr>
            <w:r>
              <w:rPr/>
              <w:t>  ​ ​ ​</w:t>
            </w:r>
          </w:p>
        </w:tc>
        <w:tc>
          <w:tcPr>
            <w:tcW w:w="348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436" w:type="dxa"/>
            <w:tcBorders>
              <w:top w:val="single" w:sz="8" w:space="0" w:color="000000"/>
            </w:tcBorders>
            <w:tcMar>
              <w:top w:w="28" w:type="dxa"/>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86" w:type="dxa"/>
            <w:tcBorders>
              <w:top w:val="single" w:sz="8" w:space="0" w:color="000000"/>
            </w:tcBorders>
            <w:tcMar>
              <w:top w:w="28" w:type="dxa"/>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481" w:type="dxa"/>
            <w:tcBorders>
              <w:top w:val="single" w:sz="8" w:space="0" w:color="000000"/>
            </w:tcBorders>
            <w:tcMar>
              <w:top w:w="28" w:type="dxa"/>
              <w:bottom w:w="0" w:type="dxa"/>
            </w:tcMar>
            <w:vAlign w:val="center"/>
          </w:tcPr>
          <w:p>
            <w:pPr>
              <w:pStyle w:val="TableContents"/>
              <w:bidi w:val="0"/>
              <w:spacing w:before="0" w:after="0"/>
              <w:ind w:left="0" w:right="0" w:hanging="0"/>
              <w:jc w:val="center"/>
              <w:rPr/>
            </w:pPr>
            <w:r>
              <w:rPr/>
              <w:t>​</w:t>
            </w:r>
          </w:p>
        </w:tc>
      </w:tr>
      <w:tr>
        <w:trPr/>
        <w:tc>
          <w:tcPr>
            <w:tcW w:w="3436"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Shares, without par value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TMC</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48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Stock Market LLC</w:t>
            </w:r>
          </w:p>
        </w:tc>
      </w:tr>
      <w:tr>
        <w:trPr/>
        <w:tc>
          <w:tcPr>
            <w:tcW w:w="3436" w:type="dxa"/>
            <w:tcBorders/>
            <w:tcMar>
              <w:bottom w:w="0" w:type="dxa"/>
            </w:tcMar>
            <w:vAlign w:val="center"/>
          </w:tcPr>
          <w:p>
            <w:pPr>
              <w:pStyle w:val="TableContents"/>
              <w:pBdr/>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86"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481" w:type="dxa"/>
            <w:tcBorders/>
            <w:tcMar>
              <w:bottom w:w="0" w:type="dxa"/>
            </w:tcMar>
            <w:vAlign w:val="center"/>
          </w:tcPr>
          <w:p>
            <w:pPr>
              <w:pStyle w:val="TableContents"/>
              <w:bidi w:val="0"/>
              <w:spacing w:before="0" w:after="0"/>
              <w:ind w:left="0" w:right="0" w:hanging="0"/>
              <w:jc w:val="center"/>
              <w:rPr/>
            </w:pPr>
            <w:r>
              <w:rPr/>
              <w:t>​</w:t>
            </w:r>
          </w:p>
        </w:tc>
      </w:tr>
      <w:tr>
        <w:trPr/>
        <w:tc>
          <w:tcPr>
            <w:tcW w:w="3436"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Redeemable warrants, each whole warrant </w:t>
              <w:br/>
              <w:t xml:space="preserve">exercisable for one Common Share, each at an </w:t>
              <w:br/>
              <w:t>exercise price of $11.50 per share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TMCWW</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48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Stock Market LLC</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 large-accelerated filer, an accelerated filer, a non-accelerated filer, a smaller reporting company, or an emerging growth company. See the definitions of “large-accelerated filer,” “accelerated filer,” “smaller reporting company,” and “emerging growth company” in Rule 12b-2 of the Exchange Act.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34" w:name="Tc_q7iGRYDDkEOhIPbVTemGpw_4_2"/>
      <w:bookmarkStart w:id="35" w:name="Tc_0wyL-6euy0Kw15t4y6Jr5g_3_2"/>
      <w:bookmarkStart w:id="36" w:name="Tc_34JACd97NEWc3cHIteZbog_3_0"/>
      <w:bookmarkStart w:id="37" w:name="Tc__w9G8_LVdkKAK8Ddq74AYg_2_4"/>
      <w:bookmarkStart w:id="38" w:name="Tc_GUJRf6qdI0-ZjEw5M8Ejfw_2_2"/>
      <w:bookmarkStart w:id="39" w:name="Tc_juFG2fh9wU2QJ3BVJXiZpA_2_0"/>
      <w:bookmarkStart w:id="40" w:name="_ec628ae9_ea58_4763_add7_ea6585c32108"/>
      <w:bookmarkStart w:id="41" w:name="Tc_q7iGRYDDkEOhIPbVTemGpw_4_2"/>
      <w:bookmarkStart w:id="42" w:name="Tc_0wyL-6euy0Kw15t4y6Jr5g_3_2"/>
      <w:bookmarkStart w:id="43" w:name="Tc_34JACd97NEWc3cHIteZbog_3_0"/>
      <w:bookmarkStart w:id="44" w:name="Tc__w9G8_LVdkKAK8Ddq74AYg_2_4"/>
      <w:bookmarkStart w:id="45" w:name="Tc_GUJRf6qdI0-ZjEw5M8Ejfw_2_2"/>
      <w:bookmarkStart w:id="46" w:name="Tc_juFG2fh9wU2QJ3BVJXiZpA_2_0"/>
      <w:bookmarkStart w:id="47" w:name="_ec628ae9_ea58_4763_add7_ea6585c32108"/>
      <w:bookmarkEnd w:id="41"/>
      <w:bookmarkEnd w:id="42"/>
      <w:bookmarkEnd w:id="43"/>
      <w:bookmarkEnd w:id="44"/>
      <w:bookmarkEnd w:id="45"/>
      <w:bookmarkEnd w:id="46"/>
      <w:bookmarkEnd w:id="47"/>
    </w:p>
    <w:tbl>
      <w:tblPr>
        <w:tblW w:w="4980" w:type="dxa"/>
        <w:jc w:val="left"/>
        <w:tblInd w:w="0" w:type="dxa"/>
        <w:tblLayout w:type="fixed"/>
        <w:tblCellMar>
          <w:top w:w="0" w:type="dxa"/>
          <w:left w:w="0" w:type="dxa"/>
          <w:bottom w:w="0" w:type="dxa"/>
          <w:right w:w="0" w:type="dxa"/>
        </w:tblCellMar>
      </w:tblPr>
      <w:tblGrid>
        <w:gridCol w:w="1906"/>
        <w:gridCol w:w="326"/>
        <w:gridCol w:w="2041"/>
        <w:gridCol w:w="346"/>
        <w:gridCol w:w="361"/>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210310" cy="29210"/>
                      <wp:effectExtent l="0" t="0" r="0" b="0"/>
                      <wp:wrapNone/>
                      <wp:docPr id="1" name="Frame1"/>
                      <a:graphic xmlns:a="http://schemas.openxmlformats.org/drawingml/2006/main">
                        <a:graphicData uri="http://schemas.microsoft.com/office/word/2010/wordprocessingShape">
                          <wps:wsp>
                            <wps:cNvSpPr txBox="1"/>
                            <wps:spPr>
                              <a:xfrm>
                                <a:off x="0" y="0"/>
                                <a:ext cx="12103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29210"/>
                      <wp:effectExtent l="0" t="0" r="0" b="0"/>
                      <wp:wrapNone/>
                      <wp:docPr id="2" name="Frame2"/>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296035" cy="29210"/>
                      <wp:effectExtent l="0" t="0" r="0" b="0"/>
                      <wp:wrapNone/>
                      <wp:docPr id="3" name="Frame3"/>
                      <a:graphic xmlns:a="http://schemas.openxmlformats.org/drawingml/2006/main">
                        <a:graphicData uri="http://schemas.microsoft.com/office/word/2010/wordprocessingShape">
                          <wps:wsp>
                            <wps:cNvSpPr txBox="1"/>
                            <wps:spPr>
                              <a:xfrm>
                                <a:off x="0" y="0"/>
                                <a:ext cx="1296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29210"/>
                      <wp:effectExtent l="0" t="0" r="0" b="0"/>
                      <wp:wrapNone/>
                      <wp:docPr id="4" name="Frame4"/>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29235" cy="29210"/>
                      <wp:effectExtent l="0" t="0" r="0" b="0"/>
                      <wp:wrapNone/>
                      <wp:docPr id="5" name="Frame5"/>
                      <a:graphic xmlns:a="http://schemas.openxmlformats.org/drawingml/2006/main">
                        <a:graphicData uri="http://schemas.microsoft.com/office/word/2010/wordprocessingShape">
                          <wps:wsp>
                            <wps:cNvSpPr txBox="1"/>
                            <wps:spPr>
                              <a:xfrm>
                                <a:off x="0" y="0"/>
                                <a:ext cx="229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10310" cy="29210"/>
                      <wp:effectExtent l="0" t="0" r="0" b="0"/>
                      <wp:wrapNone/>
                      <wp:docPr id="6" name="Frame6"/>
                      <a:graphic xmlns:a="http://schemas.openxmlformats.org/drawingml/2006/main">
                        <a:graphicData uri="http://schemas.microsoft.com/office/word/2010/wordprocessingShape">
                          <wps:wsp>
                            <wps:cNvSpPr txBox="1"/>
                            <wps:spPr>
                              <a:xfrm>
                                <a:off x="0" y="0"/>
                                <a:ext cx="12103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29210"/>
                      <wp:effectExtent l="0" t="0" r="0" b="0"/>
                      <wp:wrapNone/>
                      <wp:docPr id="7" name="Frame7"/>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296035" cy="29210"/>
                      <wp:effectExtent l="0" t="0" r="0" b="0"/>
                      <wp:wrapNone/>
                      <wp:docPr id="8" name="Frame8"/>
                      <a:graphic xmlns:a="http://schemas.openxmlformats.org/drawingml/2006/main">
                        <a:graphicData uri="http://schemas.microsoft.com/office/word/2010/wordprocessingShape">
                          <wps:wsp>
                            <wps:cNvSpPr txBox="1"/>
                            <wps:spPr>
                              <a:xfrm>
                                <a:off x="0" y="0"/>
                                <a:ext cx="1296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29210"/>
                      <wp:effectExtent l="0" t="0" r="0" b="0"/>
                      <wp:wrapNone/>
                      <wp:docPr id="9" name="Frame9"/>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29235" cy="29210"/>
                      <wp:effectExtent l="0" t="0" r="0" b="0"/>
                      <wp:wrapNone/>
                      <wp:docPr id="10" name="Frame10"/>
                      <a:graphic xmlns:a="http://schemas.openxmlformats.org/drawingml/2006/main">
                        <a:graphicData uri="http://schemas.microsoft.com/office/word/2010/wordprocessingShape">
                          <wps:wsp>
                            <wps:cNvSpPr txBox="1"/>
                            <wps:spPr>
                              <a:xfrm>
                                <a:off x="0" y="0"/>
                                <a:ext cx="229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0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Large-accelerated filer ☐</w:t>
            </w:r>
          </w:p>
        </w:tc>
        <w:tc>
          <w:tcPr>
            <w:tcW w:w="326" w:type="dxa"/>
            <w:tcBorders/>
            <w:vAlign w:val="center"/>
          </w:tcPr>
          <w:p>
            <w:pPr>
              <w:pStyle w:val="TableContents"/>
              <w:bidi w:val="0"/>
              <w:spacing w:before="0" w:after="0"/>
              <w:ind w:left="0" w:right="0" w:hanging="0"/>
              <w:jc w:val="left"/>
              <w:rPr/>
            </w:pPr>
            <w:r>
              <w:rPr/>
              <w:t>    </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46" w:type="dxa"/>
            <w:tcBorders/>
            <w:vAlign w:val="center"/>
          </w:tcPr>
          <w:p>
            <w:pPr>
              <w:pStyle w:val="TableContents"/>
              <w:bidi w:val="0"/>
              <w:spacing w:before="0" w:after="0"/>
              <w:ind w:left="0" w:right="0" w:hanging="0"/>
              <w:jc w:val="left"/>
              <w:rPr/>
            </w:pPr>
            <w:r>
              <w:rPr/>
              <w:t>  ​ ​ ​</w:t>
            </w:r>
          </w:p>
        </w:tc>
        <w:tc>
          <w:tcPr>
            <w:tcW w:w="361" w:type="dxa"/>
            <w:tcBorders/>
            <w:vAlign w:val="center"/>
          </w:tcPr>
          <w:p>
            <w:pPr>
              <w:pStyle w:val="TableContents"/>
              <w:bidi w:val="0"/>
              <w:spacing w:before="0" w:after="0"/>
              <w:ind w:left="0" w:right="0" w:hanging="0"/>
              <w:jc w:val="left"/>
              <w:rPr/>
            </w:pPr>
            <w:r>
              <w:rPr/>
              <w:t>☐</w:t>
            </w:r>
          </w:p>
        </w:tc>
      </w:tr>
      <w:tr>
        <w:trPr/>
        <w:tc>
          <w:tcPr>
            <w:tcW w:w="19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18"/>
              </w:rPr>
              <w:t>Non-accelerated filer</w:t>
            </w:r>
            <w:r>
              <w:rPr>
                <w:rFonts w:ascii="Times New Roman;Times;serif" w:hAnsi="Times New Roman;Times;serif"/>
                <w:sz w:val="20"/>
              </w:rPr>
              <w:t>   ☒</w:t>
            </w:r>
          </w:p>
        </w:tc>
        <w:tc>
          <w:tcPr>
            <w:tcW w:w="32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As of August 11, 2026, the registrant had 441,135,482 common shares outstanding.</w:t>
      </w:r>
    </w:p>
    <w:p>
      <w:pPr>
        <w:pStyle w:val="TextBody"/>
        <w:bidi w:val="0"/>
        <w:spacing w:before="0" w:after="0"/>
        <w:ind w:left="0" w:right="0" w:hanging="0"/>
        <w:jc w:val="both"/>
        <w:rPr/>
      </w:pPr>
      <w:r>
        <w:rPr/>
        <w:t>​</w:t>
      </w:r>
    </w:p>
    <w:p>
      <w:pPr>
        <w:pStyle w:val="TextBody"/>
        <w:pBdr>
          <w:top w:val="single" w:sz="2" w:space="1" w:color="000000"/>
          <w:bottom w:val="single" w:sz="24" w:space="1" w:color="000000"/>
        </w:pBdr>
        <w:bidi w:val="0"/>
        <w:spacing w:before="0" w:after="240"/>
        <w:ind w:left="0" w:right="0" w:firstLine="360"/>
        <w:jc w:val="center"/>
        <w:rPr/>
      </w:pPr>
      <w:r>
        <w:rPr/>
        <w:t>​</w:t>
      </w:r>
    </w:p>
    <w:p>
      <w:pPr>
        <w:pStyle w:val="TextBody"/>
        <w:bidi w:val="0"/>
        <w:spacing w:before="0" w:after="240"/>
        <w:ind w:left="0" w:right="0" w:hanging="0"/>
        <w:jc w:val="both"/>
        <w:rPr/>
      </w:pPr>
      <w:r>
        <w:rPr/>
        <w:t>​</w:t>
      </w:r>
    </w:p>
    <w:p>
      <w:pPr>
        <w:pStyle w:val="TextBody"/>
        <w:bidi w:val="0"/>
        <w:spacing w:before="0" w:after="240"/>
        <w:ind w:left="0" w:right="0" w:firstLine="36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48" w:name="_547701a8_cf02_4a24_892b_3a5c3119ab6c"/>
      <w:bookmarkEnd w:id="48"/>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For the quarterly period ended June 30, 2026</w:t>
      </w:r>
    </w:p>
    <w:p>
      <w:pPr>
        <w:pStyle w:val="TextBody"/>
        <w:bidi w:val="0"/>
        <w:spacing w:before="0" w:after="0"/>
        <w:ind w:left="0" w:right="0" w:hanging="0"/>
        <w:jc w:val="center"/>
        <w:rPr>
          <w:rFonts w:ascii="Times New Roman;Times;serif" w:hAnsi="Times New Roman;Times;serif"/>
          <w:b/>
          <w:sz w:val="20"/>
        </w:rPr>
      </w:pPr>
      <w:bookmarkStart w:id="49" w:name="TOC"/>
      <w:bookmarkEnd w:id="49"/>
      <w:r>
        <w:rPr>
          <w:rFonts w:ascii="Times New Roman;Times;serif" w:hAnsi="Times New Roman;Times;serif"/>
          <w:b/>
          <w:sz w:val="20"/>
        </w:rPr>
        <w:t>TABLE OF CONTENTS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976"/>
        <w:gridCol w:w="346"/>
        <w:gridCol w:w="7966"/>
        <w:gridCol w:w="346"/>
        <w:gridCol w:w="571"/>
      </w:tblGrid>
      <w:tr>
        <w:trPr/>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19760" cy="525780"/>
                      <wp:effectExtent l="0" t="0" r="0" b="0"/>
                      <wp:wrapNone/>
                      <wp:docPr id="11" name="Frame11"/>
                      <a:graphic xmlns:a="http://schemas.openxmlformats.org/drawingml/2006/main">
                        <a:graphicData uri="http://schemas.microsoft.com/office/word/2010/wordprocessingShape">
                          <wps:wsp>
                            <wps:cNvSpPr txBox="1"/>
                            <wps:spPr>
                              <a:xfrm>
                                <a:off x="0" y="0"/>
                                <a:ext cx="619760" cy="525780"/>
                              </a:xfrm>
                              <a:prstGeom prst="rect"/>
                              <a:solidFill>
                                <a:srgbClr val="FFFFFF"/>
                              </a:solidFill>
                            </wps:spPr>
                            <wps:txbx>
                              <w:txbxContent>
                                <w:p>
                                  <w:pPr>
                                    <w:pStyle w:val="TableContents"/>
                                    <w:bidi w:val="0"/>
                                    <w:spacing w:before="0" w:after="0"/>
                                    <w:ind w:left="0" w:right="0" w:hanging="0"/>
                                    <w:jc w:val="both"/>
                                    <w:rPr/>
                                  </w:pPr>
                                  <w:r>
                                    <w:rPr/>
                                    <w:t>​</w:t>
                                  </w:r>
                                </w:p>
                                <w:p>
                                  <w:pPr>
                                    <w:pStyle w:val="TableContents"/>
                                    <w:bidi w:val="0"/>
                                    <w:spacing w:before="0" w:after="0"/>
                                    <w:ind w:left="0" w:right="0" w:hanging="0"/>
                                    <w:jc w:val="both"/>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p>
                            <w:pPr>
                              <w:pStyle w:val="TableContents"/>
                              <w:bidi w:val="0"/>
                              <w:spacing w:before="0" w:after="0"/>
                              <w:ind w:left="0" w:right="0" w:hanging="0"/>
                              <w:jc w:val="both"/>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29210"/>
                      <wp:effectExtent l="0" t="0" r="0" b="0"/>
                      <wp:wrapNone/>
                      <wp:docPr id="12" name="Frame1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058410" cy="175260"/>
                      <wp:effectExtent l="0" t="0" r="0" b="0"/>
                      <wp:wrapNone/>
                      <wp:docPr id="13" name="Frame13"/>
                      <a:graphic xmlns:a="http://schemas.openxmlformats.org/drawingml/2006/main">
                        <a:graphicData uri="http://schemas.microsoft.com/office/word/2010/wordprocessingShape">
                          <wps:wsp>
                            <wps:cNvSpPr txBox="1"/>
                            <wps:spPr>
                              <a:xfrm>
                                <a:off x="0" y="0"/>
                                <a:ext cx="505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29210"/>
                      <wp:effectExtent l="0" t="0" r="0" b="0"/>
                      <wp:wrapNone/>
                      <wp:docPr id="14" name="Frame14"/>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362585" cy="29210"/>
                      <wp:effectExtent l="0" t="0" r="0" b="0"/>
                      <wp:wrapNone/>
                      <wp:docPr id="15" name="Frame15"/>
                      <a:graphic xmlns:a="http://schemas.openxmlformats.org/drawingml/2006/main">
                        <a:graphicData uri="http://schemas.microsoft.com/office/word/2010/wordprocessingShape">
                          <wps:wsp>
                            <wps:cNvSpPr txBox="1"/>
                            <wps:spPr>
                              <a:xfrm>
                                <a:off x="0" y="0"/>
                                <a:ext cx="362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top w:val="single" w:sz="8" w:space="0" w:color="000000"/>
            </w:tcBorders>
            <w:tcMar>
              <w:top w:w="28" w:type="dxa"/>
            </w:tcMar>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bidi w:val="0"/>
              <w:spacing w:before="0" w:after="0"/>
              <w:ind w:left="0" w:right="0" w:hanging="0"/>
              <w:jc w:val="left"/>
              <w:rPr/>
            </w:pPr>
            <w:hyperlink w:anchor="CAUTIONARYNOTEREGARDINGFORWARDLOOKINGSTA">
              <w:r>
                <w:rPr>
                  <w:rStyle w:val="InternetLink"/>
                  <w:rFonts w:ascii="Times New Roman;Times;serif" w:hAnsi="Times New Roman;Times;serif"/>
                  <w:b w:val="false"/>
                  <w:i w:val="false"/>
                  <w:caps w:val="false"/>
                  <w:smallCaps w:val="false"/>
                  <w:sz w:val="20"/>
                </w:rPr>
                <w:t>Cautionary Note Regarding Forward-Looking Statements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PARTIFINANCIALINFORMATION_598400">
              <w:r>
                <w:rPr>
                  <w:rStyle w:val="InternetLink"/>
                  <w:rFonts w:ascii="Times New Roman;Times;serif" w:hAnsi="Times New Roman;Times;serif"/>
                  <w:b/>
                  <w:i w:val="false"/>
                  <w:caps w:val="false"/>
                  <w:smallCaps w:val="false"/>
                  <w:sz w:val="20"/>
                </w:rPr>
                <w:t>Part I</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bidi w:val="0"/>
              <w:spacing w:before="0" w:after="0"/>
              <w:ind w:left="0" w:right="0" w:hanging="0"/>
              <w:jc w:val="left"/>
              <w:rPr/>
            </w:pPr>
            <w:hyperlink w:anchor="PARTIFINANCIALINFORMATION_598400">
              <w:r>
                <w:rPr>
                  <w:rStyle w:val="InternetLink"/>
                  <w:rFonts w:ascii="Times New Roman;Times;serif" w:hAnsi="Times New Roman;Times;serif"/>
                  <w:b/>
                  <w:i w:val="false"/>
                  <w:caps w:val="false"/>
                  <w:smallCaps w:val="false"/>
                  <w:sz w:val="20"/>
                </w:rPr>
                <w:t>Financial Information</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1FinancialStatements_168789">
              <w:r>
                <w:rPr>
                  <w:rStyle w:val="InternetLink"/>
                  <w:rFonts w:ascii="Times New Roman;Times;serif" w:hAnsi="Times New Roman;Times;serif"/>
                  <w:b w:val="false"/>
                  <w:i w:val="false"/>
                  <w:caps w:val="false"/>
                  <w:smallCaps w:val="false"/>
                  <w:sz w:val="20"/>
                </w:rPr>
                <w:t>Item 1.</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bidi w:val="0"/>
              <w:spacing w:before="0" w:after="0"/>
              <w:ind w:left="0" w:right="0" w:hanging="0"/>
              <w:jc w:val="left"/>
              <w:rPr/>
            </w:pPr>
            <w:hyperlink w:anchor="Item1FinancialStatements_168789">
              <w:r>
                <w:rPr>
                  <w:rStyle w:val="InternetLink"/>
                  <w:rFonts w:ascii="Times New Roman;Times;serif" w:hAnsi="Times New Roman;Times;serif"/>
                  <w:b w:val="false"/>
                  <w:i w:val="false"/>
                  <w:caps w:val="false"/>
                  <w:smallCaps w:val="false"/>
                  <w:sz w:val="20"/>
                </w:rPr>
                <w:t>Financial Statements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pBdr/>
              <w:bidi w:val="0"/>
              <w:spacing w:before="0" w:after="0"/>
              <w:ind w:left="0" w:right="0" w:hanging="0"/>
              <w:jc w:val="left"/>
              <w:rPr/>
            </w:pPr>
            <w:hyperlink w:anchor="CondensedConsolidatedBalanceSheets_49440">
              <w:r>
                <w:rPr>
                  <w:rStyle w:val="InternetLink"/>
                  <w:rFonts w:ascii="Times New Roman;Times;serif" w:hAnsi="Times New Roman;Times;serif"/>
                  <w:b w:val="false"/>
                  <w:i w:val="false"/>
                  <w:caps w:val="false"/>
                  <w:smallCaps w:val="false"/>
                  <w:sz w:val="20"/>
                </w:rPr>
                <w:t>Condensed Consolidated Balance Sheets as of June 30, 2026 and December 31, 2025 (Unaudited)</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bidi w:val="0"/>
              <w:spacing w:before="0" w:after="0"/>
              <w:ind w:left="0" w:right="0" w:hanging="0"/>
              <w:jc w:val="left"/>
              <w:rPr/>
            </w:pPr>
            <w:hyperlink w:anchor="CondensedConsolidatedStatementsofLossand">
              <w:r>
                <w:rPr>
                  <w:rStyle w:val="InternetLink"/>
                  <w:rFonts w:ascii="Times New Roman;Times;serif" w:hAnsi="Times New Roman;Times;serif"/>
                  <w:b w:val="false"/>
                  <w:i w:val="false"/>
                  <w:caps w:val="false"/>
                  <w:smallCaps w:val="false"/>
                  <w:sz w:val="20"/>
                </w:rPr>
                <w:t>Condensed Consolidated Statements of Loss and Comprehensive Loss for the three and six months ended June 30, 2026 and 2025 (Unaudited)</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bidi w:val="0"/>
              <w:spacing w:before="0" w:after="0"/>
              <w:ind w:left="0" w:right="0" w:hanging="0"/>
              <w:jc w:val="left"/>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Changes in Equity for the three and six months ended June 30, 2026 and 2025 (Unaudited)</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three and six months ended June 30, 2026 and 2025 (Unaudited)</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bidi w:val="0"/>
              <w:spacing w:before="0" w:after="0"/>
              <w:ind w:left="0" w:right="0" w:hanging="0"/>
              <w:jc w:val="left"/>
              <w:rPr/>
            </w:pPr>
            <w:hyperlink w:anchor="a1NatureofOperations_669125">
              <w:r>
                <w:rPr>
                  <w:rStyle w:val="InternetLink"/>
                  <w:rFonts w:ascii="Times New Roman;Times;serif" w:hAnsi="Times New Roman;Times;serif"/>
                  <w:b w:val="false"/>
                  <w:i w:val="false"/>
                  <w:caps w:val="false"/>
                  <w:smallCaps w:val="false"/>
                  <w:sz w:val="20"/>
                </w:rPr>
                <w:t>Notes to Interim Condensed Consolidated Financial Statements (Unaudited)</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4ControlsandProcedures_279483">
              <w:r>
                <w:rPr>
                  <w:rStyle w:val="InternetLink"/>
                  <w:rFonts w:ascii="Times New Roman;Times;serif" w:hAnsi="Times New Roman;Times;serif"/>
                  <w:b w:val="false"/>
                  <w:i w:val="false"/>
                  <w:caps w:val="false"/>
                  <w:smallCaps w:val="false"/>
                  <w:sz w:val="20"/>
                </w:rPr>
                <w:t>Item 4.</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bidi w:val="0"/>
              <w:spacing w:before="0" w:after="0"/>
              <w:ind w:left="0" w:right="0" w:hanging="0"/>
              <w:jc w:val="left"/>
              <w:rPr/>
            </w:pPr>
            <w:hyperlink w:anchor="Item4ControlsandProcedures_279483">
              <w:r>
                <w:rPr>
                  <w:rStyle w:val="InternetLink"/>
                  <w:rFonts w:ascii="Times New Roman;Times;serif" w:hAnsi="Times New Roman;Times;serif"/>
                  <w:b w:val="false"/>
                  <w:i w:val="false"/>
                  <w:caps w:val="false"/>
                  <w:smallCaps w:val="false"/>
                  <w:sz w:val="20"/>
                </w:rPr>
                <w:t>Controls and Procedures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PARTIIOTHERINFORMATION_322011">
              <w:r>
                <w:rPr>
                  <w:rStyle w:val="InternetLink"/>
                  <w:rFonts w:ascii="Times New Roman;Times;serif" w:hAnsi="Times New Roman;Times;serif"/>
                  <w:b/>
                  <w:i w:val="false"/>
                  <w:caps w:val="false"/>
                  <w:smallCaps w:val="false"/>
                  <w:sz w:val="20"/>
                </w:rPr>
                <w:t>Part II</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bidi w:val="0"/>
              <w:spacing w:before="0" w:after="0"/>
              <w:ind w:left="0" w:right="0" w:hanging="0"/>
              <w:jc w:val="left"/>
              <w:rPr/>
            </w:pPr>
            <w:hyperlink w:anchor="PARTIIOTHERINFORMATION_322011">
              <w:r>
                <w:rPr>
                  <w:rStyle w:val="InternetLink"/>
                  <w:rFonts w:ascii="Times New Roman;Times;serif" w:hAnsi="Times New Roman;Times;serif"/>
                  <w:b/>
                  <w:i w:val="false"/>
                  <w:caps w:val="false"/>
                  <w:smallCaps w:val="false"/>
                  <w:sz w:val="20"/>
                </w:rPr>
                <w:t>Other Information</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1LEGALPROCEEDINGS_208283">
              <w:r>
                <w:rPr>
                  <w:rStyle w:val="InternetLink"/>
                  <w:rFonts w:ascii="Times New Roman;Times;serif" w:hAnsi="Times New Roman;Times;serif"/>
                  <w:b w:val="false"/>
                  <w:i w:val="false"/>
                  <w:caps w:val="false"/>
                  <w:smallCaps w:val="false"/>
                  <w:sz w:val="20"/>
                </w:rPr>
                <w:t>Item 1.</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bidi w:val="0"/>
              <w:spacing w:before="0" w:after="0"/>
              <w:ind w:left="0" w:right="0" w:hanging="0"/>
              <w:jc w:val="left"/>
              <w:rPr/>
            </w:pPr>
            <w:hyperlink w:anchor="ITEM1LEGALPROCEEDINGS_208283">
              <w:r>
                <w:rPr>
                  <w:rStyle w:val="InternetLink"/>
                  <w:rFonts w:ascii="Times New Roman;Times;serif" w:hAnsi="Times New Roman;Times;serif"/>
                  <w:b w:val="false"/>
                  <w:i w:val="false"/>
                  <w:caps w:val="false"/>
                  <w:smallCaps w:val="false"/>
                  <w:sz w:val="20"/>
                </w:rPr>
                <w:t>Legal Proceedings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1ARISKFACTORS_765069">
              <w:r>
                <w:rPr>
                  <w:rStyle w:val="InternetLink"/>
                  <w:rFonts w:ascii="Times New Roman;Times;serif" w:hAnsi="Times New Roman;Times;serif"/>
                  <w:b w:val="false"/>
                  <w:i w:val="false"/>
                  <w:caps w:val="false"/>
                  <w:smallCaps w:val="false"/>
                  <w:sz w:val="20"/>
                </w:rPr>
                <w:t>Item 1A.</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bidi w:val="0"/>
              <w:spacing w:before="0" w:after="0"/>
              <w:ind w:left="0" w:right="0" w:hanging="0"/>
              <w:jc w:val="left"/>
              <w:rPr/>
            </w:pPr>
            <w:hyperlink w:anchor="ITEM1ARISKFACTORS_765069">
              <w:r>
                <w:rPr>
                  <w:rStyle w:val="InternetLink"/>
                  <w:rFonts w:ascii="Times New Roman;Times;serif" w:hAnsi="Times New Roman;Times;serif"/>
                  <w:b w:val="false"/>
                  <w:i w:val="false"/>
                  <w:caps w:val="false"/>
                  <w:smallCaps w:val="false"/>
                  <w:sz w:val="20"/>
                </w:rPr>
                <w:t>Risk Factors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3DEFAULTSUPONSENIORSECURITIES_440018">
              <w:r>
                <w:rPr>
                  <w:rStyle w:val="InternetLink"/>
                  <w:rFonts w:ascii="Times New Roman;Times;serif" w:hAnsi="Times New Roman;Times;serif"/>
                  <w:b w:val="false"/>
                  <w:i w:val="false"/>
                  <w:caps w:val="false"/>
                  <w:smallCaps w:val="false"/>
                  <w:sz w:val="20"/>
                </w:rPr>
                <w:t>Item 3.</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bidi w:val="0"/>
              <w:spacing w:before="0" w:after="0"/>
              <w:ind w:left="0" w:right="0" w:hanging="0"/>
              <w:jc w:val="left"/>
              <w:rPr/>
            </w:pPr>
            <w:hyperlink w:anchor="ITEM3DEFAULTSUPONSENIORSECURITIES_440018">
              <w:r>
                <w:rPr>
                  <w:rStyle w:val="InternetLink"/>
                  <w:rFonts w:ascii="Times New Roman;Times;serif" w:hAnsi="Times New Roman;Times;serif"/>
                  <w:b w:val="false"/>
                  <w:i w:val="false"/>
                  <w:caps w:val="false"/>
                  <w:smallCaps w:val="false"/>
                  <w:sz w:val="20"/>
                </w:rPr>
                <w:t>Defaults Upon Senior Securities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4MINESAFETYDISCLOSURES_620629">
              <w:r>
                <w:rPr>
                  <w:rStyle w:val="InternetLink"/>
                  <w:rFonts w:ascii="Times New Roman;Times;serif" w:hAnsi="Times New Roman;Times;serif"/>
                  <w:b w:val="false"/>
                  <w:i w:val="false"/>
                  <w:caps w:val="false"/>
                  <w:smallCaps w:val="false"/>
                  <w:sz w:val="20"/>
                </w:rPr>
                <w:t>Item 4.</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bidi w:val="0"/>
              <w:spacing w:before="0" w:after="0"/>
              <w:ind w:left="0" w:right="0" w:hanging="0"/>
              <w:jc w:val="left"/>
              <w:rPr/>
            </w:pPr>
            <w:hyperlink w:anchor="ITEM4MINESAFETYDISCLOSURES_620629">
              <w:r>
                <w:rPr>
                  <w:rStyle w:val="InternetLink"/>
                  <w:rFonts w:ascii="Times New Roman;Times;serif" w:hAnsi="Times New Roman;Times;serif"/>
                  <w:b w:val="false"/>
                  <w:i w:val="false"/>
                  <w:caps w:val="false"/>
                  <w:smallCaps w:val="false"/>
                  <w:sz w:val="20"/>
                </w:rPr>
                <w:t>Mine Safety Disclosures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5OTHERINFORMATION_798310">
              <w:r>
                <w:rPr>
                  <w:rStyle w:val="InternetLink"/>
                  <w:rFonts w:ascii="Times New Roman;Times;serif" w:hAnsi="Times New Roman;Times;serif"/>
                  <w:b w:val="false"/>
                  <w:i w:val="false"/>
                  <w:caps w:val="false"/>
                  <w:smallCaps w:val="false"/>
                  <w:sz w:val="20"/>
                </w:rPr>
                <w:t>Item 5.</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bidi w:val="0"/>
              <w:spacing w:before="0" w:after="0"/>
              <w:ind w:left="0" w:right="0" w:hanging="0"/>
              <w:jc w:val="left"/>
              <w:rPr/>
            </w:pPr>
            <w:hyperlink w:anchor="ITEM5OTHERINFORMATION_798310">
              <w:r>
                <w:rPr>
                  <w:rStyle w:val="InternetLink"/>
                  <w:rFonts w:ascii="Times New Roman;Times;serif" w:hAnsi="Times New Roman;Times;serif"/>
                  <w:b w:val="false"/>
                  <w:i w:val="false"/>
                  <w:caps w:val="false"/>
                  <w:smallCaps w:val="false"/>
                  <w:sz w:val="20"/>
                </w:rPr>
                <w:t>Other Information</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_6_EXHIBITS">
              <w:r>
                <w:rPr>
                  <w:rStyle w:val="InternetLink"/>
                  <w:rFonts w:ascii="Times New Roman;Times;serif" w:hAnsi="Times New Roman;Times;serif"/>
                  <w:b w:val="false"/>
                  <w:i w:val="false"/>
                  <w:caps w:val="false"/>
                  <w:smallCaps w:val="false"/>
                  <w:sz w:val="20"/>
                </w:rPr>
                <w:t>Item 6.</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bidi w:val="0"/>
              <w:spacing w:before="0" w:after="0"/>
              <w:ind w:left="0" w:right="0" w:hanging="0"/>
              <w:jc w:val="left"/>
              <w:rPr/>
            </w:pPr>
            <w:hyperlink w:anchor="ITEM_6_EXHIBITS">
              <w:r>
                <w:rPr>
                  <w:rStyle w:val="InternetLink"/>
                  <w:rFonts w:ascii="Times New Roman;Times;serif" w:hAnsi="Times New Roman;Times;serif"/>
                  <w:b w:val="false"/>
                  <w:i w:val="false"/>
                  <w:caps w:val="false"/>
                  <w:smallCaps w:val="false"/>
                  <w:sz w:val="20"/>
                </w:rPr>
                <w:t>Exhibits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SkippedRange_90101">
              <w:r>
                <w:rPr>
                  <w:rStyle w:val="InternetLink"/>
                  <w:rFonts w:ascii="Times New Roman;Times;serif" w:hAnsi="Times New Roman;Times;serif"/>
                  <w:b w:val="false"/>
                  <w:i w:val="false"/>
                  <w:caps w:val="false"/>
                  <w:smallCaps w:val="false"/>
                  <w:sz w:val="20"/>
                </w:rPr>
                <w:t>Signatures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40"/>
        <w:ind w:left="0" w:right="0" w:hanging="0"/>
        <w:jc w:val="both"/>
        <w:rPr>
          <w:rFonts w:ascii="Times New Roman;Times;serif" w:hAnsi="Times New Roman;Times;serif"/>
          <w:sz w:val="20"/>
        </w:rPr>
      </w:pPr>
      <w:bookmarkStart w:id="50" w:name="_48aadda2_39e1_4df9_b1af_7789249fd664"/>
      <w:bookmarkEnd w:id="50"/>
      <w:r>
        <w:rPr>
          <w:rFonts w:ascii="Times New Roman;Times;serif" w:hAnsi="Times New Roman;Times;serif"/>
          <w:sz w:val="20"/>
        </w:rPr>
        <w:t>In this Quarterly Report on Form 10-Q, the terms “we,” “us,” “our,” the “Company” and “TMC” mean TMC the metals company Inc. and our subsidiaries, while km</w:t>
      </w:r>
      <w:r>
        <w:rPr>
          <w:rFonts w:ascii="Times New Roman;Times;serif" w:hAnsi="Times New Roman;Times;serif"/>
          <w:sz w:val="15"/>
        </w:rPr>
        <w:t>2</w:t>
      </w:r>
      <w:r>
        <w:rPr>
          <w:rFonts w:ascii="Times New Roman;Times;serif" w:hAnsi="Times New Roman;Times;serif"/>
          <w:sz w:val="20"/>
        </w:rPr>
        <w:t xml:space="preserve"> means square kilometers. TMC is incorporated under the laws of the province of British Columbia, Canada. The Company’s common shares and public warrants to purchase common shares trade on the Nasdaq Global Select Market (“Nasdaq”), under the symbols “TMC” and “TMCWW,” respectively.</w:t>
      </w:r>
    </w:p>
    <w:p>
      <w:pPr>
        <w:pStyle w:val="TextBody"/>
        <w:bidi w:val="0"/>
        <w:spacing w:before="0" w:after="240"/>
        <w:ind w:left="0" w:right="0" w:hanging="0"/>
        <w:jc w:val="center"/>
        <w:rPr>
          <w:rFonts w:ascii="Times New Roman;Times;serif" w:hAnsi="Times New Roman;Times;serif"/>
          <w:b/>
          <w:sz w:val="20"/>
        </w:rPr>
      </w:pPr>
      <w:bookmarkStart w:id="51" w:name="CAUTIONARYNOTEREGARDINGFORWARDLOOKINGSTA"/>
      <w:bookmarkEnd w:id="51"/>
      <w:r>
        <w:rPr>
          <w:rFonts w:ascii="Times New Roman;Times;serif" w:hAnsi="Times New Roman;Times;serif"/>
          <w:b/>
          <w:sz w:val="20"/>
        </w:rPr>
        <w:t>CAUTIONARY NOTE REGARDING FORWARD-LOOKING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Quarterly Report on Form 10-Q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our management. Forward-looking statements contained in this Quarterly Report on Form 10-Q include, but are not limited to, statements about:</w:t>
      </w:r>
    </w:p>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and technical feasibility of seafloor polymetallic nodule collection and processing;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and our partners’ development and operational plans, including with respect to the planned uses of polymetallic nodules, where and how nodules will be obtained and processed, the expected environmental, social and other impacts thereof and our plans to assess these impacts and the timing and scope of these plans, including our commercialization plans;</w:t>
            </w:r>
          </w:p>
        </w:tc>
      </w:tr>
    </w:tbl>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supply and demand for nickel, cobalt, copper, manganese ores and their end uses;</w:t>
            </w:r>
          </w:p>
        </w:tc>
      </w:tr>
    </w:tbl>
    <w:tbl>
      <w:tblPr>
        <w:tblW w:w="5571" w:type="dxa"/>
        <w:jc w:val="left"/>
        <w:tblInd w:w="0" w:type="dxa"/>
        <w:tblLayout w:type="fixed"/>
        <w:tblCellMar>
          <w:top w:w="28" w:type="dxa"/>
          <w:left w:w="28" w:type="dxa"/>
          <w:bottom w:w="28" w:type="dxa"/>
          <w:right w:w="28" w:type="dxa"/>
        </w:tblCellMar>
      </w:tblPr>
      <w:tblGrid>
        <w:gridCol w:w="124"/>
        <w:gridCol w:w="256"/>
        <w:gridCol w:w="5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prices of nickel, cobalt, copper and manganese ores;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associated with the certification and Environmental Impact Statement (“EIS”) review stages of our consolidated application for an exploration license and commercial recovery permit filed with the National Oceanic and Atmospheric Administration (“NOAA”) under the Deep Seabed Hard Mineral Resources Act of 1980 (“DSHMRA”), including the risk that interagency consultations during the certification phase, preparation and review of the EIS, or the public comment period may result in conditions, delays, or denial of the requested licenses and permit, and the risk that the final issuance of such licenses and permit remains subject to NOAA’s determination following completion of these remaining review stages;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expectations with respect to the extension of our TOML exploration contract with the International Seabed Authority (“ISA”) and the receipt of exploitation contracts from the ISA;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and timing of the ISA’s inquiry into the possible non-compliance of our subsidiaries with their exploration contracts and of the related proceedings before the Seabed Disputes Chamber of the International Tribunal for the Law of the Sea;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and national regulation of mineral extraction from the deep seafloor in the high seas and changes in mining laws and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operational, environmental, social and other risks of developing and deploying equipment to collect and ship polymetallic nodules at sea, and to process such nodules on land;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sources and timing of potential revenue as well as the timing and amount of estimated future production, costs of production, other expenses, capital expenditures and requirements for additional capital;</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 provided by operating activities;</w:t>
            </w:r>
          </w:p>
        </w:tc>
      </w:tr>
    </w:tbl>
    <w:tbl>
      <w:tblPr>
        <w:tblW w:w="6636" w:type="dxa"/>
        <w:jc w:val="left"/>
        <w:tblInd w:w="0" w:type="dxa"/>
        <w:tblLayout w:type="fixed"/>
        <w:tblCellMar>
          <w:top w:w="28" w:type="dxa"/>
          <w:left w:w="28" w:type="dxa"/>
          <w:bottom w:w="28" w:type="dxa"/>
          <w:right w:w="28" w:type="dxa"/>
        </w:tblCellMar>
      </w:tblPr>
      <w:tblGrid>
        <w:gridCol w:w="124"/>
        <w:gridCol w:w="256"/>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activities of our partners under our key strategic relationships;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sufficiency of our cash on hand to meet our working capital and capital expenditure requirements, the need for additional financing and our ability to continue as a going concern;</w:t>
            </w:r>
          </w:p>
        </w:tc>
      </w:tr>
    </w:tbl>
    <w:tbl>
      <w:tblPr>
        <w:tblW w:w="9411" w:type="dxa"/>
        <w:jc w:val="left"/>
        <w:tblInd w:w="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financing in the future, the nature of any such financing and our plans with respect thereto;</w:t>
            </w:r>
          </w:p>
        </w:tc>
      </w:tr>
    </w:tbl>
    <w:tbl>
      <w:tblPr>
        <w:tblW w:w="3606" w:type="dxa"/>
        <w:jc w:val="left"/>
        <w:tblInd w:w="0" w:type="dxa"/>
        <w:tblLayout w:type="fixed"/>
        <w:tblCellMar>
          <w:top w:w="28" w:type="dxa"/>
          <w:left w:w="28" w:type="dxa"/>
          <w:bottom w:w="28" w:type="dxa"/>
          <w:right w:w="28" w:type="dxa"/>
        </w:tblCellMar>
      </w:tblPr>
      <w:tblGrid>
        <w:gridCol w:w="124"/>
        <w:gridCol w:w="256"/>
        <w:gridCol w:w="3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litigation to which we are a party;</w:t>
            </w:r>
          </w:p>
        </w:tc>
      </w:tr>
    </w:tbl>
    <w:tbl>
      <w:tblPr>
        <w:tblW w:w="4251" w:type="dxa"/>
        <w:jc w:val="left"/>
        <w:tblInd w:w="0" w:type="dxa"/>
        <w:tblLayout w:type="fixed"/>
        <w:tblCellMar>
          <w:top w:w="28" w:type="dxa"/>
          <w:left w:w="28" w:type="dxa"/>
          <w:bottom w:w="28" w:type="dxa"/>
          <w:right w:w="28" w:type="dxa"/>
        </w:tblCellMar>
      </w:tblPr>
      <w:tblGrid>
        <w:gridCol w:w="124"/>
        <w:gridCol w:w="256"/>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claims and limitations on insurance coverage;</w:t>
            </w:r>
          </w:p>
        </w:tc>
      </w:tr>
    </w:tbl>
    <w:tbl>
      <w:tblPr>
        <w:tblW w:w="5796" w:type="dxa"/>
        <w:jc w:val="left"/>
        <w:tblInd w:w="0" w:type="dxa"/>
        <w:tblLayout w:type="fixed"/>
        <w:tblCellMar>
          <w:top w:w="28" w:type="dxa"/>
          <w:left w:w="28" w:type="dxa"/>
          <w:bottom w:w="28" w:type="dxa"/>
          <w:right w:w="28" w:type="dxa"/>
        </w:tblCellMar>
      </w:tblPr>
      <w:tblGrid>
        <w:gridCol w:w="124"/>
        <w:gridCol w:w="256"/>
        <w:gridCol w:w="5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geological, metallurgical and geotechnical studies and opinions;</w:t>
            </w:r>
          </w:p>
        </w:tc>
      </w:tr>
    </w:tbl>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reserve and resource estimates, and our ability to define and declare further mineral reserve estimates;</w:t>
            </w:r>
          </w:p>
        </w:tc>
      </w:tr>
    </w:tbl>
    <w:tbl>
      <w:tblPr>
        <w:tblW w:w="5076" w:type="dxa"/>
        <w:jc w:val="left"/>
        <w:tblInd w:w="0" w:type="dxa"/>
        <w:tblLayout w:type="fixed"/>
        <w:tblCellMar>
          <w:top w:w="28" w:type="dxa"/>
          <w:left w:w="28" w:type="dxa"/>
          <w:bottom w:w="28" w:type="dxa"/>
          <w:right w:w="28" w:type="dxa"/>
        </w:tblCellMar>
      </w:tblPr>
      <w:tblGrid>
        <w:gridCol w:w="124"/>
        <w:gridCol w:w="256"/>
        <w:gridCol w:w="4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status as a passive foreign investment company; and</w:t>
            </w:r>
          </w:p>
        </w:tc>
      </w:tr>
    </w:tbl>
    <w:tbl>
      <w:tblPr>
        <w:tblW w:w="3441" w:type="dxa"/>
        <w:jc w:val="left"/>
        <w:tblInd w:w="0" w:type="dxa"/>
        <w:tblLayout w:type="fixed"/>
        <w:tblCellMar>
          <w:top w:w="28" w:type="dxa"/>
          <w:left w:w="28" w:type="dxa"/>
          <w:bottom w:w="28" w:type="dxa"/>
          <w:right w:w="28" w:type="dxa"/>
        </w:tblCellMar>
      </w:tblPr>
      <w:tblGrid>
        <w:gridCol w:w="124"/>
        <w:gridCol w:w="256"/>
        <w:gridCol w:w="3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financial performance.</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forward-looking statements are based on information available as of the date of this Quarterly Report on Form 10-Q,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of Part I of our Annual Report on Form 10-K for the year ended December 31, 2025 as filed with the Securities and Exchange Commission (“SEC”) on March 31, 2026 (“2025 Annual Report on Form 10-K”) and in Item 1A of Part II of our Quarterly Report on Form 10-Q for the quarter ended March 31, 2026 as filed with the SEC on May 14, 2026, as supplemented by Item 1A of Part II of this Quarterly Report on Form 10-Q. Such risks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In particular, forward-looking statements regarding the timing and outcome of the NOAA regulatory review process are subject to material risks, including: (i) the risk that the certification stage (which involves interagency consultation with the Department of State, the Department of War and the Environmental Protection Agency, among others) may result in conditions, delays or an adverse determination; (ii) the risk that the preparation of an Environmental Impact Statement and the associated public comment period may give rise to objections or conditions that affect the scope or terms of any permit ultimately issued; and (iii) the risk that NOAA may determine not to issue the requested exploration license and/or commercial recovery permit following the completion of the environmental review. The determination that TMC USA’s consolidated application is in full compliance with applicable requirements under DSHMRA is a procedural milestone and does not constitute, and should not be construed as, an approval or grant of the requested licenses or commercial recovery permit.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 to update or revise publicly any forward-looking statements, whether as a result of new information, future events or otherwise, except as required by law.</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52" w:name="PARTIFINANCIALINFORMATION_598400"/>
      <w:bookmarkStart w:id="53" w:name="_77fbc394_b078_4c9c_8afa_315e00513e64"/>
      <w:bookmarkStart w:id="54" w:name="FinancialStatements_913138"/>
      <w:bookmarkEnd w:id="52"/>
      <w:bookmarkEnd w:id="53"/>
      <w:bookmarkEnd w:id="54"/>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sz w:val="20"/>
        </w:rPr>
      </w:pPr>
      <w:bookmarkStart w:id="55" w:name="Item1FinancialStatements_168789"/>
      <w:bookmarkEnd w:id="55"/>
      <w:r>
        <w:rPr>
          <w:rFonts w:ascii="Times New Roman;Times;serif" w:hAnsi="Times New Roman;Times;serif"/>
          <w:b/>
          <w:i w:val="false"/>
          <w:caps w:val="false"/>
          <w:smallCaps w:val="false"/>
          <w:sz w:val="20"/>
        </w:rPr>
        <w:t>Item 1.</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bookmarkStart w:id="56" w:name="CondensedConsolidatedBalanceSheets_49440"/>
      <w:bookmarkEnd w:id="56"/>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amounts)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57" w:name="Tc_H7S32iHwXUmmsu33bVPZQA_37_7"/>
      <w:bookmarkStart w:id="58" w:name="Tc_HHNkG48JgEK_vk0CtseUvw_37_4"/>
      <w:bookmarkStart w:id="59" w:name="Tc_fNh2y7os102W_5Cnl3i2HA_37_0"/>
      <w:bookmarkStart w:id="60" w:name="Tc_ixi-cPeM2Um9EJUdbfWodg_35_0"/>
      <w:bookmarkStart w:id="61" w:name="Tc_wcqg1r5E1Em5CNHp87aMrw_34_0"/>
      <w:bookmarkStart w:id="62" w:name="Tc_C_Koc4biEECAXFoySFyUKg_33_0"/>
      <w:bookmarkStart w:id="63" w:name="Tc_ti0hRj8fHUGj4VGMAT4I4g_32_0"/>
      <w:bookmarkStart w:id="64" w:name="Tc_AkGLf_rD7Ee8GdYDygP3YQ_31_0"/>
      <w:bookmarkStart w:id="65" w:name="Tc_uNfmClRCFEydCC0ZiEQCTA_30_0"/>
      <w:bookmarkStart w:id="66" w:name="Tc_n3_SVj3fHkmcblB3PRM6wA_28_7"/>
      <w:bookmarkStart w:id="67" w:name="Tc_oFPsuw1EokKbHBvSZwkEgQ_28_4"/>
      <w:bookmarkStart w:id="68" w:name="Tc_lrrh-u1ynUOO6Ypb-BMzjA_28_0"/>
      <w:bookmarkStart w:id="69" w:name="Tc_BSGgtEs1qkSQXM335mOYaw_25_2"/>
      <w:bookmarkStart w:id="70" w:name="Tc_GZiVOTIMZUma1ywE9hjXWQ_25_0"/>
      <w:bookmarkStart w:id="71" w:name="Tc_MK2Bz8MBfE2Sixioic0PQQ_24_0"/>
      <w:bookmarkStart w:id="72" w:name="Tc_yT3BpAeAz0q1tDjfGCdSgw_23_0"/>
      <w:bookmarkStart w:id="73" w:name="Tc_zI0TaROx5k-Cjv3dghgkbQ_21_2"/>
      <w:bookmarkStart w:id="74" w:name="Tc_4mxxibBks0O_zxetK2V5aA_21_0"/>
      <w:bookmarkStart w:id="75" w:name="Tc_TsJUnwfuyEu1jgLb8AgMQA_20_7"/>
      <w:bookmarkStart w:id="76" w:name="Tc_CGnx4AznYUmhSkKbXSJPVg_20_4"/>
      <w:bookmarkStart w:id="77" w:name="Tc_Uu-RsRlNNEybzk_7OxZycw_20_2"/>
      <w:bookmarkStart w:id="78" w:name="Tc_kfbo9lmwMUmw5vhf-Tq7Og_20_0"/>
      <w:bookmarkStart w:id="79" w:name="Tc_qIVc8fQ9_0ujy58V5tjPMg_19_0"/>
      <w:bookmarkStart w:id="80" w:name="Tc_ktCMX-wKBkKpKZBiTyxF1Q_18_0"/>
      <w:bookmarkStart w:id="81" w:name="Tc_NvXzSum8y02RnkwOexwF6w_16_7"/>
      <w:bookmarkStart w:id="82" w:name="Tc_v6Dup-NyykKew3vVwNQEnA_16_4"/>
      <w:bookmarkStart w:id="83" w:name="Tc_RyKx0EJB2EO5r4kbxY_4VA_16_0"/>
      <w:bookmarkStart w:id="84" w:name="Tc_hFP5aVA8aEKcj1rT6Yab-g_13_2"/>
      <w:bookmarkStart w:id="85" w:name="Tc_L1WGoAQAPUCnXFNk4VY5mQ_13_0"/>
      <w:bookmarkStart w:id="86" w:name="Tc_3jed-Jc2tU21W2ziym34TA_12_2"/>
      <w:bookmarkStart w:id="87" w:name="Tc_D-zvn_KOqEKW-oSI9QQyTA_12_0"/>
      <w:bookmarkStart w:id="88" w:name="Tc_PC1EaRNlu0uW7VpGxNsXFg_11_0"/>
      <w:bookmarkStart w:id="89" w:name="Tc_mPkLn2FPXkWSr7vRq5CDFA_10_0"/>
      <w:bookmarkStart w:id="90" w:name="Tc_shS96YFbsk2l_rKckAFrnw_9_0"/>
      <w:bookmarkStart w:id="91" w:name="Tc_G-edl-icG0KcsaiA0AYabw_8_0"/>
      <w:bookmarkStart w:id="92" w:name="Tc__Wuj_DBKRU-f1DrTTX7rYQ_6_0"/>
      <w:bookmarkStart w:id="93" w:name="Tc_xrrkNvl_tEmH2DFFOHAFFQ_5_7"/>
      <w:bookmarkStart w:id="94" w:name="Tc_FcQtKxAGsUGqYRB65cqk1Q_5_4"/>
      <w:bookmarkStart w:id="95" w:name="Tc_oYoEgiG6i0mdgBOshgWuJA_5_0"/>
      <w:bookmarkStart w:id="96" w:name="Tc_Vpu09TTVNk-hAZgarMqXXw_4_0"/>
      <w:bookmarkStart w:id="97" w:name="Tc_BuWdoLekbk2rlJSJMzNKdg_3_7"/>
      <w:bookmarkStart w:id="98" w:name="Tc_d8GMWI6ZOEyyPX1KT3XBvw_3_4"/>
      <w:bookmarkStart w:id="99" w:name="Tc_N3yIuNQl8UydZ07iS1uCVA_3_2"/>
      <w:bookmarkStart w:id="100" w:name="Tc_dIhjVstVr0iUgoT3hF9f7g_3_0"/>
      <w:bookmarkStart w:id="101" w:name="Tc_sRMatShInU-KZOjFWsJM_Q_2_7"/>
      <w:bookmarkStart w:id="102" w:name="Tc_q6KCuct9mUGFjtyEct_RXg_2_4"/>
      <w:bookmarkStart w:id="103" w:name="Tc_tsGcpMJK9kK7oPQutD70aQ_1_7"/>
      <w:bookmarkStart w:id="104" w:name="Tc_bcQRbLbakEmUaxn0cxqq2A_1_4"/>
      <w:bookmarkStart w:id="105" w:name="_00ac2f38_1b33_436c_bec1_a19593469e83"/>
      <w:bookmarkStart w:id="106" w:name="Tc_H7S32iHwXUmmsu33bVPZQA_37_7"/>
      <w:bookmarkStart w:id="107" w:name="Tc_HHNkG48JgEK_vk0CtseUvw_37_4"/>
      <w:bookmarkStart w:id="108" w:name="Tc_fNh2y7os102W_5Cnl3i2HA_37_0"/>
      <w:bookmarkStart w:id="109" w:name="Tc_ixi-cPeM2Um9EJUdbfWodg_35_0"/>
      <w:bookmarkStart w:id="110" w:name="Tc_wcqg1r5E1Em5CNHp87aMrw_34_0"/>
      <w:bookmarkStart w:id="111" w:name="Tc_C_Koc4biEECAXFoySFyUKg_33_0"/>
      <w:bookmarkStart w:id="112" w:name="Tc_ti0hRj8fHUGj4VGMAT4I4g_32_0"/>
      <w:bookmarkStart w:id="113" w:name="Tc_AkGLf_rD7Ee8GdYDygP3YQ_31_0"/>
      <w:bookmarkStart w:id="114" w:name="Tc_uNfmClRCFEydCC0ZiEQCTA_30_0"/>
      <w:bookmarkStart w:id="115" w:name="Tc_n3_SVj3fHkmcblB3PRM6wA_28_7"/>
      <w:bookmarkStart w:id="116" w:name="Tc_oFPsuw1EokKbHBvSZwkEgQ_28_4"/>
      <w:bookmarkStart w:id="117" w:name="Tc_lrrh-u1ynUOO6Ypb-BMzjA_28_0"/>
      <w:bookmarkStart w:id="118" w:name="Tc_BSGgtEs1qkSQXM335mOYaw_25_2"/>
      <w:bookmarkStart w:id="119" w:name="Tc_GZiVOTIMZUma1ywE9hjXWQ_25_0"/>
      <w:bookmarkStart w:id="120" w:name="Tc_MK2Bz8MBfE2Sixioic0PQQ_24_0"/>
      <w:bookmarkStart w:id="121" w:name="Tc_yT3BpAeAz0q1tDjfGCdSgw_23_0"/>
      <w:bookmarkStart w:id="122" w:name="Tc_zI0TaROx5k-Cjv3dghgkbQ_21_2"/>
      <w:bookmarkStart w:id="123" w:name="Tc_4mxxibBks0O_zxetK2V5aA_21_0"/>
      <w:bookmarkStart w:id="124" w:name="Tc_TsJUnwfuyEu1jgLb8AgMQA_20_7"/>
      <w:bookmarkStart w:id="125" w:name="Tc_CGnx4AznYUmhSkKbXSJPVg_20_4"/>
      <w:bookmarkStart w:id="126" w:name="Tc_Uu-RsRlNNEybzk_7OxZycw_20_2"/>
      <w:bookmarkStart w:id="127" w:name="Tc_kfbo9lmwMUmw5vhf-Tq7Og_20_0"/>
      <w:bookmarkStart w:id="128" w:name="Tc_qIVc8fQ9_0ujy58V5tjPMg_19_0"/>
      <w:bookmarkStart w:id="129" w:name="Tc_ktCMX-wKBkKpKZBiTyxF1Q_18_0"/>
      <w:bookmarkStart w:id="130" w:name="Tc_NvXzSum8y02RnkwOexwF6w_16_7"/>
      <w:bookmarkStart w:id="131" w:name="Tc_v6Dup-NyykKew3vVwNQEnA_16_4"/>
      <w:bookmarkStart w:id="132" w:name="Tc_RyKx0EJB2EO5r4kbxY_4VA_16_0"/>
      <w:bookmarkStart w:id="133" w:name="Tc_hFP5aVA8aEKcj1rT6Yab-g_13_2"/>
      <w:bookmarkStart w:id="134" w:name="Tc_L1WGoAQAPUCnXFNk4VY5mQ_13_0"/>
      <w:bookmarkStart w:id="135" w:name="Tc_3jed-Jc2tU21W2ziym34TA_12_2"/>
      <w:bookmarkStart w:id="136" w:name="Tc_D-zvn_KOqEKW-oSI9QQyTA_12_0"/>
      <w:bookmarkStart w:id="137" w:name="Tc_PC1EaRNlu0uW7VpGxNsXFg_11_0"/>
      <w:bookmarkStart w:id="138" w:name="Tc_mPkLn2FPXkWSr7vRq5CDFA_10_0"/>
      <w:bookmarkStart w:id="139" w:name="Tc_shS96YFbsk2l_rKckAFrnw_9_0"/>
      <w:bookmarkStart w:id="140" w:name="Tc_G-edl-icG0KcsaiA0AYabw_8_0"/>
      <w:bookmarkStart w:id="141" w:name="Tc__Wuj_DBKRU-f1DrTTX7rYQ_6_0"/>
      <w:bookmarkStart w:id="142" w:name="Tc_xrrkNvl_tEmH2DFFOHAFFQ_5_7"/>
      <w:bookmarkStart w:id="143" w:name="Tc_FcQtKxAGsUGqYRB65cqk1Q_5_4"/>
      <w:bookmarkStart w:id="144" w:name="Tc_oYoEgiG6i0mdgBOshgWuJA_5_0"/>
      <w:bookmarkStart w:id="145" w:name="Tc_Vpu09TTVNk-hAZgarMqXXw_4_0"/>
      <w:bookmarkStart w:id="146" w:name="Tc_BuWdoLekbk2rlJSJMzNKdg_3_7"/>
      <w:bookmarkStart w:id="147" w:name="Tc_d8GMWI6ZOEyyPX1KT3XBvw_3_4"/>
      <w:bookmarkStart w:id="148" w:name="Tc_N3yIuNQl8UydZ07iS1uCVA_3_2"/>
      <w:bookmarkStart w:id="149" w:name="Tc_dIhjVstVr0iUgoT3hF9f7g_3_0"/>
      <w:bookmarkStart w:id="150" w:name="Tc_sRMatShInU-KZOjFWsJM_Q_2_7"/>
      <w:bookmarkStart w:id="151" w:name="Tc_q6KCuct9mUGFjtyEct_RXg_2_4"/>
      <w:bookmarkStart w:id="152" w:name="Tc_tsGcpMJK9kK7oPQutD70aQ_1_7"/>
      <w:bookmarkStart w:id="153" w:name="Tc_bcQRbLbakEmUaxn0cxqq2A_1_4"/>
      <w:bookmarkStart w:id="154" w:name="_00ac2f38_1b33_436c_bec1_a19593469e83"/>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tbl>
      <w:tblPr>
        <w:tblW w:w="10205" w:type="dxa"/>
        <w:jc w:val="left"/>
        <w:tblInd w:w="0" w:type="dxa"/>
        <w:tblLayout w:type="fixed"/>
        <w:tblCellMar>
          <w:top w:w="0" w:type="dxa"/>
          <w:left w:w="0" w:type="dxa"/>
          <w:bottom w:w="0" w:type="dxa"/>
          <w:right w:w="0" w:type="dxa"/>
        </w:tblCellMar>
      </w:tblPr>
      <w:tblGrid>
        <w:gridCol w:w="6317"/>
        <w:gridCol w:w="346"/>
        <w:gridCol w:w="451"/>
        <w:gridCol w:w="346"/>
        <w:gridCol w:w="211"/>
        <w:gridCol w:w="1031"/>
        <w:gridCol w:w="346"/>
        <w:gridCol w:w="214"/>
        <w:gridCol w:w="943"/>
      </w:tblGrid>
      <w:tr>
        <w:trPr/>
        <w:tc>
          <w:tcPr>
            <w:tcW w:w="6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011295" cy="175260"/>
                      <wp:effectExtent l="0" t="0" r="0" b="0"/>
                      <wp:wrapNone/>
                      <wp:docPr id="16" name="Frame16"/>
                      <a:graphic xmlns:a="http://schemas.openxmlformats.org/drawingml/2006/main">
                        <a:graphicData uri="http://schemas.microsoft.com/office/word/2010/wordprocessingShape">
                          <wps:wsp>
                            <wps:cNvSpPr txBox="1"/>
                            <wps:spPr>
                              <a:xfrm>
                                <a:off x="0" y="0"/>
                                <a:ext cx="401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86385" cy="175260"/>
                      <wp:effectExtent l="0" t="0" r="0" b="0"/>
                      <wp:wrapNone/>
                      <wp:docPr id="18" name="Frame18"/>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54685" cy="175260"/>
                      <wp:effectExtent l="0" t="0" r="0" b="0"/>
                      <wp:wrapNone/>
                      <wp:docPr id="21" name="Frame21"/>
                      <a:graphic xmlns:a="http://schemas.openxmlformats.org/drawingml/2006/main">
                        <a:graphicData uri="http://schemas.microsoft.com/office/word/2010/wordprocessingShape">
                          <wps:wsp>
                            <wps:cNvSpPr txBox="1"/>
                            <wps:spPr>
                              <a:xfrm>
                                <a:off x="0" y="0"/>
                                <a:ext cx="65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5890" cy="175260"/>
                      <wp:effectExtent l="0" t="0" r="0" b="0"/>
                      <wp:wrapNone/>
                      <wp:docPr id="23" name="Frame23"/>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98805" cy="175260"/>
                      <wp:effectExtent l="0" t="0" r="0" b="0"/>
                      <wp:wrapNone/>
                      <wp:docPr id="24" name="Frame24"/>
                      <a:graphic xmlns:a="http://schemas.openxmlformats.org/drawingml/2006/main">
                        <a:graphicData uri="http://schemas.microsoft.com/office/word/2010/wordprocessingShape">
                          <wps:wsp>
                            <wps:cNvSpPr txBox="1"/>
                            <wps:spPr>
                              <a:xfrm>
                                <a:off x="0" y="0"/>
                                <a:ext cx="598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42"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As at</w:t>
            </w:r>
          </w:p>
        </w:tc>
        <w:tc>
          <w:tcPr>
            <w:tcW w:w="346" w:type="dxa"/>
            <w:tcBorders/>
            <w:vAlign w:val="center"/>
          </w:tcPr>
          <w:p>
            <w:pPr>
              <w:pStyle w:val="TableContents"/>
              <w:bidi w:val="0"/>
              <w:spacing w:before="0" w:after="0"/>
              <w:ind w:left="0" w:right="0" w:hanging="0"/>
              <w:jc w:val="left"/>
              <w:rPr/>
            </w:pPr>
            <w:r>
              <w:rPr/>
              <w:t>​</w:t>
            </w:r>
          </w:p>
        </w:tc>
        <w:tc>
          <w:tcPr>
            <w:tcW w:w="1157"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As at</w:t>
            </w:r>
          </w:p>
        </w:tc>
      </w:tr>
      <w:tr>
        <w:trPr/>
        <w:tc>
          <w:tcPr>
            <w:tcW w:w="63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242"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  ​ ​ ​</w:t>
            </w:r>
          </w:p>
        </w:tc>
        <w:tc>
          <w:tcPr>
            <w:tcW w:w="1157"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 </w:t>
            </w:r>
          </w:p>
        </w:tc>
      </w:tr>
      <w:tr>
        <w:trPr/>
        <w:tc>
          <w:tcPr>
            <w:tcW w:w="6317"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46" w:type="dxa"/>
            <w:tcBorders/>
            <w:vAlign w:val="center"/>
          </w:tcPr>
          <w:p>
            <w:pPr>
              <w:pStyle w:val="TableContents"/>
              <w:bidi w:val="0"/>
              <w:spacing w:before="0" w:after="0"/>
              <w:ind w:left="0" w:right="0" w:hanging="0"/>
              <w:jc w:val="center"/>
              <w:rPr/>
            </w:pPr>
            <w:r>
              <w:rPr/>
              <w:t>  ​ ​</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0"/>
              <w:ind w:left="0" w:right="0" w:hanging="0"/>
              <w:jc w:val="center"/>
              <w:rPr/>
            </w:pPr>
            <w:r>
              <w:rPr/>
              <w:t>  ​ ​</w:t>
            </w:r>
          </w:p>
        </w:tc>
        <w:tc>
          <w:tcPr>
            <w:tcW w:w="124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631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pPr>
            <w:r>
              <w:rPr/>
              <w:t>  ​</w:t>
            </w:r>
          </w:p>
        </w:tc>
      </w:tr>
      <w:tr>
        <w:trPr/>
        <w:tc>
          <w:tcPr>
            <w:tcW w:w="631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98,655</w:t>
            </w:r>
          </w:p>
        </w:tc>
        <w:tc>
          <w:tcPr>
            <w:tcW w:w="3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117,633</w:t>
            </w:r>
          </w:p>
        </w:tc>
      </w:tr>
      <w:tr>
        <w:trPr/>
        <w:tc>
          <w:tcPr>
            <w:tcW w:w="631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 and prepayments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2,752</w:t>
            </w:r>
          </w:p>
        </w:tc>
        <w:tc>
          <w:tcPr>
            <w:tcW w:w="346" w:type="dxa"/>
            <w:tcBorders/>
            <w:shd w:fill="CCEE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3,049</w:t>
            </w:r>
          </w:p>
        </w:tc>
      </w:tr>
      <w:tr>
        <w:trPr/>
        <w:tc>
          <w:tcPr>
            <w:tcW w:w="63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101,407</w:t>
            </w:r>
          </w:p>
        </w:tc>
        <w:tc>
          <w:tcPr>
            <w:tcW w:w="3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120,682</w:t>
            </w:r>
          </w:p>
        </w:tc>
      </w:tr>
      <w:tr>
        <w:trPr/>
        <w:tc>
          <w:tcPr>
            <w:tcW w:w="631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pPr>
            <w:r>
              <w:rPr/>
              <w:t>​</w:t>
            </w:r>
          </w:p>
        </w:tc>
      </w:tr>
      <w:tr>
        <w:trPr/>
        <w:tc>
          <w:tcPr>
            <w:tcW w:w="631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Exploration assets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42,951</w:t>
            </w:r>
          </w:p>
        </w:tc>
        <w:tc>
          <w:tcPr>
            <w:tcW w:w="3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42,951</w:t>
            </w:r>
          </w:p>
        </w:tc>
      </w:tr>
      <w:tr>
        <w:trPr/>
        <w:tc>
          <w:tcPr>
            <w:tcW w:w="631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w:t>
            </w:r>
          </w:p>
        </w:tc>
      </w:tr>
      <w:tr>
        <w:trPr/>
        <w:tc>
          <w:tcPr>
            <w:tcW w:w="631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development costs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2,267</w:t>
            </w:r>
          </w:p>
        </w:tc>
        <w:tc>
          <w:tcPr>
            <w:tcW w:w="3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2,125</w:t>
            </w:r>
          </w:p>
        </w:tc>
      </w:tr>
      <w:tr>
        <w:trPr/>
        <w:tc>
          <w:tcPr>
            <w:tcW w:w="631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1,907</w:t>
            </w:r>
          </w:p>
        </w:tc>
      </w:tr>
      <w:tr>
        <w:trPr/>
        <w:tc>
          <w:tcPr>
            <w:tcW w:w="631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32,842</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13,447</w:t>
            </w:r>
          </w:p>
        </w:tc>
      </w:tr>
      <w:tr>
        <w:trPr/>
        <w:tc>
          <w:tcPr>
            <w:tcW w:w="631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79,454</w:t>
            </w:r>
          </w:p>
        </w:tc>
        <w:tc>
          <w:tcPr>
            <w:tcW w:w="34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60,949</w:t>
            </w:r>
          </w:p>
        </w:tc>
      </w:tr>
      <w:tr>
        <w:trPr/>
        <w:tc>
          <w:tcPr>
            <w:tcW w:w="63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31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180,861</w:t>
            </w:r>
          </w:p>
        </w:tc>
        <w:tc>
          <w:tcPr>
            <w:tcW w:w="346" w:type="dxa"/>
            <w:tcBorders/>
            <w:shd w:fill="CCEE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181,631</w:t>
            </w:r>
          </w:p>
        </w:tc>
      </w:tr>
      <w:tr>
        <w:trPr/>
        <w:tc>
          <w:tcPr>
            <w:tcW w:w="63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pPr>
            <w:r>
              <w:rPr/>
              <w:t>​</w:t>
            </w:r>
          </w:p>
        </w:tc>
      </w:tr>
      <w:tr>
        <w:trPr/>
        <w:tc>
          <w:tcPr>
            <w:tcW w:w="631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pPr>
            <w:r>
              <w:rPr/>
              <w:t>​</w:t>
            </w:r>
          </w:p>
        </w:tc>
      </w:tr>
      <w:tr>
        <w:trPr/>
        <w:tc>
          <w:tcPr>
            <w:tcW w:w="631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pPr>
            <w:r>
              <w:rPr/>
              <w:t>​</w:t>
            </w:r>
          </w:p>
        </w:tc>
      </w:tr>
      <w:tr>
        <w:trPr/>
        <w:tc>
          <w:tcPr>
            <w:tcW w:w="631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52,096</w:t>
            </w:r>
          </w:p>
        </w:tc>
        <w:tc>
          <w:tcPr>
            <w:tcW w:w="34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46,048</w:t>
            </w:r>
          </w:p>
        </w:tc>
      </w:tr>
      <w:tr>
        <w:trPr/>
        <w:tc>
          <w:tcPr>
            <w:tcW w:w="631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liability</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13,351</w:t>
            </w:r>
          </w:p>
        </w:tc>
      </w:tr>
      <w:tr>
        <w:trPr/>
        <w:tc>
          <w:tcPr>
            <w:tcW w:w="631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52,623</w:t>
            </w:r>
          </w:p>
        </w:tc>
        <w:tc>
          <w:tcPr>
            <w:tcW w:w="34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59,399</w:t>
            </w:r>
          </w:p>
        </w:tc>
      </w:tr>
      <w:tr>
        <w:trPr/>
        <w:tc>
          <w:tcPr>
            <w:tcW w:w="631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pPr>
            <w:r>
              <w:rPr/>
              <w:t>​</w:t>
            </w:r>
          </w:p>
        </w:tc>
      </w:tr>
      <w:tr>
        <w:trPr/>
        <w:tc>
          <w:tcPr>
            <w:tcW w:w="631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liability</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10,675</w:t>
            </w:r>
          </w:p>
        </w:tc>
        <w:tc>
          <w:tcPr>
            <w:tcW w:w="34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10,675</w:t>
            </w:r>
          </w:p>
        </w:tc>
      </w:tr>
      <w:tr>
        <w:trPr/>
        <w:tc>
          <w:tcPr>
            <w:tcW w:w="631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Royalty liability</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145,000</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145,000</w:t>
            </w:r>
          </w:p>
        </w:tc>
      </w:tr>
      <w:tr>
        <w:trPr/>
        <w:tc>
          <w:tcPr>
            <w:tcW w:w="631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155,675</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155,675</w:t>
            </w:r>
          </w:p>
        </w:tc>
      </w:tr>
      <w:tr>
        <w:trPr/>
        <w:tc>
          <w:tcPr>
            <w:tcW w:w="63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31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208,298</w:t>
            </w:r>
          </w:p>
        </w:tc>
        <w:tc>
          <w:tcPr>
            <w:tcW w:w="346" w:type="dxa"/>
            <w:tcBorders/>
            <w:shd w:fill="CCEE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215,074</w:t>
            </w:r>
          </w:p>
        </w:tc>
      </w:tr>
      <w:tr>
        <w:trPr/>
        <w:tc>
          <w:tcPr>
            <w:tcW w:w="63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pPr>
            <w:r>
              <w:rPr/>
              <w:t>​</w:t>
            </w:r>
          </w:p>
        </w:tc>
      </w:tr>
      <w:tr>
        <w:trPr/>
        <w:tc>
          <w:tcPr>
            <w:tcW w:w="631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pPr>
            <w:r>
              <w:rPr/>
              <w:t>​</w:t>
            </w:r>
          </w:p>
        </w:tc>
      </w:tr>
      <w:tr>
        <w:trPr/>
        <w:tc>
          <w:tcPr>
            <w:tcW w:w="631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Common shares </w:t>
            </w:r>
            <w:r>
              <w:rPr>
                <w:rFonts w:ascii="Times New Roman;Times;serif" w:hAnsi="Times New Roman;Times;serif"/>
                <w:i/>
                <w:sz w:val="20"/>
              </w:rPr>
              <w:t>(unlimited shares, no</w:t>
            </w:r>
            <w:r>
              <w:rPr>
                <w:rFonts w:ascii="Times New Roman;Times;serif" w:hAnsi="Times New Roman;Times;serif"/>
                <w:sz w:val="20"/>
              </w:rPr>
              <w:t xml:space="preserve"> </w:t>
            </w:r>
            <w:r>
              <w:rPr>
                <w:rFonts w:ascii="Times New Roman;Times;serif" w:hAnsi="Times New Roman;Times;serif"/>
                <w:i/>
                <w:sz w:val="20"/>
              </w:rPr>
              <w:t>par value – issued: 433,726,201</w:t>
            </w:r>
            <w:r>
              <w:rPr>
                <w:rFonts w:ascii="Times New Roman;Times;serif" w:hAnsi="Times New Roman;Times;serif"/>
                <w:sz w:val="20"/>
              </w:rPr>
              <w:t xml:space="preserve"> </w:t>
            </w:r>
            <w:r>
              <w:rPr>
                <w:rFonts w:ascii="Times New Roman;Times;serif" w:hAnsi="Times New Roman;Times;serif"/>
                <w:i/>
                <w:sz w:val="20"/>
              </w:rPr>
              <w:t>(December 31, 2025–422,966,333))</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707,361</w:t>
            </w:r>
          </w:p>
        </w:tc>
        <w:tc>
          <w:tcPr>
            <w:tcW w:w="3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681,343</w:t>
            </w:r>
          </w:p>
        </w:tc>
      </w:tr>
      <w:tr>
        <w:trPr/>
        <w:tc>
          <w:tcPr>
            <w:tcW w:w="631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 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298,406</w:t>
            </w:r>
          </w:p>
        </w:tc>
        <w:tc>
          <w:tcPr>
            <w:tcW w:w="34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237,696</w:t>
            </w:r>
          </w:p>
        </w:tc>
      </w:tr>
      <w:tr>
        <w:trPr/>
        <w:tc>
          <w:tcPr>
            <w:tcW w:w="631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w:t>
            </w:r>
          </w:p>
        </w:tc>
        <w:tc>
          <w:tcPr>
            <w:tcW w:w="3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w:t>
            </w:r>
          </w:p>
        </w:tc>
      </w:tr>
      <w:tr>
        <w:trPr/>
        <w:tc>
          <w:tcPr>
            <w:tcW w:w="631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Deficit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(1,032,001)</w:t>
            </w:r>
          </w:p>
        </w:tc>
        <w:tc>
          <w:tcPr>
            <w:tcW w:w="346" w:type="dxa"/>
            <w:tcBorders/>
            <w:shd w:fill="CCEE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(951,279)</w:t>
            </w:r>
          </w:p>
        </w:tc>
      </w:tr>
      <w:tr>
        <w:trPr/>
        <w:tc>
          <w:tcPr>
            <w:tcW w:w="631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EQUITY</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(27,437)</w:t>
            </w:r>
          </w:p>
        </w:tc>
        <w:tc>
          <w:tcPr>
            <w:tcW w:w="346" w:type="dxa"/>
            <w:tcBorders/>
            <w:vAlign w:val="center"/>
          </w:tcPr>
          <w:p>
            <w:pPr>
              <w:pStyle w:val="TableContents"/>
              <w:bidi w:val="0"/>
              <w:spacing w:before="0" w:after="0"/>
              <w:ind w:left="0" w:right="0" w:hanging="0"/>
              <w:jc w:val="left"/>
              <w:rPr/>
            </w:pPr>
            <w:r>
              <w:rPr/>
              <w:t> </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(33,443)</w:t>
            </w:r>
          </w:p>
        </w:tc>
      </w:tr>
      <w:tr>
        <w:trPr/>
        <w:tc>
          <w:tcPr>
            <w:tcW w:w="631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31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EQUITY</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180,861</w:t>
            </w:r>
          </w:p>
        </w:tc>
        <w:tc>
          <w:tcPr>
            <w:tcW w:w="346" w:type="dxa"/>
            <w:tcBorders/>
            <w:vAlign w:val="center"/>
          </w:tcPr>
          <w:p>
            <w:pPr>
              <w:pStyle w:val="TableContents"/>
              <w:bidi w:val="0"/>
              <w:spacing w:before="0" w:after="0"/>
              <w:ind w:left="0" w:right="0" w:hanging="0"/>
              <w:jc w:val="left"/>
              <w:rPr/>
            </w:pPr>
            <w:r>
              <w:rPr/>
              <w:t> </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3"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181,631</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 xml:space="preserve">Nature of Operations </w:t>
      </w:r>
      <w:r>
        <w:rPr>
          <w:rFonts w:ascii="Times New Roman;Times;serif" w:hAnsi="Times New Roman;Times;serif"/>
          <w:i/>
          <w:sz w:val="20"/>
        </w:rPr>
        <w:t>(Note 1)</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 xml:space="preserve">Contingent Liabilities </w:t>
      </w:r>
      <w:r>
        <w:rPr>
          <w:rFonts w:ascii="Times New Roman;Times;serif" w:hAnsi="Times New Roman;Times;serif"/>
          <w:i/>
          <w:sz w:val="20"/>
        </w:rPr>
        <w:t>(Note 17)</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Subsequent Events</w:t>
      </w:r>
      <w:r>
        <w:rPr>
          <w:rFonts w:ascii="Times New Roman;Times;serif" w:hAnsi="Times New Roman;Times;serif"/>
          <w:sz w:val="20"/>
        </w:rPr>
        <w:t xml:space="preserve"> </w:t>
      </w:r>
      <w:r>
        <w:rPr>
          <w:rFonts w:ascii="Times New Roman;Times;serif" w:hAnsi="Times New Roman;Times;serif"/>
          <w:i/>
          <w:sz w:val="20"/>
        </w:rPr>
        <w:t>(Note 19)</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condensed consolidated financial statements.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5" w:name="_4cd98a11_7df9_44a4_b98d_ad813e560545"/>
      <w:bookmarkEnd w:id="155"/>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bookmarkStart w:id="156" w:name="CondensedConsolidatedStatementsofLossand"/>
      <w:bookmarkEnd w:id="156"/>
      <w:r>
        <w:rPr>
          <w:rFonts w:ascii="Times New Roman;Times;serif" w:hAnsi="Times New Roman;Times;serif"/>
          <w:b/>
          <w:sz w:val="20"/>
        </w:rPr>
        <w:t>Condensed Consolidated Statements of Loss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and per share amounts)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57" w:name="Tc_k0GLNwwdOUKu_nLu6m051A_28_0"/>
      <w:bookmarkStart w:id="158" w:name="Tc_tIj1ocBikEuhYg6e8azFfg_26_13"/>
      <w:bookmarkStart w:id="159" w:name="Tc_ljJB5AyI9USVOQY2zW5D1g_26_10"/>
      <w:bookmarkStart w:id="160" w:name="Tc_Ah8rfzQZAkuIRDIVXl1Haw_26_7"/>
      <w:bookmarkStart w:id="161" w:name="Tc_gUwez-fg5U2R3FiFQWsGnQ_26_4"/>
      <w:bookmarkStart w:id="162" w:name="Tc_6xc91FgIFkKZ38y6lN9KrQ_26_0"/>
      <w:bookmarkStart w:id="163" w:name="Tc_xqtMH0mTYkKYs_FY_lA20g_25_0"/>
      <w:bookmarkStart w:id="164" w:name="Tc_mAR3q9nBEkWLrQ6qQV731w_23_13"/>
      <w:bookmarkStart w:id="165" w:name="Tc_-zDzaSiqnEOTjKWRLHPLqQ_23_10"/>
      <w:bookmarkStart w:id="166" w:name="Tc_0H1RvFXIW02S9XySg_P0GQ_23_7"/>
      <w:bookmarkStart w:id="167" w:name="Tc_dihYB5sO70yrldH_GFvfPw_23_4"/>
      <w:bookmarkStart w:id="168" w:name="Tc_24CM8BJd9UWA5dkmGOTFqg_23_0"/>
      <w:bookmarkStart w:id="169" w:name="Tc_AKluSxrqz02P1SrILsChLg_21_14"/>
      <w:bookmarkStart w:id="170" w:name="Tc_GtH1e-gfAkmjmUEJK5BWKg_21_8"/>
      <w:bookmarkStart w:id="171" w:name="Tc_XZSDmj3jO0S79r6zsYpBIA_21_0"/>
      <w:bookmarkStart w:id="172" w:name="Tc_V5JMnIvF2EWqghz9VEiglw_19_13"/>
      <w:bookmarkStart w:id="173" w:name="Tc_QU2HhMUa10e8kPvDrz_u9A_19_10"/>
      <w:bookmarkStart w:id="174" w:name="Tc_djQGLd7RcE-JdVFgvqKcQg_19_7"/>
      <w:bookmarkStart w:id="175" w:name="Tc_AW8XxTOn9k63epKL_pdN8A_19_4"/>
      <w:bookmarkStart w:id="176" w:name="Tc_7sP6-jRvW0mzg2lYBIOVyw_19_0"/>
      <w:bookmarkStart w:id="177" w:name="Tc_6f6MAUL3bUOGajaguqWkxA_17_2"/>
      <w:bookmarkStart w:id="178" w:name="Tc_CHFH78WWMESkcF82MJw3Rg_17_0"/>
      <w:bookmarkStart w:id="179" w:name="Tc_aL43-jDaTUGmF4alhQrgng_16_0"/>
      <w:bookmarkStart w:id="180" w:name="Tc_c_xbpSdsDEuG4mUbXsGNqw_15_0"/>
      <w:bookmarkStart w:id="181" w:name="Tc_nKw_wy2BZEqImokbKKyp0Q_14_2"/>
      <w:bookmarkStart w:id="182" w:name="Tc_BzeMGBmrBkmrSmj25BPzgg_14_0"/>
      <w:bookmarkStart w:id="183" w:name="Tc_SPuFzbGvrk65Dhz5NIIhcg_13_14"/>
      <w:bookmarkStart w:id="184" w:name="Tc_hu_PwcnRtk2Z9lF0ibWh1g_13_8"/>
      <w:bookmarkStart w:id="185" w:name="Tc_bJN7lLlJ90-EMVEib3yNAg_13_2"/>
      <w:bookmarkStart w:id="186" w:name="Tc_WpT0TYd5Wk2G89wfeKRQfw_13_0"/>
      <w:bookmarkStart w:id="187" w:name="Tc_w-D8wCDIzkypXcsqgpOGcQ_12_2"/>
      <w:bookmarkStart w:id="188" w:name="Tc_X-OcUmcg7EqrIg7vb7T1Fw_12_0"/>
      <w:bookmarkStart w:id="189" w:name="Tc_dbuVDLsyZUSwMJDLSd6AWA_11_11"/>
      <w:bookmarkStart w:id="190" w:name="Tc_xRlbGT49a0iL_IK6vU8JjQ_11_5"/>
      <w:bookmarkStart w:id="191" w:name="Tc_1WtO0tBn20Ge8MCghl40tw_11_0"/>
      <w:bookmarkStart w:id="192" w:name="Tc_Pa_QjHHH0UWwcmVlyJT2zg_10_14"/>
      <w:bookmarkStart w:id="193" w:name="Tc_LZUCQDArM0CDa2PSuDIxJA_10_8"/>
      <w:bookmarkStart w:id="194" w:name="Tc_wE8lPGie1EiGY8OKpgm-zA_10_2"/>
      <w:bookmarkStart w:id="195" w:name="Tc_sos9IgznUE2KZoZO_ZYUcQ_10_0"/>
      <w:bookmarkStart w:id="196" w:name="Tc_7Gw8js8ezkm8cdhLNqV0Dg_9_0"/>
      <w:bookmarkStart w:id="197" w:name="Tc__8_k6352JEaeTBkpfuDBDw_7_0"/>
      <w:bookmarkStart w:id="198" w:name="Tc_mL7BQTtsbU2zjNMc4b0e-w_6_2"/>
      <w:bookmarkStart w:id="199" w:name="Tc_HfTfPLiUBkGTWoIHCK8vVw_6_0"/>
      <w:bookmarkStart w:id="200" w:name="Tc_W6MXmwJgQkKtoeqSsoPEjg_5_13"/>
      <w:bookmarkStart w:id="201" w:name="Tc_aCsQlVngaUmL6B5Rrd5yIg_5_10"/>
      <w:bookmarkStart w:id="202" w:name="Tc_Xq8ZSoeEoUuUW7Eg9N2wlw_5_7"/>
      <w:bookmarkStart w:id="203" w:name="Tc_nYKlzR-wd0OrgRRhTSVtSQ_5_4"/>
      <w:bookmarkStart w:id="204" w:name="Tc_TwhYOtxecUSje30Q8MHgJg_5_2"/>
      <w:bookmarkStart w:id="205" w:name="Tc_6UD4qEh4OEaYi0J5eHVt1A_5_0"/>
      <w:bookmarkStart w:id="206" w:name="Tc_5bVpx9PH8UO6xx0tBji64A_4_0"/>
      <w:bookmarkStart w:id="207" w:name="Tc_yF0ZzYSjJkmpr3X8YUGoOA_3_13"/>
      <w:bookmarkStart w:id="208" w:name="Tc_CORrKuqh6kGTf1hj4_4AyA_3_10"/>
      <w:bookmarkStart w:id="209" w:name="Tc_lmGjzsKGakmQ3IWn-oOqtA_3_7"/>
      <w:bookmarkStart w:id="210" w:name="Tc_1k9wxiMVr0uEGxb1_KBLEA_3_4"/>
      <w:bookmarkStart w:id="211" w:name="Tc_toGnIoMve0yTd9cMxaIKrA_3_2"/>
      <w:bookmarkStart w:id="212" w:name="Tc_rdE15ivO1UOx7zaMtJkxIA_2_10"/>
      <w:bookmarkStart w:id="213" w:name="Tc_hmyQ6b--AEicxaV9xjOT7w_2_4"/>
      <w:bookmarkStart w:id="214" w:name="Tc_8hRpnw9c7Ump4FXjY3kh9g_1_10"/>
      <w:bookmarkStart w:id="215" w:name="Tc_JirAvSX86Ua5RQjkqKwYmw_1_4"/>
      <w:bookmarkStart w:id="216" w:name="_3c378384_f80d_45b6_817c_5d7d2d2c0dc6"/>
      <w:bookmarkStart w:id="217" w:name="_83638f38_b21e_43d4_8831_7e9dd46db38b"/>
      <w:bookmarkStart w:id="218" w:name="Tc_k0GLNwwdOUKu_nLu6m051A_28_0"/>
      <w:bookmarkStart w:id="219" w:name="Tc_tIj1ocBikEuhYg6e8azFfg_26_13"/>
      <w:bookmarkStart w:id="220" w:name="Tc_ljJB5AyI9USVOQY2zW5D1g_26_10"/>
      <w:bookmarkStart w:id="221" w:name="Tc_Ah8rfzQZAkuIRDIVXl1Haw_26_7"/>
      <w:bookmarkStart w:id="222" w:name="Tc_gUwez-fg5U2R3FiFQWsGnQ_26_4"/>
      <w:bookmarkStart w:id="223" w:name="Tc_6xc91FgIFkKZ38y6lN9KrQ_26_0"/>
      <w:bookmarkStart w:id="224" w:name="Tc_xqtMH0mTYkKYs_FY_lA20g_25_0"/>
      <w:bookmarkStart w:id="225" w:name="Tc_mAR3q9nBEkWLrQ6qQV731w_23_13"/>
      <w:bookmarkStart w:id="226" w:name="Tc_-zDzaSiqnEOTjKWRLHPLqQ_23_10"/>
      <w:bookmarkStart w:id="227" w:name="Tc_0H1RvFXIW02S9XySg_P0GQ_23_7"/>
      <w:bookmarkStart w:id="228" w:name="Tc_dihYB5sO70yrldH_GFvfPw_23_4"/>
      <w:bookmarkStart w:id="229" w:name="Tc_24CM8BJd9UWA5dkmGOTFqg_23_0"/>
      <w:bookmarkStart w:id="230" w:name="Tc_AKluSxrqz02P1SrILsChLg_21_14"/>
      <w:bookmarkStart w:id="231" w:name="Tc_GtH1e-gfAkmjmUEJK5BWKg_21_8"/>
      <w:bookmarkStart w:id="232" w:name="Tc_XZSDmj3jO0S79r6zsYpBIA_21_0"/>
      <w:bookmarkStart w:id="233" w:name="Tc_V5JMnIvF2EWqghz9VEiglw_19_13"/>
      <w:bookmarkStart w:id="234" w:name="Tc_QU2HhMUa10e8kPvDrz_u9A_19_10"/>
      <w:bookmarkStart w:id="235" w:name="Tc_djQGLd7RcE-JdVFgvqKcQg_19_7"/>
      <w:bookmarkStart w:id="236" w:name="Tc_AW8XxTOn9k63epKL_pdN8A_19_4"/>
      <w:bookmarkStart w:id="237" w:name="Tc_7sP6-jRvW0mzg2lYBIOVyw_19_0"/>
      <w:bookmarkStart w:id="238" w:name="Tc_6f6MAUL3bUOGajaguqWkxA_17_2"/>
      <w:bookmarkStart w:id="239" w:name="Tc_CHFH78WWMESkcF82MJw3Rg_17_0"/>
      <w:bookmarkStart w:id="240" w:name="Tc_aL43-jDaTUGmF4alhQrgng_16_0"/>
      <w:bookmarkStart w:id="241" w:name="Tc_c_xbpSdsDEuG4mUbXsGNqw_15_0"/>
      <w:bookmarkStart w:id="242" w:name="Tc_nKw_wy2BZEqImokbKKyp0Q_14_2"/>
      <w:bookmarkStart w:id="243" w:name="Tc_BzeMGBmrBkmrSmj25BPzgg_14_0"/>
      <w:bookmarkStart w:id="244" w:name="Tc_SPuFzbGvrk65Dhz5NIIhcg_13_14"/>
      <w:bookmarkStart w:id="245" w:name="Tc_hu_PwcnRtk2Z9lF0ibWh1g_13_8"/>
      <w:bookmarkStart w:id="246" w:name="Tc_bJN7lLlJ90-EMVEib3yNAg_13_2"/>
      <w:bookmarkStart w:id="247" w:name="Tc_WpT0TYd5Wk2G89wfeKRQfw_13_0"/>
      <w:bookmarkStart w:id="248" w:name="Tc_w-D8wCDIzkypXcsqgpOGcQ_12_2"/>
      <w:bookmarkStart w:id="249" w:name="Tc_X-OcUmcg7EqrIg7vb7T1Fw_12_0"/>
      <w:bookmarkStart w:id="250" w:name="Tc_dbuVDLsyZUSwMJDLSd6AWA_11_11"/>
      <w:bookmarkStart w:id="251" w:name="Tc_xRlbGT49a0iL_IK6vU8JjQ_11_5"/>
      <w:bookmarkStart w:id="252" w:name="Tc_1WtO0tBn20Ge8MCghl40tw_11_0"/>
      <w:bookmarkStart w:id="253" w:name="Tc_Pa_QjHHH0UWwcmVlyJT2zg_10_14"/>
      <w:bookmarkStart w:id="254" w:name="Tc_LZUCQDArM0CDa2PSuDIxJA_10_8"/>
      <w:bookmarkStart w:id="255" w:name="Tc_wE8lPGie1EiGY8OKpgm-zA_10_2"/>
      <w:bookmarkStart w:id="256" w:name="Tc_sos9IgznUE2KZoZO_ZYUcQ_10_0"/>
      <w:bookmarkStart w:id="257" w:name="Tc_7Gw8js8ezkm8cdhLNqV0Dg_9_0"/>
      <w:bookmarkStart w:id="258" w:name="Tc__8_k6352JEaeTBkpfuDBDw_7_0"/>
      <w:bookmarkStart w:id="259" w:name="Tc_mL7BQTtsbU2zjNMc4b0e-w_6_2"/>
      <w:bookmarkStart w:id="260" w:name="Tc_HfTfPLiUBkGTWoIHCK8vVw_6_0"/>
      <w:bookmarkStart w:id="261" w:name="Tc_W6MXmwJgQkKtoeqSsoPEjg_5_13"/>
      <w:bookmarkStart w:id="262" w:name="Tc_aCsQlVngaUmL6B5Rrd5yIg_5_10"/>
      <w:bookmarkStart w:id="263" w:name="Tc_Xq8ZSoeEoUuUW7Eg9N2wlw_5_7"/>
      <w:bookmarkStart w:id="264" w:name="Tc_nYKlzR-wd0OrgRRhTSVtSQ_5_4"/>
      <w:bookmarkStart w:id="265" w:name="Tc_TwhYOtxecUSje30Q8MHgJg_5_2"/>
      <w:bookmarkStart w:id="266" w:name="Tc_6UD4qEh4OEaYi0J5eHVt1A_5_0"/>
      <w:bookmarkStart w:id="267" w:name="Tc_5bVpx9PH8UO6xx0tBji64A_4_0"/>
      <w:bookmarkStart w:id="268" w:name="Tc_yF0ZzYSjJkmpr3X8YUGoOA_3_13"/>
      <w:bookmarkStart w:id="269" w:name="Tc_CORrKuqh6kGTf1hj4_4AyA_3_10"/>
      <w:bookmarkStart w:id="270" w:name="Tc_lmGjzsKGakmQ3IWn-oOqtA_3_7"/>
      <w:bookmarkStart w:id="271" w:name="Tc_1k9wxiMVr0uEGxb1_KBLEA_3_4"/>
      <w:bookmarkStart w:id="272" w:name="Tc_toGnIoMve0yTd9cMxaIKrA_3_2"/>
      <w:bookmarkStart w:id="273" w:name="Tc_rdE15ivO1UOx7zaMtJkxIA_2_10"/>
      <w:bookmarkStart w:id="274" w:name="Tc_hmyQ6b--AEicxaV9xjOT7w_2_4"/>
      <w:bookmarkStart w:id="275" w:name="Tc_8hRpnw9c7Ump4FXjY3kh9g_1_10"/>
      <w:bookmarkStart w:id="276" w:name="Tc_JirAvSX86Ua5RQjkqKwYmw_1_4"/>
      <w:bookmarkStart w:id="277" w:name="_3c378384_f80d_45b6_817c_5d7d2d2c0dc6"/>
      <w:bookmarkStart w:id="278" w:name="_83638f38_b21e_43d4_8831_7e9dd46db38b"/>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tbl>
      <w:tblPr>
        <w:tblW w:w="10205" w:type="dxa"/>
        <w:jc w:val="left"/>
        <w:tblInd w:w="0" w:type="dxa"/>
        <w:tblLayout w:type="fixed"/>
        <w:tblCellMar>
          <w:top w:w="0" w:type="dxa"/>
          <w:left w:w="0" w:type="dxa"/>
          <w:bottom w:w="0" w:type="dxa"/>
          <w:right w:w="0" w:type="dxa"/>
        </w:tblCellMar>
      </w:tblPr>
      <w:tblGrid>
        <w:gridCol w:w="2511"/>
        <w:gridCol w:w="346"/>
        <w:gridCol w:w="451"/>
        <w:gridCol w:w="346"/>
        <w:gridCol w:w="211"/>
        <w:gridCol w:w="1141"/>
        <w:gridCol w:w="346"/>
        <w:gridCol w:w="211"/>
        <w:gridCol w:w="1141"/>
        <w:gridCol w:w="346"/>
        <w:gridCol w:w="211"/>
        <w:gridCol w:w="1141"/>
        <w:gridCol w:w="346"/>
        <w:gridCol w:w="211"/>
        <w:gridCol w:w="1246"/>
      </w:tblGrid>
      <w:tr>
        <w:trPr/>
        <w:tc>
          <w:tcPr>
            <w:tcW w:w="2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594485" cy="175260"/>
                      <wp:effectExtent l="0" t="0" r="0" b="0"/>
                      <wp:wrapNone/>
                      <wp:docPr id="25" name="Frame25"/>
                      <a:graphic xmlns:a="http://schemas.openxmlformats.org/drawingml/2006/main">
                        <a:graphicData uri="http://schemas.microsoft.com/office/word/2010/wordprocessingShape">
                          <wps:wsp>
                            <wps:cNvSpPr txBox="1"/>
                            <wps:spPr>
                              <a:xfrm>
                                <a:off x="0" y="0"/>
                                <a:ext cx="159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86385" cy="175260"/>
                      <wp:effectExtent l="0" t="0" r="0" b="0"/>
                      <wp:wrapNone/>
                      <wp:docPr id="27" name="Frame27"/>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724535" cy="175260"/>
                      <wp:effectExtent l="0" t="0" r="0" b="0"/>
                      <wp:wrapNone/>
                      <wp:docPr id="30" name="Frame3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724535" cy="175260"/>
                      <wp:effectExtent l="0" t="0" r="0" b="0"/>
                      <wp:wrapNone/>
                      <wp:docPr id="33" name="Frame3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5"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724535" cy="175260"/>
                      <wp:effectExtent l="0" t="0" r="0" b="0"/>
                      <wp:wrapNone/>
                      <wp:docPr id="36" name="Frame3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791210" cy="175260"/>
                      <wp:effectExtent l="0" t="0" r="0" b="0"/>
                      <wp:wrapNone/>
                      <wp:docPr id="39" name="Frame39"/>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0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31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30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31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0"/>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45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251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left"/>
              <w:rPr/>
            </w:pPr>
            <w:r>
              <w:rPr/>
              <w:t>  ​</w:t>
            </w:r>
          </w:p>
        </w:tc>
      </w:tr>
      <w:tr>
        <w:trPr/>
        <w:tc>
          <w:tcPr>
            <w:tcW w:w="25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Exploration and evaluation expenses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56,088</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69,345</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20,011</w:t>
            </w:r>
          </w:p>
        </w:tc>
      </w:tr>
      <w:tr>
        <w:trPr/>
        <w:tc>
          <w:tcPr>
            <w:tcW w:w="25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15,629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36,354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19,979</w:t>
            </w:r>
          </w:p>
        </w:tc>
      </w:tr>
      <w:tr>
        <w:trPr/>
        <w:tc>
          <w:tcPr>
            <w:tcW w:w="251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loss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71,717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21,975</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105,699</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39,990</w:t>
            </w:r>
          </w:p>
        </w:tc>
      </w:tr>
      <w:tr>
        <w:trPr/>
        <w:tc>
          <w:tcPr>
            <w:tcW w:w="2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pPr>
            <w:r>
              <w:rPr/>
              <w:t>​</w:t>
            </w:r>
          </w:p>
        </w:tc>
      </w:tr>
      <w:tr>
        <w:trPr/>
        <w:tc>
          <w:tcPr>
            <w:tcW w:w="251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items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  ​</w:t>
            </w:r>
          </w:p>
        </w:tc>
      </w:tr>
      <w:tr>
        <w:trPr/>
        <w:tc>
          <w:tcPr>
            <w:tcW w:w="25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 on Allseas settlement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pPr>
            <w:r>
              <w:rPr/>
              <w:t>—</w:t>
            </w:r>
          </w:p>
        </w:tc>
      </w:tr>
      <w:tr>
        <w:trPr/>
        <w:tc>
          <w:tcPr>
            <w:tcW w:w="25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Nauru warrant cost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33,079</w:t>
            </w:r>
          </w:p>
        </w:tc>
      </w:tr>
      <w:tr>
        <w:trPr/>
        <w:tc>
          <w:tcPr>
            <w:tcW w:w="25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Equity-accounted investment loss (income)</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25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dilution of investment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w:t>
            </w:r>
          </w:p>
        </w:tc>
      </w:tr>
      <w:tr>
        <w:trPr/>
        <w:tc>
          <w:tcPr>
            <w:tcW w:w="25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16,670</w:t>
            </w:r>
          </w:p>
        </w:tc>
      </w:tr>
      <w:tr>
        <w:trPr/>
        <w:tc>
          <w:tcPr>
            <w:tcW w:w="25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loss (gain)</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2,461</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3,556</w:t>
            </w:r>
          </w:p>
        </w:tc>
      </w:tr>
      <w:tr>
        <w:trPr/>
        <w:tc>
          <w:tcPr>
            <w:tcW w:w="25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r>
      <w:tr>
        <w:trPr/>
        <w:tc>
          <w:tcPr>
            <w:tcW w:w="25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Fees and interest on borrowings and credit facilities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1,379</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w:t>
            </w:r>
          </w:p>
        </w:tc>
      </w:tr>
      <w:tr>
        <w:trPr/>
        <w:tc>
          <w:tcPr>
            <w:tcW w:w="2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pPr>
            <w:r>
              <w:rPr/>
              <w:t>​</w:t>
            </w:r>
          </w:p>
        </w:tc>
      </w:tr>
      <w:tr>
        <w:trPr/>
        <w:tc>
          <w:tcPr>
            <w:tcW w:w="251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and comprehensive loss for the period, before tax</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60,007</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74,341</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80,562</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94,929</w:t>
            </w:r>
          </w:p>
        </w:tc>
      </w:tr>
      <w:tr>
        <w:trPr/>
        <w:tc>
          <w:tcPr>
            <w:tcW w:w="2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pPr>
            <w:r>
              <w:rPr/>
              <w:t>​</w:t>
            </w:r>
          </w:p>
        </w:tc>
      </w:tr>
      <w:tr>
        <w:trPr/>
        <w:tc>
          <w:tcPr>
            <w:tcW w:w="25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246" w:type="dxa"/>
            <w:tcBorders/>
            <w:vAlign w:val="center"/>
          </w:tcPr>
          <w:p>
            <w:pPr>
              <w:pStyle w:val="TableContents"/>
              <w:bidi w:val="0"/>
              <w:spacing w:before="0" w:after="0"/>
              <w:ind w:left="0" w:right="0" w:hanging="0"/>
              <w:jc w:val="right"/>
              <w:rPr/>
            </w:pPr>
            <w:r>
              <w:rPr/>
              <w:t>—</w:t>
            </w:r>
          </w:p>
        </w:tc>
      </w:tr>
      <w:tr>
        <w:trPr/>
        <w:tc>
          <w:tcPr>
            <w:tcW w:w="2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51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and comprehensive loss for the period, after tax</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60,123</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74,341</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80,722</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94,929</w:t>
            </w:r>
          </w:p>
        </w:tc>
      </w:tr>
      <w:tr>
        <w:trPr/>
        <w:tc>
          <w:tcPr>
            <w:tcW w:w="2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pPr>
            <w:r>
              <w:rPr/>
              <w:t>​</w:t>
            </w:r>
          </w:p>
        </w:tc>
      </w:tr>
      <w:tr>
        <w:trPr/>
        <w:tc>
          <w:tcPr>
            <w:tcW w:w="251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per share</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w:t>
            </w:r>
          </w:p>
        </w:tc>
      </w:tr>
      <w:tr>
        <w:trPr/>
        <w:tc>
          <w:tcPr>
            <w:tcW w:w="251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Basic and diluted</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0.14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0.20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0.19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0.27</w:t>
            </w:r>
          </w:p>
        </w:tc>
      </w:tr>
      <w:tr>
        <w:trPr/>
        <w:tc>
          <w:tcPr>
            <w:tcW w:w="2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w:t>
            </w:r>
          </w:p>
        </w:tc>
      </w:tr>
      <w:tr>
        <w:trPr/>
        <w:tc>
          <w:tcPr>
            <w:tcW w:w="251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Weighted average number of common shares outstanding – basic and diluted</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433,243,064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366,626,500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429,656,793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356,045,231</w:t>
            </w:r>
          </w:p>
        </w:tc>
      </w:tr>
    </w:tbl>
    <w:p>
      <w:pPr>
        <w:pStyle w:val="TextBody"/>
        <w:bidi w:val="0"/>
        <w:spacing w:before="0" w:after="0"/>
        <w:ind w:left="0" w:right="0" w:hanging="0"/>
        <w:jc w:val="both"/>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condensed consolidated financial statements.</w:t>
      </w:r>
    </w:p>
    <w:p>
      <w:pPr>
        <w:pStyle w:val="TextBody"/>
        <w:bidi w:val="0"/>
        <w:spacing w:before="0" w:after="0"/>
        <w:ind w:left="36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79" w:name="_55b2c0ca_8587_4188_8356_ac9d91cb9b6e"/>
      <w:bookmarkEnd w:id="279"/>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bookmarkStart w:id="280" w:name="CondensedConsolidatedStatementsofChanges"/>
      <w:bookmarkEnd w:id="280"/>
      <w:r>
        <w:rPr>
          <w:rFonts w:ascii="Times New Roman;Times;serif" w:hAnsi="Times New Roman;Times;serif"/>
          <w:b/>
          <w:sz w:val="20"/>
        </w:rPr>
        <w:t>Condensed Consolidated Statements of Changes in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81" w:name="Tc_vZU5db_dsUivlbpZhLPfqg_11_22"/>
      <w:bookmarkStart w:id="282" w:name="Tc_tI-vLbzNF0WIKMVgZrknUQ_11_19"/>
      <w:bookmarkStart w:id="283" w:name="Tc_jtDh4I3C4US2DeEfStbKjg_11_16"/>
      <w:bookmarkStart w:id="284" w:name="Tc_yuzkA-jQhUmX-LMdbfkJwQ_11_13"/>
      <w:bookmarkStart w:id="285" w:name="Tc_do2GmFpH7k-_Vsfz_7QvwA_11_11"/>
      <w:bookmarkStart w:id="286" w:name="Tc_Pzw_cbveCEqLeC1H_CpSng_11_10"/>
      <w:bookmarkStart w:id="287" w:name="Tc_A4NGHqXGCU-EJnfkNv6bqQ_11_8"/>
      <w:bookmarkStart w:id="288" w:name="Tc_MfN4FFk-JkahGOOCgYmN0Q_11_7"/>
      <w:bookmarkStart w:id="289" w:name="Tc_uOVcPNFp5UGyJDJH2Sv0BA_11_4"/>
      <w:bookmarkStart w:id="290" w:name="Tc_zBSuV5-hf0ykseQkEYQzww_11_0"/>
      <w:bookmarkStart w:id="291" w:name="Tc_vKV-vMX7cEO0ds_sTKyiUg_10_17"/>
      <w:bookmarkStart w:id="292" w:name="Tc_UNUx3AMn-Ui1vKq9zvkc7A_10_14"/>
      <w:bookmarkStart w:id="293" w:name="Tc_iNIB_Ecqv0ezNZ9ONeS29g_10_11"/>
      <w:bookmarkStart w:id="294" w:name="Tc_pghAntaMyUqOlOcCDzsnig_10_8"/>
      <w:bookmarkStart w:id="295" w:name="Tc_78Jl6cYhdEm-TsknonUx1Q_10_5"/>
      <w:bookmarkStart w:id="296" w:name="Tc_hzFUmn8wPUyb3mDcAv0S8Q_10_2"/>
      <w:bookmarkStart w:id="297" w:name="Tc_64OLWkh3A0CZNEbgGifS9g_10_0"/>
      <w:bookmarkStart w:id="298" w:name="Tc_kbVU0oqkTEOKFRzYMcWa3g_9_20"/>
      <w:bookmarkStart w:id="299" w:name="Tc_pyz1r1bFuUW9vO5kjaJ9yw_9_17"/>
      <w:bookmarkStart w:id="300" w:name="Tc_xBnE8UcsIkykgsjQqt_YCw_9_11"/>
      <w:bookmarkStart w:id="301" w:name="Tc_IvJbDJH9902PMbuJDLemVQ_9_8"/>
      <w:bookmarkStart w:id="302" w:name="Tc_Fg0bYhfzCE-H6YZz-Rn6IQ_9_5"/>
      <w:bookmarkStart w:id="303" w:name="Tc_Bgh_Nk-rQEqze04hHT_ztQ_9_2"/>
      <w:bookmarkStart w:id="304" w:name="Tc_vsiq_tvwZkyZGzB9Hwx6uQ_9_0"/>
      <w:bookmarkStart w:id="305" w:name="Tc_hOzB9f_Xa0-NtRY_HY29Mw_8_20"/>
      <w:bookmarkStart w:id="306" w:name="Tc_JmiRt5oEiUWXBP5Y3M-b0g_8_17"/>
      <w:bookmarkStart w:id="307" w:name="Tc_agxIvvKoxU2eSj_g_ocGPw_8_11"/>
      <w:bookmarkStart w:id="308" w:name="Tc_7FXe1sH6vEWlfFdgv7nbeA_8_8"/>
      <w:bookmarkStart w:id="309" w:name="Tc_idWQ1DGCpE-cXCG6_s8TvA_8_5"/>
      <w:bookmarkStart w:id="310" w:name="Tc_y-UKmf6flUqAHbNaEpD4Wg_8_2"/>
      <w:bookmarkStart w:id="311" w:name="Tc_CN1C3Co9fkqCB19AJegS0Q_8_0"/>
      <w:bookmarkStart w:id="312" w:name="Tc_ptgEmR8oQ0qKH_y84tq1_A_7_20"/>
      <w:bookmarkStart w:id="313" w:name="Tc_MuBAAnaz_UuEJJRi8CQ1oQ_7_17"/>
      <w:bookmarkStart w:id="314" w:name="Tc_cm86sgQnyESrIpPRhUkCwg_7_11"/>
      <w:bookmarkStart w:id="315" w:name="Tc_Ab82cMYzJEe2XXTpfmS7ng_7_8"/>
      <w:bookmarkStart w:id="316" w:name="Tc_0AHaAY8vSESph0r_wFxfIw_7_0"/>
      <w:bookmarkStart w:id="317" w:name="Tc_D7T4oEv14kWA0ELGIj96Yg_6_23"/>
      <w:bookmarkStart w:id="318" w:name="Tc_z5jcuIBJu0iYCFsidYvTDg_6_20"/>
      <w:bookmarkStart w:id="319" w:name="Tc_jwPAeMUt3Uur36B1yDYxQg_6_17"/>
      <w:bookmarkStart w:id="320" w:name="Tc_X0bZaehJ1EKj3Y3PucZYww_6_11"/>
      <w:bookmarkStart w:id="321" w:name="Tc_0MI25EzWKkqjs9uFv94Lqg_6_8"/>
      <w:bookmarkStart w:id="322" w:name="Tc_rLAXloz0vk2jLLQ0r4Xawg_6_0"/>
      <w:bookmarkStart w:id="323" w:name="Tc_aZzdXHGQB0WqmFMZvNjMXA_5_22"/>
      <w:bookmarkStart w:id="324" w:name="Tc_Hr_UJ4lBQk24ruDgRq77Jg_5_19"/>
      <w:bookmarkStart w:id="325" w:name="Tc_OdPIxFCPkkqg4zC_cHtjig_5_16"/>
      <w:bookmarkStart w:id="326" w:name="Tc_OE58ruYFn0ynO3i0ecCseg_5_13"/>
      <w:bookmarkStart w:id="327" w:name="Tc_SWSkWb-JTUiCPenJ29wY2w_5_11"/>
      <w:bookmarkStart w:id="328" w:name="Tc_WLqxNqLqNUS_TTsmoQ0NpA_5_10"/>
      <w:bookmarkStart w:id="329" w:name="Tc_K9gzLbrN1UeiMqGpsB6weQ_5_8"/>
      <w:bookmarkStart w:id="330" w:name="Tc_jp7kIvybA0mdkJ7Ey9RO8A_5_7"/>
      <w:bookmarkStart w:id="331" w:name="Tc_7NKwLG6MFkWtHsusrGuLWw_5_4"/>
      <w:bookmarkStart w:id="332" w:name="Tc_Mw6Am7JYlU-tgYiHO_y5PQ_5_0"/>
      <w:bookmarkStart w:id="333" w:name="Tc_zdKV3iYJq0WTTmWc6xYAog_4_22"/>
      <w:bookmarkStart w:id="334" w:name="Tc_QKPXvnx_z0yRzh-S_OuEww_4_19"/>
      <w:bookmarkStart w:id="335" w:name="Tc_LpowPYgTi02wwnWseCBaFQ_4_16"/>
      <w:bookmarkStart w:id="336" w:name="Tc_ZXCYLyddc0C4oz_61Ss0gQ_4_13"/>
      <w:bookmarkStart w:id="337" w:name="Tc_qek3Kmykd0qiCS1LO6RVfw_4_10"/>
      <w:bookmarkStart w:id="338" w:name="Tc_BRkUiuRSJkK7qhHP6SPj_A_4_7"/>
      <w:bookmarkStart w:id="339" w:name="Tc_CU5rnObZr0a7TefiqoBktg_4_5"/>
      <w:bookmarkStart w:id="340" w:name="Tc_j2iwpVNYXU6IV4HajhvQ_A_4_2"/>
      <w:bookmarkStart w:id="341" w:name="Tc_0l84qPVcKk6Tt7QqJXMXRQ_4_0"/>
      <w:bookmarkStart w:id="342" w:name="Tc_lgB8UwA7C02jfoMCV_1pRQ_3_16"/>
      <w:bookmarkStart w:id="343" w:name="Tc_NV_YUh_5QUyz0ZBjBTuNgQ_3_13"/>
      <w:bookmarkStart w:id="344" w:name="Tc__bBQDnZoCk2K8-KJKNRMwA_3_10"/>
      <w:bookmarkStart w:id="345" w:name="Tc_BzizjzdTqU-58t6jjjh5Tg_3_7"/>
      <w:bookmarkStart w:id="346" w:name="Tc_KNOwy0qBh0KwDiaJiUgIhg_3_2"/>
      <w:bookmarkStart w:id="347" w:name="Tc_e5yWq1E1b0aStKECU5Kobw_2_16"/>
      <w:bookmarkStart w:id="348" w:name="Tc_MxVLqBx5w0GiWi8e4F_k1g_2_13"/>
      <w:bookmarkStart w:id="349" w:name="Tc_WtSDzidBxkyHB75T1C7nVg_1_16"/>
      <w:bookmarkStart w:id="350" w:name="_e0a85aaa_9394_41de_bf68_8fc47e235eca"/>
      <w:bookmarkStart w:id="351" w:name="Tc_vZU5db_dsUivlbpZhLPfqg_11_22"/>
      <w:bookmarkStart w:id="352" w:name="Tc_tI-vLbzNF0WIKMVgZrknUQ_11_19"/>
      <w:bookmarkStart w:id="353" w:name="Tc_jtDh4I3C4US2DeEfStbKjg_11_16"/>
      <w:bookmarkStart w:id="354" w:name="Tc_yuzkA-jQhUmX-LMdbfkJwQ_11_13"/>
      <w:bookmarkStart w:id="355" w:name="Tc_do2GmFpH7k-_Vsfz_7QvwA_11_11"/>
      <w:bookmarkStart w:id="356" w:name="Tc_Pzw_cbveCEqLeC1H_CpSng_11_10"/>
      <w:bookmarkStart w:id="357" w:name="Tc_A4NGHqXGCU-EJnfkNv6bqQ_11_8"/>
      <w:bookmarkStart w:id="358" w:name="Tc_MfN4FFk-JkahGOOCgYmN0Q_11_7"/>
      <w:bookmarkStart w:id="359" w:name="Tc_uOVcPNFp5UGyJDJH2Sv0BA_11_4"/>
      <w:bookmarkStart w:id="360" w:name="Tc_zBSuV5-hf0ykseQkEYQzww_11_0"/>
      <w:bookmarkStart w:id="361" w:name="Tc_vKV-vMX7cEO0ds_sTKyiUg_10_17"/>
      <w:bookmarkStart w:id="362" w:name="Tc_UNUx3AMn-Ui1vKq9zvkc7A_10_14"/>
      <w:bookmarkStart w:id="363" w:name="Tc_iNIB_Ecqv0ezNZ9ONeS29g_10_11"/>
      <w:bookmarkStart w:id="364" w:name="Tc_pghAntaMyUqOlOcCDzsnig_10_8"/>
      <w:bookmarkStart w:id="365" w:name="Tc_78Jl6cYhdEm-TsknonUx1Q_10_5"/>
      <w:bookmarkStart w:id="366" w:name="Tc_hzFUmn8wPUyb3mDcAv0S8Q_10_2"/>
      <w:bookmarkStart w:id="367" w:name="Tc_64OLWkh3A0CZNEbgGifS9g_10_0"/>
      <w:bookmarkStart w:id="368" w:name="Tc_kbVU0oqkTEOKFRzYMcWa3g_9_20"/>
      <w:bookmarkStart w:id="369" w:name="Tc_pyz1r1bFuUW9vO5kjaJ9yw_9_17"/>
      <w:bookmarkStart w:id="370" w:name="Tc_xBnE8UcsIkykgsjQqt_YCw_9_11"/>
      <w:bookmarkStart w:id="371" w:name="Tc_IvJbDJH9902PMbuJDLemVQ_9_8"/>
      <w:bookmarkStart w:id="372" w:name="Tc_Fg0bYhfzCE-H6YZz-Rn6IQ_9_5"/>
      <w:bookmarkStart w:id="373" w:name="Tc_Bgh_Nk-rQEqze04hHT_ztQ_9_2"/>
      <w:bookmarkStart w:id="374" w:name="Tc_vsiq_tvwZkyZGzB9Hwx6uQ_9_0"/>
      <w:bookmarkStart w:id="375" w:name="Tc_hOzB9f_Xa0-NtRY_HY29Mw_8_20"/>
      <w:bookmarkStart w:id="376" w:name="Tc_JmiRt5oEiUWXBP5Y3M-b0g_8_17"/>
      <w:bookmarkStart w:id="377" w:name="Tc_agxIvvKoxU2eSj_g_ocGPw_8_11"/>
      <w:bookmarkStart w:id="378" w:name="Tc_7FXe1sH6vEWlfFdgv7nbeA_8_8"/>
      <w:bookmarkStart w:id="379" w:name="Tc_idWQ1DGCpE-cXCG6_s8TvA_8_5"/>
      <w:bookmarkStart w:id="380" w:name="Tc_y-UKmf6flUqAHbNaEpD4Wg_8_2"/>
      <w:bookmarkStart w:id="381" w:name="Tc_CN1C3Co9fkqCB19AJegS0Q_8_0"/>
      <w:bookmarkStart w:id="382" w:name="Tc_ptgEmR8oQ0qKH_y84tq1_A_7_20"/>
      <w:bookmarkStart w:id="383" w:name="Tc_MuBAAnaz_UuEJJRi8CQ1oQ_7_17"/>
      <w:bookmarkStart w:id="384" w:name="Tc_cm86sgQnyESrIpPRhUkCwg_7_11"/>
      <w:bookmarkStart w:id="385" w:name="Tc_Ab82cMYzJEe2XXTpfmS7ng_7_8"/>
      <w:bookmarkStart w:id="386" w:name="Tc_0AHaAY8vSESph0r_wFxfIw_7_0"/>
      <w:bookmarkStart w:id="387" w:name="Tc_D7T4oEv14kWA0ELGIj96Yg_6_23"/>
      <w:bookmarkStart w:id="388" w:name="Tc_z5jcuIBJu0iYCFsidYvTDg_6_20"/>
      <w:bookmarkStart w:id="389" w:name="Tc_jwPAeMUt3Uur36B1yDYxQg_6_17"/>
      <w:bookmarkStart w:id="390" w:name="Tc_X0bZaehJ1EKj3Y3PucZYww_6_11"/>
      <w:bookmarkStart w:id="391" w:name="Tc_0MI25EzWKkqjs9uFv94Lqg_6_8"/>
      <w:bookmarkStart w:id="392" w:name="Tc_rLAXloz0vk2jLLQ0r4Xawg_6_0"/>
      <w:bookmarkStart w:id="393" w:name="Tc_aZzdXHGQB0WqmFMZvNjMXA_5_22"/>
      <w:bookmarkStart w:id="394" w:name="Tc_Hr_UJ4lBQk24ruDgRq77Jg_5_19"/>
      <w:bookmarkStart w:id="395" w:name="Tc_OdPIxFCPkkqg4zC_cHtjig_5_16"/>
      <w:bookmarkStart w:id="396" w:name="Tc_OE58ruYFn0ynO3i0ecCseg_5_13"/>
      <w:bookmarkStart w:id="397" w:name="Tc_SWSkWb-JTUiCPenJ29wY2w_5_11"/>
      <w:bookmarkStart w:id="398" w:name="Tc_WLqxNqLqNUS_TTsmoQ0NpA_5_10"/>
      <w:bookmarkStart w:id="399" w:name="Tc_K9gzLbrN1UeiMqGpsB6weQ_5_8"/>
      <w:bookmarkStart w:id="400" w:name="Tc_jp7kIvybA0mdkJ7Ey9RO8A_5_7"/>
      <w:bookmarkStart w:id="401" w:name="Tc_7NKwLG6MFkWtHsusrGuLWw_5_4"/>
      <w:bookmarkStart w:id="402" w:name="Tc_Mw6Am7JYlU-tgYiHO_y5PQ_5_0"/>
      <w:bookmarkStart w:id="403" w:name="Tc_zdKV3iYJq0WTTmWc6xYAog_4_22"/>
      <w:bookmarkStart w:id="404" w:name="Tc_QKPXvnx_z0yRzh-S_OuEww_4_19"/>
      <w:bookmarkStart w:id="405" w:name="Tc_LpowPYgTi02wwnWseCBaFQ_4_16"/>
      <w:bookmarkStart w:id="406" w:name="Tc_ZXCYLyddc0C4oz_61Ss0gQ_4_13"/>
      <w:bookmarkStart w:id="407" w:name="Tc_qek3Kmykd0qiCS1LO6RVfw_4_10"/>
      <w:bookmarkStart w:id="408" w:name="Tc_BRkUiuRSJkK7qhHP6SPj_A_4_7"/>
      <w:bookmarkStart w:id="409" w:name="Tc_CU5rnObZr0a7TefiqoBktg_4_5"/>
      <w:bookmarkStart w:id="410" w:name="Tc_j2iwpVNYXU6IV4HajhvQ_A_4_2"/>
      <w:bookmarkStart w:id="411" w:name="Tc_0l84qPVcKk6Tt7QqJXMXRQ_4_0"/>
      <w:bookmarkStart w:id="412" w:name="Tc_lgB8UwA7C02jfoMCV_1pRQ_3_16"/>
      <w:bookmarkStart w:id="413" w:name="Tc_NV_YUh_5QUyz0ZBjBTuNgQ_3_13"/>
      <w:bookmarkStart w:id="414" w:name="Tc__bBQDnZoCk2K8-KJKNRMwA_3_10"/>
      <w:bookmarkStart w:id="415" w:name="Tc_BzizjzdTqU-58t6jjjh5Tg_3_7"/>
      <w:bookmarkStart w:id="416" w:name="Tc_KNOwy0qBh0KwDiaJiUgIhg_3_2"/>
      <w:bookmarkStart w:id="417" w:name="Tc_e5yWq1E1b0aStKECU5Kobw_2_16"/>
      <w:bookmarkStart w:id="418" w:name="Tc_MxVLqBx5w0GiWi8e4F_k1g_2_13"/>
      <w:bookmarkStart w:id="419" w:name="Tc_WtSDzidBxkyHB75T1C7nVg_1_16"/>
      <w:bookmarkStart w:id="420" w:name="_e0a85aaa_9394_41de_bf68_8fc47e235eca"/>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tbl>
      <w:tblPr>
        <w:tblW w:w="10385" w:type="dxa"/>
        <w:jc w:val="left"/>
        <w:tblInd w:w="0" w:type="dxa"/>
        <w:tblLayout w:type="fixed"/>
        <w:tblCellMar>
          <w:top w:w="0" w:type="dxa"/>
          <w:left w:w="0" w:type="dxa"/>
          <w:bottom w:w="0" w:type="dxa"/>
          <w:right w:w="0" w:type="dxa"/>
        </w:tblCellMar>
      </w:tblPr>
      <w:tblGrid>
        <w:gridCol w:w="1021"/>
        <w:gridCol w:w="346"/>
        <w:gridCol w:w="871"/>
        <w:gridCol w:w="346"/>
        <w:gridCol w:w="181"/>
        <w:gridCol w:w="631"/>
        <w:gridCol w:w="346"/>
        <w:gridCol w:w="237"/>
        <w:gridCol w:w="454"/>
        <w:gridCol w:w="346"/>
        <w:gridCol w:w="196"/>
        <w:gridCol w:w="375"/>
        <w:gridCol w:w="346"/>
        <w:gridCol w:w="187"/>
        <w:gridCol w:w="624"/>
        <w:gridCol w:w="346"/>
        <w:gridCol w:w="291"/>
        <w:gridCol w:w="805"/>
        <w:gridCol w:w="346"/>
        <w:gridCol w:w="181"/>
        <w:gridCol w:w="766"/>
        <w:gridCol w:w="346"/>
        <w:gridCol w:w="181"/>
        <w:gridCol w:w="616"/>
      </w:tblGrid>
      <w:tr>
        <w:trPr/>
        <w:tc>
          <w:tcPr>
            <w:tcW w:w="1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r>
      <w:tr>
        <w:trPr/>
        <w:tc>
          <w:tcPr>
            <w:tcW w:w="1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Accumulated</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r>
      <w:tr>
        <w:trPr/>
        <w:tc>
          <w:tcPr>
            <w:tcW w:w="1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11" w:type="dxa"/>
            <w:gridSpan w:val="2"/>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Additional</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Other</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r>
      <w:tr>
        <w:trPr/>
        <w:tc>
          <w:tcPr>
            <w:tcW w:w="1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2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 Shares</w:t>
            </w:r>
          </w:p>
        </w:tc>
        <w:tc>
          <w:tcPr>
            <w:tcW w:w="346" w:type="dxa"/>
            <w:tcBorders/>
            <w:vAlign w:val="center"/>
          </w:tcPr>
          <w:p>
            <w:pPr>
              <w:pStyle w:val="TableContents"/>
              <w:bidi w:val="0"/>
              <w:spacing w:before="0" w:after="0"/>
              <w:ind w:left="0" w:right="0" w:hanging="0"/>
              <w:jc w:val="left"/>
              <w:rPr/>
            </w:pPr>
            <w:r>
              <w:rPr/>
              <w:t>​</w:t>
            </w:r>
          </w:p>
        </w:tc>
        <w:tc>
          <w:tcPr>
            <w:tcW w:w="691" w:type="dxa"/>
            <w:gridSpan w:val="2"/>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Preferred</w:t>
            </w:r>
          </w:p>
        </w:tc>
        <w:tc>
          <w:tcPr>
            <w:tcW w:w="346" w:type="dxa"/>
            <w:tcBorders/>
            <w:vAlign w:val="center"/>
          </w:tcPr>
          <w:p>
            <w:pPr>
              <w:pStyle w:val="TableContents"/>
              <w:bidi w:val="0"/>
              <w:spacing w:before="0" w:after="0"/>
              <w:ind w:left="0" w:right="0" w:hanging="0"/>
              <w:jc w:val="left"/>
              <w:rPr/>
            </w:pPr>
            <w:r>
              <w:rPr/>
              <w:t>​</w:t>
            </w:r>
          </w:p>
        </w:tc>
        <w:tc>
          <w:tcPr>
            <w:tcW w:w="571" w:type="dxa"/>
            <w:gridSpan w:val="2"/>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Special</w:t>
            </w:r>
          </w:p>
        </w:tc>
        <w:tc>
          <w:tcPr>
            <w:tcW w:w="346" w:type="dxa"/>
            <w:tcBorders/>
            <w:vAlign w:val="center"/>
          </w:tcPr>
          <w:p>
            <w:pPr>
              <w:pStyle w:val="TableContents"/>
              <w:bidi w:val="0"/>
              <w:spacing w:before="0" w:after="0"/>
              <w:ind w:left="0" w:right="0" w:hanging="0"/>
              <w:jc w:val="left"/>
              <w:rPr/>
            </w:pPr>
            <w:r>
              <w:rPr/>
              <w:t>​</w:t>
            </w:r>
          </w:p>
        </w:tc>
        <w:tc>
          <w:tcPr>
            <w:tcW w:w="811" w:type="dxa"/>
            <w:gridSpan w:val="2"/>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Paid in</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Comprehensive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102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Three months ended June 30, 2026</w:t>
            </w:r>
          </w:p>
        </w:tc>
        <w:tc>
          <w:tcPr>
            <w:tcW w:w="346" w:type="dxa"/>
            <w:tcBorders/>
            <w:vAlign w:val="center"/>
          </w:tcPr>
          <w:p>
            <w:pPr>
              <w:pStyle w:val="TableContents"/>
              <w:bidi w:val="0"/>
              <w:spacing w:before="0" w:after="0"/>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0"/>
              <w:ind w:left="0" w:right="0" w:hanging="0"/>
              <w:jc w:val="left"/>
              <w:rPr/>
            </w:pPr>
            <w:r>
              <w:rPr/>
              <w:t>  ​ ​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Amount</w:t>
            </w:r>
          </w:p>
        </w:tc>
        <w:tc>
          <w:tcPr>
            <w:tcW w:w="346"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0"/>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0"/>
              <w:ind w:left="0" w:right="0" w:hanging="0"/>
              <w:jc w:val="left"/>
              <w:rPr/>
            </w:pPr>
            <w:r>
              <w:rPr/>
              <w:t>  ​ ​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Capital</w:t>
            </w:r>
          </w:p>
        </w:tc>
        <w:tc>
          <w:tcPr>
            <w:tcW w:w="346" w:type="dxa"/>
            <w:tcBorders/>
            <w:vAlign w:val="center"/>
          </w:tcPr>
          <w:p>
            <w:pPr>
              <w:pStyle w:val="TableContents"/>
              <w:bidi w:val="0"/>
              <w:spacing w:before="0" w:after="0"/>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Loss</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Deficit</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Total</w:t>
            </w:r>
          </w:p>
        </w:tc>
      </w:tr>
      <w:tr>
        <w:trPr/>
        <w:tc>
          <w:tcPr>
            <w:tcW w:w="10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April 1, 2026</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433,188,187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705,287</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4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240,446</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(1,203)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(971,878)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(27,348)</w:t>
            </w:r>
          </w:p>
        </w:tc>
      </w:tr>
      <w:tr>
        <w:trPr/>
        <w:tc>
          <w:tcPr>
            <w:tcW w:w="102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Conversion of restricted share units, net of shares withheld for taxes (Note 13)</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512,823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1,992</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(1,992)</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10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Share purchase under Employee Share Purchase Plan (Note 13)</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25,191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82</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56</w:t>
            </w:r>
          </w:p>
        </w:tc>
      </w:tr>
      <w:tr>
        <w:trPr/>
        <w:tc>
          <w:tcPr>
            <w:tcW w:w="102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Allseas obligation settled with equity (Note 6)</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43,176</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43,176</w:t>
            </w:r>
          </w:p>
        </w:tc>
      </w:tr>
      <w:tr>
        <w:trPr/>
        <w:tc>
          <w:tcPr>
            <w:tcW w:w="10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Share-based compensation and expenses settled with equity (Note 13)</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16,802</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16,802</w:t>
            </w:r>
          </w:p>
        </w:tc>
      </w:tr>
      <w:tr>
        <w:trPr/>
        <w:tc>
          <w:tcPr>
            <w:tcW w:w="102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Loss for the period</w:t>
            </w:r>
          </w:p>
        </w:tc>
        <w:tc>
          <w:tcPr>
            <w:tcW w:w="34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(60,123)</w:t>
            </w:r>
          </w:p>
        </w:tc>
        <w:tc>
          <w:tcPr>
            <w:tcW w:w="34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(60,123)</w:t>
            </w:r>
          </w:p>
        </w:tc>
      </w:tr>
      <w:tr>
        <w:trPr/>
        <w:tc>
          <w:tcPr>
            <w:tcW w:w="10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433,726,201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707,361</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4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298,406</w:t>
            </w:r>
          </w:p>
        </w:tc>
        <w:tc>
          <w:tcPr>
            <w:tcW w:w="346" w:type="dxa"/>
            <w:tcBorders/>
            <w:shd w:fill="CCEEFF" w:val="clear"/>
            <w:vAlign w:val="center"/>
          </w:tcPr>
          <w:p>
            <w:pPr>
              <w:pStyle w:val="TableContents"/>
              <w:bidi w:val="0"/>
              <w:spacing w:before="0" w:after="0"/>
              <w:ind w:left="0" w:right="0" w:hanging="0"/>
              <w:jc w:val="left"/>
              <w:rPr/>
            </w:pPr>
            <w:r>
              <w:rPr/>
              <w:t> </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8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(1,203)</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(1,032,001)</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(27,437)</w:t>
            </w:r>
          </w:p>
        </w:tc>
      </w:tr>
    </w:tbl>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421" w:name="Tc_TL0f17XKcU-0CHFBLE6Aew_17_22"/>
      <w:bookmarkStart w:id="422" w:name="Tc_KCw5dDuI1ES6fhf2XIgO7w_17_19"/>
      <w:bookmarkStart w:id="423" w:name="Tc_I78wYtWMQEqhH1xLY1komw_17_16"/>
      <w:bookmarkStart w:id="424" w:name="Tc_psVbILgEN0qDLePcZAda4w_17_13"/>
      <w:bookmarkStart w:id="425" w:name="Tc_vKiDgR8KUECnZvpxCFkhRg_17_11"/>
      <w:bookmarkStart w:id="426" w:name="Tc_ZR8sVUDFq0K1bnMI_5hdmA_17_10"/>
      <w:bookmarkStart w:id="427" w:name="Tc_8Gf749klA0mo5_oCIdaBIQ_17_8"/>
      <w:bookmarkStart w:id="428" w:name="Tc_T-KiY1ay90aTk3mPD_s3yw_17_7"/>
      <w:bookmarkStart w:id="429" w:name="Tc_wf4bIQbvsEqWmaORxdegtg_17_4"/>
      <w:bookmarkStart w:id="430" w:name="Tc_BPD0J252UkefK8P1QMtE0A_17_0"/>
      <w:bookmarkStart w:id="431" w:name="Tc_mpoBOnpFFU6agE4S1ijXKA_16_17"/>
      <w:bookmarkStart w:id="432" w:name="Tc_YD2rT8Ft0kG2Wi3SN-InPQ_16_14"/>
      <w:bookmarkStart w:id="433" w:name="Tc_eC30aadXiUy0OGdoU96S2w_16_11"/>
      <w:bookmarkStart w:id="434" w:name="Tc_ZoyGOeXQCUKjU78ixecX6w_16_8"/>
      <w:bookmarkStart w:id="435" w:name="Tc_wJQqbOy0gUaillrfXSZc5g_16_5"/>
      <w:bookmarkStart w:id="436" w:name="Tc_tzqrtN0BGU2uw0fm4IUmEw_16_2"/>
      <w:bookmarkStart w:id="437" w:name="Tc_uYtVTlAkfkmucqplbtnfTg_16_0"/>
      <w:bookmarkStart w:id="438" w:name="Tc_fyS-s7ZFDUi_amXBY-ZZaQ_15_20"/>
      <w:bookmarkStart w:id="439" w:name="Tc_AVDoAiDUcU-a6kBdFBeJog_15_17"/>
      <w:bookmarkStart w:id="440" w:name="Tc_1h4MTYWlj0Sne9j45S2CIw_15_11"/>
      <w:bookmarkStart w:id="441" w:name="Tc_dorAaID6M0GiX78uDjcTCw_15_8"/>
      <w:bookmarkStart w:id="442" w:name="Tc_V2SQKRVZrEOw_rjRFfCQzg_15_5"/>
      <w:bookmarkStart w:id="443" w:name="Tc_gz_fHsz3TUafjz9jLeQfeA_15_2"/>
      <w:bookmarkStart w:id="444" w:name="Tc_4Nv2uQRIFkWlfyODwK0LwA_15_0"/>
      <w:bookmarkStart w:id="445" w:name="Tc_knY2k68cJESj-WfWiiZ5MA_14_20"/>
      <w:bookmarkStart w:id="446" w:name="Tc_T6rcSsqJ4k6ulWUyMcGgDQ_14_17"/>
      <w:bookmarkStart w:id="447" w:name="Tc_BmnL1JXgI06slbbiMwyONg_14_11"/>
      <w:bookmarkStart w:id="448" w:name="Tc_wbLWP028E0OzjqwiwZRM7g_14_8"/>
      <w:bookmarkStart w:id="449" w:name="Tc_90JVp9193kyzKclSjwlVSA_14_5"/>
      <w:bookmarkStart w:id="450" w:name="Tc_tByHHmiHAUC7uQNf0RImzg_14_2"/>
      <w:bookmarkStart w:id="451" w:name="Tc_OBaI5CqlyEegpqe-QcKZqg_14_0"/>
      <w:bookmarkStart w:id="452" w:name="Tc_urOQpBiffkm47bjXCrfPTA_13_20"/>
      <w:bookmarkStart w:id="453" w:name="Tc_SUWaQWXQg0CQed1p6pIdMg_13_17"/>
      <w:bookmarkStart w:id="454" w:name="Tc_CHp_-yia10quowXffL-kpQ_13_11"/>
      <w:bookmarkStart w:id="455" w:name="Tc_-9U4jrE9IES6M6GQSyu68w_13_8"/>
      <w:bookmarkStart w:id="456" w:name="Tc_K7zZ24Vxt0WapbHQNoa3-Q_13_0"/>
      <w:bookmarkStart w:id="457" w:name="Tc_l3Cq_2ffUES1N2eI34Qvsg_12_20"/>
      <w:bookmarkStart w:id="458" w:name="Tc_M7WY4GSb20Sbcntyt-82Hg_12_17"/>
      <w:bookmarkStart w:id="459" w:name="Tc_hKBhbfYqW0a9_gq4BTOEdA_12_11"/>
      <w:bookmarkStart w:id="460" w:name="Tc_Zo93N4WYBUKOHJ5c6Z3zEA_12_8"/>
      <w:bookmarkStart w:id="461" w:name="Tc_SNlm2-ffZkmd8uATm7FhGA_12_0"/>
      <w:bookmarkStart w:id="462" w:name="Tc_Zfvk2qK7tU-WyM2_qV1huA_11_23"/>
      <w:bookmarkStart w:id="463" w:name="Tc_fkxRpTKlh06UYAVn6ug1wA_11_20"/>
      <w:bookmarkStart w:id="464" w:name="Tc_k1vZ-dSpfEOaVbNnziRtsg_11_17"/>
      <w:bookmarkStart w:id="465" w:name="Tc_6HXGZcghlUezUpLxxKvmQQ_11_11"/>
      <w:bookmarkStart w:id="466" w:name="Tc_ivnWXysjcE-nMO2LE2o1mg_11_8"/>
      <w:bookmarkStart w:id="467" w:name="Tc_LS3T9z6TNUqEjuc1q1I71A_11_0"/>
      <w:bookmarkStart w:id="468" w:name="Tc_Xng2qLhgS02RgklBpB-5Hg_10_20"/>
      <w:bookmarkStart w:id="469" w:name="Tc_bx43OTrYo0KAlV6JNQf42Q_10_17"/>
      <w:bookmarkStart w:id="470" w:name="Tc_bCnQHiZ1iUymRi5JUrS6Bw_10_11"/>
      <w:bookmarkStart w:id="471" w:name="Tc_mGZMycxLy0mc7sypdZTphA_10_8"/>
      <w:bookmarkStart w:id="472" w:name="Tc_-zxQQaK6vEKfy30Q2Ch1Ag_10_0"/>
      <w:bookmarkStart w:id="473" w:name="Tc_2vh4yqTRv0Sijj6JUcovZQ_9_20"/>
      <w:bookmarkStart w:id="474" w:name="Tc_PniMkYuB4Umi4_vA4HUAEQ_9_17"/>
      <w:bookmarkStart w:id="475" w:name="Tc_x0NTtJVDXEiVhtEM7EPBxA_9_11"/>
      <w:bookmarkStart w:id="476" w:name="Tc_Ty8H0MiAFUGKeHjSGzp9bQ_9_8"/>
      <w:bookmarkStart w:id="477" w:name="Tc_5iqrd8eakkSPN252ICA9yw_9_0"/>
      <w:bookmarkStart w:id="478" w:name="Tc_XmSnYm8icUagOiWq-YdMYw_8_20"/>
      <w:bookmarkStart w:id="479" w:name="Tc_1bCqVy1xwkabNO_LkbHwVw_8_17"/>
      <w:bookmarkStart w:id="480" w:name="Tc_5X73rdVCzkObQrlroZu3BQ_8_14"/>
      <w:bookmarkStart w:id="481" w:name="Tc_PQr52Iq-zEqQ4aL5dEAL4A_8_11"/>
      <w:bookmarkStart w:id="482" w:name="Tc_1BhnTRQDa0Sub8077xSM3w_8_8"/>
      <w:bookmarkStart w:id="483" w:name="Tc_nuxvcMMWVECEEh3aYarcIA_8_0"/>
      <w:bookmarkStart w:id="484" w:name="Tc_SgguAQ8IEESlppUHCJA7vQ_7_20"/>
      <w:bookmarkStart w:id="485" w:name="Tc_KWcFf1MkLkG_pWq_SZAOBA_7_17"/>
      <w:bookmarkStart w:id="486" w:name="Tc_jm76YCgpx0S9RlGR36cDkQ_7_11"/>
      <w:bookmarkStart w:id="487" w:name="Tc_MGP5x5ZA3kWk3SDFhj70Mg_7_8"/>
      <w:bookmarkStart w:id="488" w:name="Tc_Ie440xb6H0qLWZ2LwPwsmg_7_0"/>
      <w:bookmarkStart w:id="489" w:name="Tc_r45Dytk40EyjOmZtXbbe5Q_6_20"/>
      <w:bookmarkStart w:id="490" w:name="Tc_Vs07K6yJdECFIIu3JlaK1Q_6_17"/>
      <w:bookmarkStart w:id="491" w:name="Tc_kdzXT3bsk06SKfUXkhZscw_6_11"/>
      <w:bookmarkStart w:id="492" w:name="Tc_PVXqJhfEfUe-b4ORUc6w0Q_6_8"/>
      <w:bookmarkStart w:id="493" w:name="Tc_EFe-f1hC5kefsmtQ6T41QQ_6_0"/>
      <w:bookmarkStart w:id="494" w:name="Tc_bC9o46WJ802L9dEgNh5F4g_5_22"/>
      <w:bookmarkStart w:id="495" w:name="Tc_EJLgMjSPV0qsTSkQ2KZDRw_5_19"/>
      <w:bookmarkStart w:id="496" w:name="Tc__SeXuSQCIESQGpL7llBQrQ_5_16"/>
      <w:bookmarkStart w:id="497" w:name="Tc_K6vtdDHNrkS0-K5EgaGI5A_5_13"/>
      <w:bookmarkStart w:id="498" w:name="Tc_g6fVLUlqDU-IXKHmnuFudQ_5_11"/>
      <w:bookmarkStart w:id="499" w:name="Tc_68pl8bPb002nDAYXpPJmQg_5_10"/>
      <w:bookmarkStart w:id="500" w:name="Tc_4aB89FYmlkiS4Rx5473t9g_5_8"/>
      <w:bookmarkStart w:id="501" w:name="Tc_r36ghD0CzUO-spHbbBbP8g_5_7"/>
      <w:bookmarkStart w:id="502" w:name="Tc_Vq04KG2rlk6SFc_rYr-k-A_5_4"/>
      <w:bookmarkStart w:id="503" w:name="Tc_Yc5i7Wgu9UawcKWxDJ4CMA_5_0"/>
      <w:bookmarkStart w:id="504" w:name="Tc_KmUqYcE2qkCU4BWgZYYtWw_4_22"/>
      <w:bookmarkStart w:id="505" w:name="Tc_uO7QRnvJOkaOSVJcZASAkQ_4_19"/>
      <w:bookmarkStart w:id="506" w:name="Tc_pZXtAXbNDUyAOoIHuqYcOg_4_16"/>
      <w:bookmarkStart w:id="507" w:name="Tc_LlZk1R42QUmPL3ixtD4tHw_4_13"/>
      <w:bookmarkStart w:id="508" w:name="Tc_-KJ61TIu6EKMtamW0ge9eg_4_10"/>
      <w:bookmarkStart w:id="509" w:name="Tc__1nxHsziZkqUsGokwtojyw_4_7"/>
      <w:bookmarkStart w:id="510" w:name="Tc__8nG7IwCYk25QEWbXEIEbw_4_4"/>
      <w:bookmarkStart w:id="511" w:name="Tc_n_oWXGKsyESppwquqmGDxw_4_2"/>
      <w:bookmarkStart w:id="512" w:name="Tc_hwcUeBw6A0KR4dph9FwLdQ_4_0"/>
      <w:bookmarkStart w:id="513" w:name="Tc_WYG1WC0w0ECH3QpQ4rmeeA_3_16"/>
      <w:bookmarkStart w:id="514" w:name="Tc_mGBi_jnZlE2zhI5bnKX0vg_3_13"/>
      <w:bookmarkStart w:id="515" w:name="Tc_9J139Imh3kOeHI2vNq_n4A_3_10"/>
      <w:bookmarkStart w:id="516" w:name="Tc_SMfdXXsaqkKnvtIpzUE1Sw_3_7"/>
      <w:bookmarkStart w:id="517" w:name="Tc_zGgFf9sEJkuKi_AT19VNlA_3_2"/>
      <w:bookmarkStart w:id="518" w:name="Tc_tiXvDt6bJ0WIutegO0l0Ug_2_16"/>
      <w:bookmarkStart w:id="519" w:name="Tc_8058zfBd1kC_PjKr-om7tg_2_13"/>
      <w:bookmarkStart w:id="520" w:name="Tc_ES11qAdOWEO-FT50CSsgog_1_16"/>
      <w:bookmarkStart w:id="521" w:name="_37b84c2d_69cb_43f3_b3ca_e1f504eb695d"/>
      <w:bookmarkStart w:id="522" w:name="Tc_TL0f17XKcU-0CHFBLE6Aew_17_22"/>
      <w:bookmarkStart w:id="523" w:name="Tc_KCw5dDuI1ES6fhf2XIgO7w_17_19"/>
      <w:bookmarkStart w:id="524" w:name="Tc_I78wYtWMQEqhH1xLY1komw_17_16"/>
      <w:bookmarkStart w:id="525" w:name="Tc_psVbILgEN0qDLePcZAda4w_17_13"/>
      <w:bookmarkStart w:id="526" w:name="Tc_vKiDgR8KUECnZvpxCFkhRg_17_11"/>
      <w:bookmarkStart w:id="527" w:name="Tc_ZR8sVUDFq0K1bnMI_5hdmA_17_10"/>
      <w:bookmarkStart w:id="528" w:name="Tc_8Gf749klA0mo5_oCIdaBIQ_17_8"/>
      <w:bookmarkStart w:id="529" w:name="Tc_T-KiY1ay90aTk3mPD_s3yw_17_7"/>
      <w:bookmarkStart w:id="530" w:name="Tc_wf4bIQbvsEqWmaORxdegtg_17_4"/>
      <w:bookmarkStart w:id="531" w:name="Tc_BPD0J252UkefK8P1QMtE0A_17_0"/>
      <w:bookmarkStart w:id="532" w:name="Tc_mpoBOnpFFU6agE4S1ijXKA_16_17"/>
      <w:bookmarkStart w:id="533" w:name="Tc_YD2rT8Ft0kG2Wi3SN-InPQ_16_14"/>
      <w:bookmarkStart w:id="534" w:name="Tc_eC30aadXiUy0OGdoU96S2w_16_11"/>
      <w:bookmarkStart w:id="535" w:name="Tc_ZoyGOeXQCUKjU78ixecX6w_16_8"/>
      <w:bookmarkStart w:id="536" w:name="Tc_wJQqbOy0gUaillrfXSZc5g_16_5"/>
      <w:bookmarkStart w:id="537" w:name="Tc_tzqrtN0BGU2uw0fm4IUmEw_16_2"/>
      <w:bookmarkStart w:id="538" w:name="Tc_uYtVTlAkfkmucqplbtnfTg_16_0"/>
      <w:bookmarkStart w:id="539" w:name="Tc_fyS-s7ZFDUi_amXBY-ZZaQ_15_20"/>
      <w:bookmarkStart w:id="540" w:name="Tc_AVDoAiDUcU-a6kBdFBeJog_15_17"/>
      <w:bookmarkStart w:id="541" w:name="Tc_1h4MTYWlj0Sne9j45S2CIw_15_11"/>
      <w:bookmarkStart w:id="542" w:name="Tc_dorAaID6M0GiX78uDjcTCw_15_8"/>
      <w:bookmarkStart w:id="543" w:name="Tc_V2SQKRVZrEOw_rjRFfCQzg_15_5"/>
      <w:bookmarkStart w:id="544" w:name="Tc_gz_fHsz3TUafjz9jLeQfeA_15_2"/>
      <w:bookmarkStart w:id="545" w:name="Tc_4Nv2uQRIFkWlfyODwK0LwA_15_0"/>
      <w:bookmarkStart w:id="546" w:name="Tc_knY2k68cJESj-WfWiiZ5MA_14_20"/>
      <w:bookmarkStart w:id="547" w:name="Tc_T6rcSsqJ4k6ulWUyMcGgDQ_14_17"/>
      <w:bookmarkStart w:id="548" w:name="Tc_BmnL1JXgI06slbbiMwyONg_14_11"/>
      <w:bookmarkStart w:id="549" w:name="Tc_wbLWP028E0OzjqwiwZRM7g_14_8"/>
      <w:bookmarkStart w:id="550" w:name="Tc_90JVp9193kyzKclSjwlVSA_14_5"/>
      <w:bookmarkStart w:id="551" w:name="Tc_tByHHmiHAUC7uQNf0RImzg_14_2"/>
      <w:bookmarkStart w:id="552" w:name="Tc_OBaI5CqlyEegpqe-QcKZqg_14_0"/>
      <w:bookmarkStart w:id="553" w:name="Tc_urOQpBiffkm47bjXCrfPTA_13_20"/>
      <w:bookmarkStart w:id="554" w:name="Tc_SUWaQWXQg0CQed1p6pIdMg_13_17"/>
      <w:bookmarkStart w:id="555" w:name="Tc_CHp_-yia10quowXffL-kpQ_13_11"/>
      <w:bookmarkStart w:id="556" w:name="Tc_-9U4jrE9IES6M6GQSyu68w_13_8"/>
      <w:bookmarkStart w:id="557" w:name="Tc_K7zZ24Vxt0WapbHQNoa3-Q_13_0"/>
      <w:bookmarkStart w:id="558" w:name="Tc_l3Cq_2ffUES1N2eI34Qvsg_12_20"/>
      <w:bookmarkStart w:id="559" w:name="Tc_M7WY4GSb20Sbcntyt-82Hg_12_17"/>
      <w:bookmarkStart w:id="560" w:name="Tc_hKBhbfYqW0a9_gq4BTOEdA_12_11"/>
      <w:bookmarkStart w:id="561" w:name="Tc_Zo93N4WYBUKOHJ5c6Z3zEA_12_8"/>
      <w:bookmarkStart w:id="562" w:name="Tc_SNlm2-ffZkmd8uATm7FhGA_12_0"/>
      <w:bookmarkStart w:id="563" w:name="Tc_Zfvk2qK7tU-WyM2_qV1huA_11_23"/>
      <w:bookmarkStart w:id="564" w:name="Tc_fkxRpTKlh06UYAVn6ug1wA_11_20"/>
      <w:bookmarkStart w:id="565" w:name="Tc_k1vZ-dSpfEOaVbNnziRtsg_11_17"/>
      <w:bookmarkStart w:id="566" w:name="Tc_6HXGZcghlUezUpLxxKvmQQ_11_11"/>
      <w:bookmarkStart w:id="567" w:name="Tc_ivnWXysjcE-nMO2LE2o1mg_11_8"/>
      <w:bookmarkStart w:id="568" w:name="Tc_LS3T9z6TNUqEjuc1q1I71A_11_0"/>
      <w:bookmarkStart w:id="569" w:name="Tc_Xng2qLhgS02RgklBpB-5Hg_10_20"/>
      <w:bookmarkStart w:id="570" w:name="Tc_bx43OTrYo0KAlV6JNQf42Q_10_17"/>
      <w:bookmarkStart w:id="571" w:name="Tc_bCnQHiZ1iUymRi5JUrS6Bw_10_11"/>
      <w:bookmarkStart w:id="572" w:name="Tc_mGZMycxLy0mc7sypdZTphA_10_8"/>
      <w:bookmarkStart w:id="573" w:name="Tc_-zxQQaK6vEKfy30Q2Ch1Ag_10_0"/>
      <w:bookmarkStart w:id="574" w:name="Tc_2vh4yqTRv0Sijj6JUcovZQ_9_20"/>
      <w:bookmarkStart w:id="575" w:name="Tc_PniMkYuB4Umi4_vA4HUAEQ_9_17"/>
      <w:bookmarkStart w:id="576" w:name="Tc_x0NTtJVDXEiVhtEM7EPBxA_9_11"/>
      <w:bookmarkStart w:id="577" w:name="Tc_Ty8H0MiAFUGKeHjSGzp9bQ_9_8"/>
      <w:bookmarkStart w:id="578" w:name="Tc_5iqrd8eakkSPN252ICA9yw_9_0"/>
      <w:bookmarkStart w:id="579" w:name="Tc_XmSnYm8icUagOiWq-YdMYw_8_20"/>
      <w:bookmarkStart w:id="580" w:name="Tc_1bCqVy1xwkabNO_LkbHwVw_8_17"/>
      <w:bookmarkStart w:id="581" w:name="Tc_5X73rdVCzkObQrlroZu3BQ_8_14"/>
      <w:bookmarkStart w:id="582" w:name="Tc_PQr52Iq-zEqQ4aL5dEAL4A_8_11"/>
      <w:bookmarkStart w:id="583" w:name="Tc_1BhnTRQDa0Sub8077xSM3w_8_8"/>
      <w:bookmarkStart w:id="584" w:name="Tc_nuxvcMMWVECEEh3aYarcIA_8_0"/>
      <w:bookmarkStart w:id="585" w:name="Tc_SgguAQ8IEESlppUHCJA7vQ_7_20"/>
      <w:bookmarkStart w:id="586" w:name="Tc_KWcFf1MkLkG_pWq_SZAOBA_7_17"/>
      <w:bookmarkStart w:id="587" w:name="Tc_jm76YCgpx0S9RlGR36cDkQ_7_11"/>
      <w:bookmarkStart w:id="588" w:name="Tc_MGP5x5ZA3kWk3SDFhj70Mg_7_8"/>
      <w:bookmarkStart w:id="589" w:name="Tc_Ie440xb6H0qLWZ2LwPwsmg_7_0"/>
      <w:bookmarkStart w:id="590" w:name="Tc_r45Dytk40EyjOmZtXbbe5Q_6_20"/>
      <w:bookmarkStart w:id="591" w:name="Tc_Vs07K6yJdECFIIu3JlaK1Q_6_17"/>
      <w:bookmarkStart w:id="592" w:name="Tc_kdzXT3bsk06SKfUXkhZscw_6_11"/>
      <w:bookmarkStart w:id="593" w:name="Tc_PVXqJhfEfUe-b4ORUc6w0Q_6_8"/>
      <w:bookmarkStart w:id="594" w:name="Tc_EFe-f1hC5kefsmtQ6T41QQ_6_0"/>
      <w:bookmarkStart w:id="595" w:name="Tc_bC9o46WJ802L9dEgNh5F4g_5_22"/>
      <w:bookmarkStart w:id="596" w:name="Tc_EJLgMjSPV0qsTSkQ2KZDRw_5_19"/>
      <w:bookmarkStart w:id="597" w:name="Tc__SeXuSQCIESQGpL7llBQrQ_5_16"/>
      <w:bookmarkStart w:id="598" w:name="Tc_K6vtdDHNrkS0-K5EgaGI5A_5_13"/>
      <w:bookmarkStart w:id="599" w:name="Tc_g6fVLUlqDU-IXKHmnuFudQ_5_11"/>
      <w:bookmarkStart w:id="600" w:name="Tc_68pl8bPb002nDAYXpPJmQg_5_10"/>
      <w:bookmarkStart w:id="601" w:name="Tc_4aB89FYmlkiS4Rx5473t9g_5_8"/>
      <w:bookmarkStart w:id="602" w:name="Tc_r36ghD0CzUO-spHbbBbP8g_5_7"/>
      <w:bookmarkStart w:id="603" w:name="Tc_Vq04KG2rlk6SFc_rYr-k-A_5_4"/>
      <w:bookmarkStart w:id="604" w:name="Tc_Yc5i7Wgu9UawcKWxDJ4CMA_5_0"/>
      <w:bookmarkStart w:id="605" w:name="Tc_KmUqYcE2qkCU4BWgZYYtWw_4_22"/>
      <w:bookmarkStart w:id="606" w:name="Tc_uO7QRnvJOkaOSVJcZASAkQ_4_19"/>
      <w:bookmarkStart w:id="607" w:name="Tc_pZXtAXbNDUyAOoIHuqYcOg_4_16"/>
      <w:bookmarkStart w:id="608" w:name="Tc_LlZk1R42QUmPL3ixtD4tHw_4_13"/>
      <w:bookmarkStart w:id="609" w:name="Tc_-KJ61TIu6EKMtamW0ge9eg_4_10"/>
      <w:bookmarkStart w:id="610" w:name="Tc__1nxHsziZkqUsGokwtojyw_4_7"/>
      <w:bookmarkStart w:id="611" w:name="Tc__8nG7IwCYk25QEWbXEIEbw_4_4"/>
      <w:bookmarkStart w:id="612" w:name="Tc_n_oWXGKsyESppwquqmGDxw_4_2"/>
      <w:bookmarkStart w:id="613" w:name="Tc_hwcUeBw6A0KR4dph9FwLdQ_4_0"/>
      <w:bookmarkStart w:id="614" w:name="Tc_WYG1WC0w0ECH3QpQ4rmeeA_3_16"/>
      <w:bookmarkStart w:id="615" w:name="Tc_mGBi_jnZlE2zhI5bnKX0vg_3_13"/>
      <w:bookmarkStart w:id="616" w:name="Tc_9J139Imh3kOeHI2vNq_n4A_3_10"/>
      <w:bookmarkStart w:id="617" w:name="Tc_SMfdXXsaqkKnvtIpzUE1Sw_3_7"/>
      <w:bookmarkStart w:id="618" w:name="Tc_zGgFf9sEJkuKi_AT19VNlA_3_2"/>
      <w:bookmarkStart w:id="619" w:name="Tc_tiXvDt6bJ0WIutegO0l0Ug_2_16"/>
      <w:bookmarkStart w:id="620" w:name="Tc_8058zfBd1kC_PjKr-om7tg_2_13"/>
      <w:bookmarkStart w:id="621" w:name="Tc_ES11qAdOWEO-FT50CSsgog_1_16"/>
      <w:bookmarkStart w:id="622" w:name="_37b84c2d_69cb_43f3_b3ca_e1f504eb695d"/>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p>
    <w:tbl>
      <w:tblPr>
        <w:tblW w:w="10235" w:type="dxa"/>
        <w:jc w:val="left"/>
        <w:tblInd w:w="0" w:type="dxa"/>
        <w:tblLayout w:type="fixed"/>
        <w:tblCellMar>
          <w:top w:w="0" w:type="dxa"/>
          <w:left w:w="0" w:type="dxa"/>
          <w:bottom w:w="0" w:type="dxa"/>
          <w:right w:w="0" w:type="dxa"/>
        </w:tblCellMar>
      </w:tblPr>
      <w:tblGrid>
        <w:gridCol w:w="1021"/>
        <w:gridCol w:w="346"/>
        <w:gridCol w:w="871"/>
        <w:gridCol w:w="346"/>
        <w:gridCol w:w="181"/>
        <w:gridCol w:w="601"/>
        <w:gridCol w:w="346"/>
        <w:gridCol w:w="237"/>
        <w:gridCol w:w="454"/>
        <w:gridCol w:w="346"/>
        <w:gridCol w:w="196"/>
        <w:gridCol w:w="375"/>
        <w:gridCol w:w="346"/>
        <w:gridCol w:w="187"/>
        <w:gridCol w:w="624"/>
        <w:gridCol w:w="346"/>
        <w:gridCol w:w="291"/>
        <w:gridCol w:w="805"/>
        <w:gridCol w:w="346"/>
        <w:gridCol w:w="181"/>
        <w:gridCol w:w="646"/>
        <w:gridCol w:w="346"/>
        <w:gridCol w:w="181"/>
        <w:gridCol w:w="616"/>
      </w:tblGrid>
      <w:tr>
        <w:trPr/>
        <w:tc>
          <w:tcPr>
            <w:tcW w:w="1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r>
      <w:tr>
        <w:trPr/>
        <w:tc>
          <w:tcPr>
            <w:tcW w:w="10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7" w:type="dxa"/>
            <w:tcBorders/>
            <w:vAlign w:val="center"/>
          </w:tcPr>
          <w:p>
            <w:pPr>
              <w:pStyle w:val="TableContents"/>
              <w:bidi w:val="0"/>
              <w:spacing w:before="0" w:after="0"/>
              <w:ind w:left="0" w:right="0" w:hanging="0"/>
              <w:jc w:val="right"/>
              <w:rPr/>
            </w:pPr>
            <w:r>
              <w:rPr/>
              <w:t>​</w:t>
            </w:r>
          </w:p>
        </w:tc>
        <w:tc>
          <w:tcPr>
            <w:tcW w:w="4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7" w:type="dxa"/>
            <w:tcBorders/>
            <w:vAlign w:val="center"/>
          </w:tcPr>
          <w:p>
            <w:pPr>
              <w:pStyle w:val="TableContents"/>
              <w:bidi w:val="0"/>
              <w:spacing w:before="0" w:after="0"/>
              <w:ind w:left="0" w:right="0" w:hanging="0"/>
              <w:jc w:val="right"/>
              <w:rPr/>
            </w:pPr>
            <w:r>
              <w:rPr/>
              <w:t>​</w:t>
            </w:r>
          </w:p>
        </w:tc>
        <w:tc>
          <w:tcPr>
            <w:tcW w:w="6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96" w:type="dxa"/>
            <w:gridSpan w:val="2"/>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 xml:space="preserve">Accumulated </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10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7" w:type="dxa"/>
            <w:tcBorders/>
            <w:vAlign w:val="center"/>
          </w:tcPr>
          <w:p>
            <w:pPr>
              <w:pStyle w:val="TableContents"/>
              <w:bidi w:val="0"/>
              <w:spacing w:before="0" w:after="0"/>
              <w:ind w:left="0" w:right="0" w:hanging="0"/>
              <w:jc w:val="right"/>
              <w:rPr/>
            </w:pPr>
            <w:r>
              <w:rPr/>
              <w:t>​</w:t>
            </w:r>
          </w:p>
        </w:tc>
        <w:tc>
          <w:tcPr>
            <w:tcW w:w="4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 ​ ​</w:t>
            </w:r>
          </w:p>
        </w:tc>
        <w:tc>
          <w:tcPr>
            <w:tcW w:w="196" w:type="dxa"/>
            <w:tcBorders/>
            <w:vAlign w:val="center"/>
          </w:tcPr>
          <w:p>
            <w:pPr>
              <w:pStyle w:val="TableContents"/>
              <w:bidi w:val="0"/>
              <w:spacing w:before="0" w:after="0"/>
              <w:ind w:left="0" w:right="0" w:hanging="0"/>
              <w:jc w:val="righ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 ​ ​</w:t>
            </w:r>
          </w:p>
        </w:tc>
        <w:tc>
          <w:tcPr>
            <w:tcW w:w="811" w:type="dxa"/>
            <w:gridSpan w:val="2"/>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Additional</w:t>
            </w:r>
          </w:p>
        </w:tc>
        <w:tc>
          <w:tcPr>
            <w:tcW w:w="346" w:type="dxa"/>
            <w:tcBorders/>
            <w:vAlign w:val="center"/>
          </w:tcPr>
          <w:p>
            <w:pPr>
              <w:pStyle w:val="TableContents"/>
              <w:bidi w:val="0"/>
              <w:spacing w:before="0" w:after="0"/>
              <w:ind w:left="0" w:right="0" w:hanging="0"/>
              <w:jc w:val="right"/>
              <w:rPr/>
            </w:pPr>
            <w:r>
              <w:rPr/>
              <w:t>  ​ ​ ​</w:t>
            </w:r>
          </w:p>
        </w:tc>
        <w:tc>
          <w:tcPr>
            <w:tcW w:w="1096" w:type="dxa"/>
            <w:gridSpan w:val="2"/>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Other</w:t>
            </w:r>
          </w:p>
        </w:tc>
        <w:tc>
          <w:tcPr>
            <w:tcW w:w="346" w:type="dxa"/>
            <w:tcBorders/>
            <w:vAlign w:val="center"/>
          </w:tcPr>
          <w:p>
            <w:pPr>
              <w:pStyle w:val="TableContents"/>
              <w:bidi w:val="0"/>
              <w:spacing w:before="0" w:after="0"/>
              <w:ind w:left="0" w:right="0" w:hanging="0"/>
              <w:jc w:val="right"/>
              <w:rPr/>
            </w:pPr>
            <w:r>
              <w:rPr/>
              <w:t>  ​ ​ ​</w:t>
            </w:r>
          </w:p>
        </w:tc>
        <w:tc>
          <w:tcPr>
            <w:tcW w:w="181"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 ​ ​</w:t>
            </w:r>
          </w:p>
        </w:tc>
        <w:tc>
          <w:tcPr>
            <w:tcW w:w="181" w:type="dxa"/>
            <w:tcBorders/>
            <w:vAlign w:val="center"/>
          </w:tcPr>
          <w:p>
            <w:pPr>
              <w:pStyle w:val="TableContents"/>
              <w:bidi w:val="0"/>
              <w:spacing w:before="0" w:after="0"/>
              <w:ind w:left="0" w:right="0" w:hanging="0"/>
              <w:jc w:val="righ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1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99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 Shares</w:t>
            </w:r>
          </w:p>
        </w:tc>
        <w:tc>
          <w:tcPr>
            <w:tcW w:w="346" w:type="dxa"/>
            <w:tcBorders/>
            <w:vAlign w:val="center"/>
          </w:tcPr>
          <w:p>
            <w:pPr>
              <w:pStyle w:val="TableContents"/>
              <w:bidi w:val="0"/>
              <w:spacing w:before="0" w:after="0"/>
              <w:ind w:left="0" w:right="0" w:hanging="0"/>
              <w:jc w:val="right"/>
              <w:rPr/>
            </w:pPr>
            <w:r>
              <w:rPr/>
              <w:t>​</w:t>
            </w:r>
          </w:p>
        </w:tc>
        <w:tc>
          <w:tcPr>
            <w:tcW w:w="691" w:type="dxa"/>
            <w:gridSpan w:val="2"/>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Preferred</w:t>
            </w:r>
          </w:p>
        </w:tc>
        <w:tc>
          <w:tcPr>
            <w:tcW w:w="346" w:type="dxa"/>
            <w:tcBorders/>
            <w:vAlign w:val="center"/>
          </w:tcPr>
          <w:p>
            <w:pPr>
              <w:pStyle w:val="TableContents"/>
              <w:bidi w:val="0"/>
              <w:spacing w:before="0" w:after="0"/>
              <w:ind w:left="0" w:right="0" w:hanging="0"/>
              <w:jc w:val="right"/>
              <w:rPr/>
            </w:pPr>
            <w:r>
              <w:rPr/>
              <w:t>​</w:t>
            </w:r>
          </w:p>
        </w:tc>
        <w:tc>
          <w:tcPr>
            <w:tcW w:w="571" w:type="dxa"/>
            <w:gridSpan w:val="2"/>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Special</w:t>
            </w:r>
          </w:p>
        </w:tc>
        <w:tc>
          <w:tcPr>
            <w:tcW w:w="346" w:type="dxa"/>
            <w:tcBorders/>
            <w:vAlign w:val="center"/>
          </w:tcPr>
          <w:p>
            <w:pPr>
              <w:pStyle w:val="TableContents"/>
              <w:bidi w:val="0"/>
              <w:spacing w:before="0" w:after="0"/>
              <w:ind w:left="0" w:right="0" w:hanging="0"/>
              <w:jc w:val="right"/>
              <w:rPr/>
            </w:pPr>
            <w:r>
              <w:rPr/>
              <w:t>​</w:t>
            </w:r>
          </w:p>
        </w:tc>
        <w:tc>
          <w:tcPr>
            <w:tcW w:w="811" w:type="dxa"/>
            <w:gridSpan w:val="2"/>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Paid in</w:t>
            </w:r>
          </w:p>
        </w:tc>
        <w:tc>
          <w:tcPr>
            <w:tcW w:w="346" w:type="dxa"/>
            <w:tcBorders/>
            <w:vAlign w:val="center"/>
          </w:tcPr>
          <w:p>
            <w:pPr>
              <w:pStyle w:val="TableContents"/>
              <w:bidi w:val="0"/>
              <w:spacing w:before="0" w:after="0"/>
              <w:ind w:left="0" w:right="0" w:hanging="0"/>
              <w:jc w:val="right"/>
              <w:rPr/>
            </w:pPr>
            <w:r>
              <w:rPr/>
              <w:t>​</w:t>
            </w:r>
          </w:p>
        </w:tc>
        <w:tc>
          <w:tcPr>
            <w:tcW w:w="1096" w:type="dxa"/>
            <w:gridSpan w:val="2"/>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Comprehensive</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102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Three months ended June 30, 2025</w:t>
            </w:r>
          </w:p>
        </w:tc>
        <w:tc>
          <w:tcPr>
            <w:tcW w:w="346" w:type="dxa"/>
            <w:tcBorders/>
            <w:vAlign w:val="center"/>
          </w:tcPr>
          <w:p>
            <w:pPr>
              <w:pStyle w:val="TableContents"/>
              <w:bidi w:val="0"/>
              <w:spacing w:before="0" w:after="0"/>
              <w:ind w:left="0" w:right="0" w:hanging="0"/>
              <w:jc w:val="right"/>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0"/>
              <w:ind w:left="0" w:right="0" w:hanging="0"/>
              <w:jc w:val="righ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Amount</w:t>
            </w:r>
          </w:p>
        </w:tc>
        <w:tc>
          <w:tcPr>
            <w:tcW w:w="346" w:type="dxa"/>
            <w:tcBorders/>
            <w:vAlign w:val="center"/>
          </w:tcPr>
          <w:p>
            <w:pPr>
              <w:pStyle w:val="TableContents"/>
              <w:bidi w:val="0"/>
              <w:spacing w:before="0" w:after="0"/>
              <w:ind w:left="0" w:right="0" w:hanging="0"/>
              <w:jc w:val="righ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0"/>
              <w:ind w:left="0" w:right="0" w:hanging="0"/>
              <w:jc w:val="righ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0"/>
              <w:ind w:left="0" w:right="0" w:hanging="0"/>
              <w:jc w:val="right"/>
              <w:rPr/>
            </w:pPr>
            <w:r>
              <w:rPr/>
              <w:t>  ​ ​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Capital</w:t>
            </w:r>
          </w:p>
        </w:tc>
        <w:tc>
          <w:tcPr>
            <w:tcW w:w="346" w:type="dxa"/>
            <w:tcBorders/>
            <w:vAlign w:val="center"/>
          </w:tcPr>
          <w:p>
            <w:pPr>
              <w:pStyle w:val="TableContents"/>
              <w:bidi w:val="0"/>
              <w:spacing w:before="0" w:after="0"/>
              <w:ind w:left="0" w:right="0" w:hanging="0"/>
              <w:jc w:val="righ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Loss</w:t>
            </w:r>
          </w:p>
        </w:tc>
        <w:tc>
          <w:tcPr>
            <w:tcW w:w="346" w:type="dxa"/>
            <w:tcBorders/>
            <w:vAlign w:val="center"/>
          </w:tcPr>
          <w:p>
            <w:pPr>
              <w:pStyle w:val="TableContents"/>
              <w:bidi w:val="0"/>
              <w:spacing w:before="0" w:after="0"/>
              <w:ind w:left="0" w:right="0" w:hanging="0"/>
              <w:jc w:val="righ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Deficit</w:t>
            </w:r>
          </w:p>
        </w:tc>
        <w:tc>
          <w:tcPr>
            <w:tcW w:w="346" w:type="dxa"/>
            <w:tcBorders/>
            <w:vAlign w:val="center"/>
          </w:tcPr>
          <w:p>
            <w:pPr>
              <w:pStyle w:val="TableContents"/>
              <w:bidi w:val="0"/>
              <w:spacing w:before="0" w:after="0"/>
              <w:ind w:left="0" w:right="0" w:hanging="0"/>
              <w:jc w:val="righ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Total</w:t>
            </w:r>
          </w:p>
        </w:tc>
      </w:tr>
      <w:tr>
        <w:trPr/>
        <w:tc>
          <w:tcPr>
            <w:tcW w:w="10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April 1, 2025</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356,617,022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495,804</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4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140,656</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(1,203)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(652,023)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(16,766)</w:t>
            </w:r>
          </w:p>
        </w:tc>
      </w:tr>
      <w:tr>
        <w:trPr/>
        <w:tc>
          <w:tcPr>
            <w:tcW w:w="102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Issuance of shares and warrants to Korea Zinc, net of expenses</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19,623,376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71,686</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13,432</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85,118</w:t>
            </w:r>
          </w:p>
        </w:tc>
      </w:tr>
      <w:tr>
        <w:trPr/>
        <w:tc>
          <w:tcPr>
            <w:tcW w:w="10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Issuance of shares and warrants under 2025 Registered Direct Offering, net of expenses </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9,000,000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17,640</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12,087</w:t>
            </w:r>
          </w:p>
        </w:tc>
        <w:tc>
          <w:tcPr>
            <w:tcW w:w="346" w:type="dxa"/>
            <w:tcBorders/>
            <w:shd w:fill="CCEEFF" w:val="clear"/>
            <w:vAlign w:val="center"/>
          </w:tcPr>
          <w:p>
            <w:pPr>
              <w:pStyle w:val="TableContents"/>
              <w:bidi w:val="0"/>
              <w:spacing w:before="0" w:after="0"/>
              <w:ind w:left="0" w:right="0" w:hanging="0"/>
              <w:jc w:val="left"/>
              <w:rPr/>
            </w:pPr>
            <w:r>
              <w:rPr/>
              <w:t> </w:t>
            </w:r>
          </w:p>
        </w:tc>
        <w:tc>
          <w:tcPr>
            <w:tcW w:w="29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29,727</w:t>
            </w:r>
          </w:p>
        </w:tc>
      </w:tr>
      <w:tr>
        <w:trPr/>
        <w:tc>
          <w:tcPr>
            <w:tcW w:w="102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Shares issued from ATM </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4,567,770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9,222</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9,222</w:t>
            </w:r>
          </w:p>
        </w:tc>
      </w:tr>
      <w:tr>
        <w:trPr/>
        <w:tc>
          <w:tcPr>
            <w:tcW w:w="10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Exercise of Class A warrants </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250,000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724</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3,053</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3,777</w:t>
            </w:r>
          </w:p>
        </w:tc>
      </w:tr>
      <w:tr>
        <w:trPr/>
        <w:tc>
          <w:tcPr>
            <w:tcW w:w="102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Exercise of Class B warrants </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4,833,096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6,451</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(3,801)</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2,650</w:t>
            </w:r>
          </w:p>
        </w:tc>
      </w:tr>
      <w:tr>
        <w:trPr/>
        <w:tc>
          <w:tcPr>
            <w:tcW w:w="10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Conversion of restricted share units, net of shares withheld for taxes </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1,539,397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3,254</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(3,254)</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102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Exercise of stock options</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712,124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1,453</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(991)</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462</w:t>
            </w:r>
          </w:p>
        </w:tc>
      </w:tr>
      <w:tr>
        <w:trPr/>
        <w:tc>
          <w:tcPr>
            <w:tcW w:w="10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Share purchase under Employee Share Purchase Plan </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12,533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w:t>
            </w:r>
          </w:p>
        </w:tc>
      </w:tr>
      <w:tr>
        <w:trPr/>
        <w:tc>
          <w:tcPr>
            <w:tcW w:w="102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Nauru Warrant Cost </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33,079</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33,079</w:t>
            </w:r>
          </w:p>
        </w:tc>
      </w:tr>
      <w:tr>
        <w:trPr/>
        <w:tc>
          <w:tcPr>
            <w:tcW w:w="10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Share-based compensation and expenses settled with equity </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8,922</w:t>
            </w:r>
          </w:p>
        </w:tc>
        <w:tc>
          <w:tcPr>
            <w:tcW w:w="346" w:type="dxa"/>
            <w:tcBorders/>
            <w:shd w:fill="CCEEFF" w:val="clear"/>
            <w:vAlign w:val="center"/>
          </w:tcPr>
          <w:p>
            <w:pPr>
              <w:pStyle w:val="TableContents"/>
              <w:bidi w:val="0"/>
              <w:spacing w:before="0" w:after="0"/>
              <w:ind w:left="0" w:right="0" w:hanging="0"/>
              <w:jc w:val="left"/>
              <w:rPr/>
            </w:pPr>
            <w:r>
              <w:rPr/>
              <w:t> </w:t>
            </w:r>
          </w:p>
        </w:tc>
        <w:tc>
          <w:tcPr>
            <w:tcW w:w="29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8,922</w:t>
            </w:r>
          </w:p>
        </w:tc>
      </w:tr>
      <w:tr>
        <w:trPr/>
        <w:tc>
          <w:tcPr>
            <w:tcW w:w="102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Loss for the period</w:t>
            </w:r>
          </w:p>
        </w:tc>
        <w:tc>
          <w:tcPr>
            <w:tcW w:w="34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(74,341)</w:t>
            </w:r>
          </w:p>
        </w:tc>
        <w:tc>
          <w:tcPr>
            <w:tcW w:w="34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(74,341)</w:t>
            </w:r>
          </w:p>
        </w:tc>
      </w:tr>
      <w:tr>
        <w:trPr/>
        <w:tc>
          <w:tcPr>
            <w:tcW w:w="10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June 30, 2025</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397,155,318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606,246</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4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203,181</w:t>
            </w:r>
          </w:p>
        </w:tc>
        <w:tc>
          <w:tcPr>
            <w:tcW w:w="346" w:type="dxa"/>
            <w:tcBorders/>
            <w:shd w:fill="CCEEFF" w:val="clear"/>
            <w:vAlign w:val="center"/>
          </w:tcPr>
          <w:p>
            <w:pPr>
              <w:pStyle w:val="TableContents"/>
              <w:bidi w:val="0"/>
              <w:spacing w:before="0" w:after="0"/>
              <w:ind w:left="0" w:right="0" w:hanging="0"/>
              <w:jc w:val="left"/>
              <w:rPr/>
            </w:pPr>
            <w:r>
              <w:rPr/>
              <w:t> </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8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(1,203)</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(726,364)</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b/>
                <w:sz w:val="15"/>
              </w:rPr>
            </w:pPr>
            <w:r>
              <w:rPr>
                <w:rFonts w:ascii="Times New Roman;Times;serif" w:hAnsi="Times New Roman;Times;serif"/>
                <w:b/>
                <w:sz w:val="15"/>
              </w:rPr>
              <w:t>81,860</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623" w:name="Tc_s3lKIVhpO0iTcDiwpIHRAg_12_22"/>
      <w:bookmarkStart w:id="624" w:name="Tc_1-tLwDj260SH1FFNc8XYeg_12_19"/>
      <w:bookmarkStart w:id="625" w:name="Tc_lZDC94R02ES2l5pV7qeCHA_12_16"/>
      <w:bookmarkStart w:id="626" w:name="Tc_yM5q7r7i_06GquMgY5saWg_12_13"/>
      <w:bookmarkStart w:id="627" w:name="Tc_dddwDvxjEEWalyq-D4c5mw_12_11"/>
      <w:bookmarkStart w:id="628" w:name="Tc_FZcUNM6mOEqMvxjAAOd8DQ_12_10"/>
      <w:bookmarkStart w:id="629" w:name="Tc_fRDwUTstM0CNLF_uRAsuwA_12_8"/>
      <w:bookmarkStart w:id="630" w:name="Tc_AUVm9_UcTEG4YzzCOQDbtA_12_7"/>
      <w:bookmarkStart w:id="631" w:name="Tc_hfaE8w8Baky_HUi2jTnkrg_12_4"/>
      <w:bookmarkStart w:id="632" w:name="Tc_bwVHpP973k6t0hJ1wY0Byw_12_0"/>
      <w:bookmarkStart w:id="633" w:name="Tc_cHVawWI58ke2Yn9kr6MbyA_11_17"/>
      <w:bookmarkStart w:id="634" w:name="Tc_ZLMPtF27106e5UEcjggYXQ_11_14"/>
      <w:bookmarkStart w:id="635" w:name="Tc_X77P71kJ-0O3AdLxor8GiQ_11_11"/>
      <w:bookmarkStart w:id="636" w:name="Tc_W29C1-nKR0Co-eMOjXV2Pw_11_8"/>
      <w:bookmarkStart w:id="637" w:name="Tc_onuQ4_7nN0egbMqt_4Xf4g_11_5"/>
      <w:bookmarkStart w:id="638" w:name="Tc_fR1m_sKCkESkNb0FLVHxEA_11_2"/>
      <w:bookmarkStart w:id="639" w:name="Tc_w4lt0IyXIEiwn3gx92oRuQ_11_0"/>
      <w:bookmarkStart w:id="640" w:name="Tc_yhtqf_0V60Oo1ibODusW9A_10_20"/>
      <w:bookmarkStart w:id="641" w:name="Tc_6Wb_C84sREOegPkyRbRm_w_10_17"/>
      <w:bookmarkStart w:id="642" w:name="Tc_0S6LhebH0066eqgbl1aI4g_10_11"/>
      <w:bookmarkStart w:id="643" w:name="Tc_fRwQyHK66kuoQi-AkRvUTg_10_8"/>
      <w:bookmarkStart w:id="644" w:name="Tc_tMS7CwXBw0KXiJQeaOqzqA_10_5"/>
      <w:bookmarkStart w:id="645" w:name="Tc_8gfaXoy-FEmDfzMBahcvzg_10_2"/>
      <w:bookmarkStart w:id="646" w:name="Tc_XP4onBQ8lEGImBgWdgMSjg_10_0"/>
      <w:bookmarkStart w:id="647" w:name="Tc_O1jrAq-8ZESK5CGygH3MFA_9_20"/>
      <w:bookmarkStart w:id="648" w:name="Tc_K8b5JPgA9kKTyPh9FkpDlA_9_17"/>
      <w:bookmarkStart w:id="649" w:name="Tc__l6K1XCgA0amK2TAJe8ysA_9_11"/>
      <w:bookmarkStart w:id="650" w:name="Tc_zq211YKwpkiPavkFxqKZmQ_9_8"/>
      <w:bookmarkStart w:id="651" w:name="Tc_KijhB4QvwUGkz4Sd65LCpg_9_5"/>
      <w:bookmarkStart w:id="652" w:name="Tc_87uztilAgk23QPZSf9AHLA_9_2"/>
      <w:bookmarkStart w:id="653" w:name="Tc_LshKY6X_mUu2qw4IB0qRTA_9_0"/>
      <w:bookmarkStart w:id="654" w:name="Tc_kSgUD_MlZkaeoSDv-tJBsw_8_20"/>
      <w:bookmarkStart w:id="655" w:name="Tc_UAKP_yfLcE-G6rov9fn-rg_8_17"/>
      <w:bookmarkStart w:id="656" w:name="Tc_UJ_pTQBlIka9DWWS_d47TQ_8_11"/>
      <w:bookmarkStart w:id="657" w:name="Tc_KuW1ksvg4EW26TB4o6epIw_8_8"/>
      <w:bookmarkStart w:id="658" w:name="Tc_4dutPsIBw0Oji1bYf0XpFQ_8_0"/>
      <w:bookmarkStart w:id="659" w:name="Tc_wVOPJ787wECT46RvQKcyQg_7_20"/>
      <w:bookmarkStart w:id="660" w:name="Tc_uEwfXqzBOUCVCFd0kGXhxQ_7_17"/>
      <w:bookmarkStart w:id="661" w:name="Tc_7qzLCPDLAUWuO9vpQ43M1Q_7_11"/>
      <w:bookmarkStart w:id="662" w:name="Tc_vweS6kbiBU6KJjqVbdKwDQ_7_8"/>
      <w:bookmarkStart w:id="663" w:name="Tc_k9jICDY0BUi-e1jTK4f1ng_7_0"/>
      <w:bookmarkStart w:id="664" w:name="Tc_bKQjQe0b1Ue90jXe2cGUKw_6_23"/>
      <w:bookmarkStart w:id="665" w:name="Tc_xsj-dwqKXUKGcq6p-E-7cw_6_20"/>
      <w:bookmarkStart w:id="666" w:name="Tc_1rNgPw8fNECCfgcHn1-EmA_6_17"/>
      <w:bookmarkStart w:id="667" w:name="Tc_AsFxr-SoUUeA1U4Dn9n5PQ_6_11"/>
      <w:bookmarkStart w:id="668" w:name="Tc_4oNz-uclpEaAhaNIeNW3xQ_6_8"/>
      <w:bookmarkStart w:id="669" w:name="Tc_pQHlaMjHMEKA76s47AGFQg_6_0"/>
      <w:bookmarkStart w:id="670" w:name="Tc_EO9Eu9dPt0Kf8waPr2agfQ_5_22"/>
      <w:bookmarkStart w:id="671" w:name="Tc_4McBLXJpF063I2Zqj0SUrA_5_19"/>
      <w:bookmarkStart w:id="672" w:name="Tc_NZ4QdJWUtEipqCjXe5eMAA_5_16"/>
      <w:bookmarkStart w:id="673" w:name="Tc__V_Isp0x1Uev4chiKlMlUQ_5_13"/>
      <w:bookmarkStart w:id="674" w:name="Tc_mxnxrrIclE6SsfHB9b8GSQ_5_11"/>
      <w:bookmarkStart w:id="675" w:name="Tc_IEOAD7imfEuNxnVwZbmp8Q_5_10"/>
      <w:bookmarkStart w:id="676" w:name="Tc_N-Wbt_AJnUqYi0hGWpAORA_5_8"/>
      <w:bookmarkStart w:id="677" w:name="Tc_w1cfvuanrUKGUcKkTO5E1Q_5_7"/>
      <w:bookmarkStart w:id="678" w:name="Tc_aeaMLvISjU643mFzV0jThw_5_4"/>
      <w:bookmarkStart w:id="679" w:name="Tc_d5tmkLJm202TJb64HC-bbQ_5_0"/>
      <w:bookmarkStart w:id="680" w:name="Tc_338sQgsOEEuehVgVTkZZFA_4_22"/>
      <w:bookmarkStart w:id="681" w:name="Tc_ujxg1Efgzk6McPsx-vRZqA_4_19"/>
      <w:bookmarkStart w:id="682" w:name="Tc__Yz0JDKBg0OPCxY70oAE1A_4_16"/>
      <w:bookmarkStart w:id="683" w:name="Tc_RvQv8xPOwUiA9L1PtBELpw_4_13"/>
      <w:bookmarkStart w:id="684" w:name="Tc_OTdFOB1hm0GG-b-h4ylKjw_4_10"/>
      <w:bookmarkStart w:id="685" w:name="Tc_DQYmSnH560Woh4tCrMlzSg_4_7"/>
      <w:bookmarkStart w:id="686" w:name="Tc_CJf_FAMRiEqJYaU4jqeiMQ_4_4"/>
      <w:bookmarkStart w:id="687" w:name="Tc_kMoY93aujE-omBeqUGKYVA_4_2"/>
      <w:bookmarkStart w:id="688" w:name="Tc_oM0tS5KGT0qUgyOnvBkWig_4_0"/>
      <w:bookmarkStart w:id="689" w:name="Tc_rd7zXASf5k-oHSkZ1-0pKA_3_16"/>
      <w:bookmarkStart w:id="690" w:name="Tc_fCFzcbVyKkOe-IGYy2yGzQ_3_13"/>
      <w:bookmarkStart w:id="691" w:name="Tc_cAdooKffGUq_9cWbV7_GRw_3_10"/>
      <w:bookmarkStart w:id="692" w:name="Tc_Ks7Mm6tM2ECxDaYYj5TVRQ_3_7"/>
      <w:bookmarkStart w:id="693" w:name="Tc_-wxGzQ6CNkKCFuB2L2vjuA_3_2"/>
      <w:bookmarkStart w:id="694" w:name="Tc_v3eaNy4fj0uppkbmaqPdqA_2_16"/>
      <w:bookmarkStart w:id="695" w:name="Tc_8ropC3nyuUa5gijS_svpsA_2_13"/>
      <w:bookmarkStart w:id="696" w:name="Tc_LjiYJMCy8EKB709l7qqOTA_1_16"/>
      <w:bookmarkStart w:id="697" w:name="_7deaf0ee_9855_4bdf_a497_e2850a238aaf"/>
      <w:bookmarkStart w:id="698" w:name="Tc_s3lKIVhpO0iTcDiwpIHRAg_12_22"/>
      <w:bookmarkStart w:id="699" w:name="Tc_1-tLwDj260SH1FFNc8XYeg_12_19"/>
      <w:bookmarkStart w:id="700" w:name="Tc_lZDC94R02ES2l5pV7qeCHA_12_16"/>
      <w:bookmarkStart w:id="701" w:name="Tc_yM5q7r7i_06GquMgY5saWg_12_13"/>
      <w:bookmarkStart w:id="702" w:name="Tc_dddwDvxjEEWalyq-D4c5mw_12_11"/>
      <w:bookmarkStart w:id="703" w:name="Tc_FZcUNM6mOEqMvxjAAOd8DQ_12_10"/>
      <w:bookmarkStart w:id="704" w:name="Tc_fRDwUTstM0CNLF_uRAsuwA_12_8"/>
      <w:bookmarkStart w:id="705" w:name="Tc_AUVm9_UcTEG4YzzCOQDbtA_12_7"/>
      <w:bookmarkStart w:id="706" w:name="Tc_hfaE8w8Baky_HUi2jTnkrg_12_4"/>
      <w:bookmarkStart w:id="707" w:name="Tc_bwVHpP973k6t0hJ1wY0Byw_12_0"/>
      <w:bookmarkStart w:id="708" w:name="Tc_cHVawWI58ke2Yn9kr6MbyA_11_17"/>
      <w:bookmarkStart w:id="709" w:name="Tc_ZLMPtF27106e5UEcjggYXQ_11_14"/>
      <w:bookmarkStart w:id="710" w:name="Tc_X77P71kJ-0O3AdLxor8GiQ_11_11"/>
      <w:bookmarkStart w:id="711" w:name="Tc_W29C1-nKR0Co-eMOjXV2Pw_11_8"/>
      <w:bookmarkStart w:id="712" w:name="Tc_onuQ4_7nN0egbMqt_4Xf4g_11_5"/>
      <w:bookmarkStart w:id="713" w:name="Tc_fR1m_sKCkESkNb0FLVHxEA_11_2"/>
      <w:bookmarkStart w:id="714" w:name="Tc_w4lt0IyXIEiwn3gx92oRuQ_11_0"/>
      <w:bookmarkStart w:id="715" w:name="Tc_yhtqf_0V60Oo1ibODusW9A_10_20"/>
      <w:bookmarkStart w:id="716" w:name="Tc_6Wb_C84sREOegPkyRbRm_w_10_17"/>
      <w:bookmarkStart w:id="717" w:name="Tc_0S6LhebH0066eqgbl1aI4g_10_11"/>
      <w:bookmarkStart w:id="718" w:name="Tc_fRwQyHK66kuoQi-AkRvUTg_10_8"/>
      <w:bookmarkStart w:id="719" w:name="Tc_tMS7CwXBw0KXiJQeaOqzqA_10_5"/>
      <w:bookmarkStart w:id="720" w:name="Tc_8gfaXoy-FEmDfzMBahcvzg_10_2"/>
      <w:bookmarkStart w:id="721" w:name="Tc_XP4onBQ8lEGImBgWdgMSjg_10_0"/>
      <w:bookmarkStart w:id="722" w:name="Tc_O1jrAq-8ZESK5CGygH3MFA_9_20"/>
      <w:bookmarkStart w:id="723" w:name="Tc_K8b5JPgA9kKTyPh9FkpDlA_9_17"/>
      <w:bookmarkStart w:id="724" w:name="Tc__l6K1XCgA0amK2TAJe8ysA_9_11"/>
      <w:bookmarkStart w:id="725" w:name="Tc_zq211YKwpkiPavkFxqKZmQ_9_8"/>
      <w:bookmarkStart w:id="726" w:name="Tc_KijhB4QvwUGkz4Sd65LCpg_9_5"/>
      <w:bookmarkStart w:id="727" w:name="Tc_87uztilAgk23QPZSf9AHLA_9_2"/>
      <w:bookmarkStart w:id="728" w:name="Tc_LshKY6X_mUu2qw4IB0qRTA_9_0"/>
      <w:bookmarkStart w:id="729" w:name="Tc_kSgUD_MlZkaeoSDv-tJBsw_8_20"/>
      <w:bookmarkStart w:id="730" w:name="Tc_UAKP_yfLcE-G6rov9fn-rg_8_17"/>
      <w:bookmarkStart w:id="731" w:name="Tc_UJ_pTQBlIka9DWWS_d47TQ_8_11"/>
      <w:bookmarkStart w:id="732" w:name="Tc_KuW1ksvg4EW26TB4o6epIw_8_8"/>
      <w:bookmarkStart w:id="733" w:name="Tc_4dutPsIBw0Oji1bYf0XpFQ_8_0"/>
      <w:bookmarkStart w:id="734" w:name="Tc_wVOPJ787wECT46RvQKcyQg_7_20"/>
      <w:bookmarkStart w:id="735" w:name="Tc_uEwfXqzBOUCVCFd0kGXhxQ_7_17"/>
      <w:bookmarkStart w:id="736" w:name="Tc_7qzLCPDLAUWuO9vpQ43M1Q_7_11"/>
      <w:bookmarkStart w:id="737" w:name="Tc_vweS6kbiBU6KJjqVbdKwDQ_7_8"/>
      <w:bookmarkStart w:id="738" w:name="Tc_k9jICDY0BUi-e1jTK4f1ng_7_0"/>
      <w:bookmarkStart w:id="739" w:name="Tc_bKQjQe0b1Ue90jXe2cGUKw_6_23"/>
      <w:bookmarkStart w:id="740" w:name="Tc_xsj-dwqKXUKGcq6p-E-7cw_6_20"/>
      <w:bookmarkStart w:id="741" w:name="Tc_1rNgPw8fNECCfgcHn1-EmA_6_17"/>
      <w:bookmarkStart w:id="742" w:name="Tc_AsFxr-SoUUeA1U4Dn9n5PQ_6_11"/>
      <w:bookmarkStart w:id="743" w:name="Tc_4oNz-uclpEaAhaNIeNW3xQ_6_8"/>
      <w:bookmarkStart w:id="744" w:name="Tc_pQHlaMjHMEKA76s47AGFQg_6_0"/>
      <w:bookmarkStart w:id="745" w:name="Tc_EO9Eu9dPt0Kf8waPr2agfQ_5_22"/>
      <w:bookmarkStart w:id="746" w:name="Tc_4McBLXJpF063I2Zqj0SUrA_5_19"/>
      <w:bookmarkStart w:id="747" w:name="Tc_NZ4QdJWUtEipqCjXe5eMAA_5_16"/>
      <w:bookmarkStart w:id="748" w:name="Tc__V_Isp0x1Uev4chiKlMlUQ_5_13"/>
      <w:bookmarkStart w:id="749" w:name="Tc_mxnxrrIclE6SsfHB9b8GSQ_5_11"/>
      <w:bookmarkStart w:id="750" w:name="Tc_IEOAD7imfEuNxnVwZbmp8Q_5_10"/>
      <w:bookmarkStart w:id="751" w:name="Tc_N-Wbt_AJnUqYi0hGWpAORA_5_8"/>
      <w:bookmarkStart w:id="752" w:name="Tc_w1cfvuanrUKGUcKkTO5E1Q_5_7"/>
      <w:bookmarkStart w:id="753" w:name="Tc_aeaMLvISjU643mFzV0jThw_5_4"/>
      <w:bookmarkStart w:id="754" w:name="Tc_d5tmkLJm202TJb64HC-bbQ_5_0"/>
      <w:bookmarkStart w:id="755" w:name="Tc_338sQgsOEEuehVgVTkZZFA_4_22"/>
      <w:bookmarkStart w:id="756" w:name="Tc_ujxg1Efgzk6McPsx-vRZqA_4_19"/>
      <w:bookmarkStart w:id="757" w:name="Tc__Yz0JDKBg0OPCxY70oAE1A_4_16"/>
      <w:bookmarkStart w:id="758" w:name="Tc_RvQv8xPOwUiA9L1PtBELpw_4_13"/>
      <w:bookmarkStart w:id="759" w:name="Tc_OTdFOB1hm0GG-b-h4ylKjw_4_10"/>
      <w:bookmarkStart w:id="760" w:name="Tc_DQYmSnH560Woh4tCrMlzSg_4_7"/>
      <w:bookmarkStart w:id="761" w:name="Tc_CJf_FAMRiEqJYaU4jqeiMQ_4_4"/>
      <w:bookmarkStart w:id="762" w:name="Tc_kMoY93aujE-omBeqUGKYVA_4_2"/>
      <w:bookmarkStart w:id="763" w:name="Tc_oM0tS5KGT0qUgyOnvBkWig_4_0"/>
      <w:bookmarkStart w:id="764" w:name="Tc_rd7zXASf5k-oHSkZ1-0pKA_3_16"/>
      <w:bookmarkStart w:id="765" w:name="Tc_fCFzcbVyKkOe-IGYy2yGzQ_3_13"/>
      <w:bookmarkStart w:id="766" w:name="Tc_cAdooKffGUq_9cWbV7_GRw_3_10"/>
      <w:bookmarkStart w:id="767" w:name="Tc_Ks7Mm6tM2ECxDaYYj5TVRQ_3_7"/>
      <w:bookmarkStart w:id="768" w:name="Tc_-wxGzQ6CNkKCFuB2L2vjuA_3_2"/>
      <w:bookmarkStart w:id="769" w:name="Tc_v3eaNy4fj0uppkbmaqPdqA_2_16"/>
      <w:bookmarkStart w:id="770" w:name="Tc_8ropC3nyuUa5gijS_svpsA_2_13"/>
      <w:bookmarkStart w:id="771" w:name="Tc_LjiYJMCy8EKB709l7qqOTA_1_16"/>
      <w:bookmarkStart w:id="772" w:name="_7deaf0ee_9855_4bdf_a497_e2850a238aaf"/>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p>
    <w:tbl>
      <w:tblPr>
        <w:tblW w:w="10355" w:type="dxa"/>
        <w:jc w:val="left"/>
        <w:tblInd w:w="0" w:type="dxa"/>
        <w:tblLayout w:type="fixed"/>
        <w:tblCellMar>
          <w:top w:w="0" w:type="dxa"/>
          <w:left w:w="0" w:type="dxa"/>
          <w:bottom w:w="0" w:type="dxa"/>
          <w:right w:w="0" w:type="dxa"/>
        </w:tblCellMar>
      </w:tblPr>
      <w:tblGrid>
        <w:gridCol w:w="1021"/>
        <w:gridCol w:w="346"/>
        <w:gridCol w:w="871"/>
        <w:gridCol w:w="346"/>
        <w:gridCol w:w="181"/>
        <w:gridCol w:w="601"/>
        <w:gridCol w:w="346"/>
        <w:gridCol w:w="237"/>
        <w:gridCol w:w="454"/>
        <w:gridCol w:w="346"/>
        <w:gridCol w:w="196"/>
        <w:gridCol w:w="375"/>
        <w:gridCol w:w="346"/>
        <w:gridCol w:w="187"/>
        <w:gridCol w:w="624"/>
        <w:gridCol w:w="346"/>
        <w:gridCol w:w="291"/>
        <w:gridCol w:w="805"/>
        <w:gridCol w:w="346"/>
        <w:gridCol w:w="181"/>
        <w:gridCol w:w="766"/>
        <w:gridCol w:w="346"/>
        <w:gridCol w:w="181"/>
        <w:gridCol w:w="616"/>
      </w:tblGrid>
      <w:tr>
        <w:trPr/>
        <w:tc>
          <w:tcPr>
            <w:tcW w:w="1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r>
      <w:tr>
        <w:trPr/>
        <w:tc>
          <w:tcPr>
            <w:tcW w:w="10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37" w:type="dxa"/>
            <w:tcBorders/>
            <w:vAlign w:val="center"/>
          </w:tcPr>
          <w:p>
            <w:pPr>
              <w:pStyle w:val="TableContents"/>
              <w:bidi w:val="0"/>
              <w:spacing w:before="0" w:after="0"/>
              <w:ind w:left="0" w:right="0" w:hanging="0"/>
              <w:jc w:val="center"/>
              <w:rPr/>
            </w:pPr>
            <w:r>
              <w:rPr/>
              <w:t>​</w:t>
            </w:r>
          </w:p>
        </w:tc>
        <w:tc>
          <w:tcPr>
            <w:tcW w:w="45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37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7" w:type="dxa"/>
            <w:tcBorders/>
            <w:vAlign w:val="center"/>
          </w:tcPr>
          <w:p>
            <w:pPr>
              <w:pStyle w:val="TableContents"/>
              <w:bidi w:val="0"/>
              <w:spacing w:before="0" w:after="0"/>
              <w:ind w:left="0" w:right="0" w:hanging="0"/>
              <w:jc w:val="center"/>
              <w:rPr/>
            </w:pPr>
            <w:r>
              <w:rPr/>
              <w:t>​</w:t>
            </w:r>
          </w:p>
        </w:tc>
        <w:tc>
          <w:tcPr>
            <w:tcW w:w="6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Accumulated</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r>
      <w:tr>
        <w:trPr/>
        <w:tc>
          <w:tcPr>
            <w:tcW w:w="10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37" w:type="dxa"/>
            <w:tcBorders/>
            <w:vAlign w:val="center"/>
          </w:tcPr>
          <w:p>
            <w:pPr>
              <w:pStyle w:val="TableContents"/>
              <w:bidi w:val="0"/>
              <w:spacing w:before="0" w:after="0"/>
              <w:ind w:left="0" w:right="0" w:hanging="0"/>
              <w:jc w:val="center"/>
              <w:rPr/>
            </w:pPr>
            <w:r>
              <w:rPr/>
              <w:t>​</w:t>
            </w:r>
          </w:p>
        </w:tc>
        <w:tc>
          <w:tcPr>
            <w:tcW w:w="45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37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Additional</w:t>
            </w:r>
          </w:p>
        </w:tc>
        <w:tc>
          <w:tcPr>
            <w:tcW w:w="346"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Other</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r>
      <w:tr>
        <w:trPr/>
        <w:tc>
          <w:tcPr>
            <w:tcW w:w="10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9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 Shares</w:t>
            </w:r>
          </w:p>
        </w:tc>
        <w:tc>
          <w:tcPr>
            <w:tcW w:w="346" w:type="dxa"/>
            <w:tcBorders/>
            <w:vAlign w:val="center"/>
          </w:tcPr>
          <w:p>
            <w:pPr>
              <w:pStyle w:val="TableContents"/>
              <w:bidi w:val="0"/>
              <w:spacing w:before="0" w:after="0"/>
              <w:ind w:left="0" w:right="0" w:hanging="0"/>
              <w:jc w:val="center"/>
              <w:rPr/>
            </w:pPr>
            <w:r>
              <w:rPr/>
              <w:t>​</w:t>
            </w:r>
          </w:p>
        </w:tc>
        <w:tc>
          <w:tcPr>
            <w:tcW w:w="691" w:type="dxa"/>
            <w:gridSpan w:val="2"/>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Preferred</w:t>
            </w:r>
          </w:p>
        </w:tc>
        <w:tc>
          <w:tcPr>
            <w:tcW w:w="346" w:type="dxa"/>
            <w:tcBorders/>
            <w:vAlign w:val="center"/>
          </w:tcPr>
          <w:p>
            <w:pPr>
              <w:pStyle w:val="TableContents"/>
              <w:bidi w:val="0"/>
              <w:spacing w:before="0" w:after="0"/>
              <w:ind w:left="0" w:right="0" w:hanging="0"/>
              <w:jc w:val="right"/>
              <w:rPr/>
            </w:pPr>
            <w:r>
              <w:rPr/>
              <w:t>​</w:t>
            </w:r>
          </w:p>
        </w:tc>
        <w:tc>
          <w:tcPr>
            <w:tcW w:w="571" w:type="dxa"/>
            <w:gridSpan w:val="2"/>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Special</w:t>
            </w:r>
          </w:p>
        </w:tc>
        <w:tc>
          <w:tcPr>
            <w:tcW w:w="346"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Paid in</w:t>
            </w:r>
          </w:p>
        </w:tc>
        <w:tc>
          <w:tcPr>
            <w:tcW w:w="346"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Comprehensive</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r>
      <w:tr>
        <w:trPr/>
        <w:tc>
          <w:tcPr>
            <w:tcW w:w="102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Six months ended June 30, 2026</w:t>
            </w:r>
          </w:p>
        </w:tc>
        <w:tc>
          <w:tcPr>
            <w:tcW w:w="346" w:type="dxa"/>
            <w:tcBorders/>
            <w:vAlign w:val="center"/>
          </w:tcPr>
          <w:p>
            <w:pPr>
              <w:pStyle w:val="TableContents"/>
              <w:bidi w:val="0"/>
              <w:spacing w:before="0" w:after="0"/>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Amount</w:t>
            </w:r>
          </w:p>
        </w:tc>
        <w:tc>
          <w:tcPr>
            <w:tcW w:w="346" w:type="dxa"/>
            <w:tcBorders/>
            <w:vAlign w:val="center"/>
          </w:tcPr>
          <w:p>
            <w:pPr>
              <w:pStyle w:val="TableContents"/>
              <w:bidi w:val="0"/>
              <w:spacing w:before="0" w:after="0"/>
              <w:ind w:left="0" w:right="0" w:hanging="0"/>
              <w:jc w:val="center"/>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0"/>
              <w:ind w:left="0" w:right="0" w:hanging="0"/>
              <w:jc w:val="center"/>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0"/>
              <w:ind w:left="0" w:right="0" w:hanging="0"/>
              <w:jc w:val="center"/>
              <w:rPr/>
            </w:pPr>
            <w:r>
              <w:rPr/>
              <w:t>  ​ ​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right"/>
              <w:rPr/>
            </w:pPr>
            <w:r>
              <w:rPr/>
              <w:t> </w:t>
            </w:r>
            <w:r>
              <w:rPr>
                <w:rFonts w:ascii="Times New Roman;Times;serif" w:hAnsi="Times New Roman;Times;serif"/>
                <w:b/>
                <w:sz w:val="15"/>
              </w:rPr>
              <w:t>Capital</w:t>
            </w:r>
          </w:p>
        </w:tc>
        <w:tc>
          <w:tcPr>
            <w:tcW w:w="346" w:type="dxa"/>
            <w:tcBorders/>
            <w:vAlign w:val="center"/>
          </w:tcPr>
          <w:p>
            <w:pPr>
              <w:pStyle w:val="TableContents"/>
              <w:bidi w:val="0"/>
              <w:spacing w:before="0" w:after="0"/>
              <w:ind w:left="0" w:right="0" w:hanging="0"/>
              <w:jc w:val="center"/>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right"/>
              <w:rPr/>
            </w:pPr>
            <w:r>
              <w:rPr/>
              <w:t> </w:t>
            </w:r>
            <w:r>
              <w:rPr>
                <w:rFonts w:ascii="Times New Roman;Times;serif" w:hAnsi="Times New Roman;Times;serif"/>
                <w:b/>
                <w:sz w:val="15"/>
              </w:rPr>
              <w:t>Loss</w:t>
            </w:r>
          </w:p>
        </w:tc>
        <w:tc>
          <w:tcPr>
            <w:tcW w:w="346" w:type="dxa"/>
            <w:tcBorders/>
            <w:vAlign w:val="center"/>
          </w:tcPr>
          <w:p>
            <w:pPr>
              <w:pStyle w:val="TableContents"/>
              <w:bidi w:val="0"/>
              <w:spacing w:before="0" w:after="0"/>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Deficit</w:t>
            </w:r>
          </w:p>
        </w:tc>
        <w:tc>
          <w:tcPr>
            <w:tcW w:w="346" w:type="dxa"/>
            <w:tcBorders/>
            <w:vAlign w:val="center"/>
          </w:tcPr>
          <w:p>
            <w:pPr>
              <w:pStyle w:val="TableContents"/>
              <w:bidi w:val="0"/>
              <w:spacing w:before="0" w:after="0"/>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Total</w:t>
            </w:r>
          </w:p>
        </w:tc>
      </w:tr>
      <w:tr>
        <w:trPr/>
        <w:tc>
          <w:tcPr>
            <w:tcW w:w="10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January 1, 2026</w:t>
            </w:r>
          </w:p>
        </w:tc>
        <w:tc>
          <w:tcPr>
            <w:tcW w:w="346" w:type="dxa"/>
            <w:tcBorders/>
            <w:shd w:fill="CCEEFF" w:val="clear"/>
            <w:vAlign w:val="center"/>
          </w:tcPr>
          <w:p>
            <w:pPr>
              <w:pStyle w:val="TableContents"/>
              <w:bidi w:val="0"/>
              <w:spacing w:before="0" w:after="0"/>
              <w:ind w:left="0" w:right="0" w:hanging="0"/>
              <w:jc w:val="center"/>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422,966,333</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681,343</w:t>
            </w:r>
          </w:p>
        </w:tc>
        <w:tc>
          <w:tcPr>
            <w:tcW w:w="346" w:type="dxa"/>
            <w:tcBorders/>
            <w:shd w:fill="CCEEFF" w:val="clear"/>
            <w:vAlign w:val="center"/>
          </w:tcPr>
          <w:p>
            <w:pPr>
              <w:pStyle w:val="TableContents"/>
              <w:bidi w:val="0"/>
              <w:spacing w:before="0" w:after="0"/>
              <w:ind w:left="0" w:right="0" w:hanging="0"/>
              <w:jc w:val="righ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4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7"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237,696</w:t>
            </w:r>
          </w:p>
        </w:tc>
        <w:tc>
          <w:tcPr>
            <w:tcW w:w="346"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(1,203)</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(951,279)</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(33,443)</w:t>
            </w:r>
          </w:p>
        </w:tc>
      </w:tr>
      <w:tr>
        <w:trPr/>
        <w:tc>
          <w:tcPr>
            <w:tcW w:w="102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Conversion of restricted share units, net of shares withheld for taxes (Note 13)</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8,689,551</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15,688</w:t>
            </w:r>
          </w:p>
        </w:tc>
        <w:tc>
          <w:tcPr>
            <w:tcW w:w="346" w:type="dxa"/>
            <w:tcBorders/>
            <w:vAlign w:val="center"/>
          </w:tcPr>
          <w:p>
            <w:pPr>
              <w:pStyle w:val="TableContents"/>
              <w:bidi w:val="0"/>
              <w:spacing w:before="0" w:after="0"/>
              <w:ind w:left="0" w:right="0" w:hanging="0"/>
              <w:jc w:val="right"/>
              <w:rPr/>
            </w:pPr>
            <w:r>
              <w:rPr/>
              <w:t>​</w:t>
            </w:r>
          </w:p>
        </w:tc>
        <w:tc>
          <w:tcPr>
            <w:tcW w:w="237" w:type="dxa"/>
            <w:tcBorders/>
            <w:vAlign w:val="center"/>
          </w:tcPr>
          <w:p>
            <w:pPr>
              <w:pStyle w:val="TableContents"/>
              <w:bidi w:val="0"/>
              <w:spacing w:before="0" w:after="0"/>
              <w:ind w:left="0" w:right="0" w:hanging="0"/>
              <w:jc w:val="right"/>
              <w:rPr/>
            </w:pPr>
            <w:r>
              <w:rPr/>
              <w:t>​</w:t>
            </w:r>
          </w:p>
        </w:tc>
        <w:tc>
          <w:tcPr>
            <w:tcW w:w="4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(15,688)</w:t>
            </w:r>
          </w:p>
        </w:tc>
        <w:tc>
          <w:tcPr>
            <w:tcW w:w="346"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10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Exercise of stock options (Note 13)</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2,045,126</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10,248</w:t>
            </w:r>
          </w:p>
        </w:tc>
        <w:tc>
          <w:tcPr>
            <w:tcW w:w="346" w:type="dxa"/>
            <w:tcBorders/>
            <w:shd w:fill="CCEEFF" w:val="clear"/>
            <w:vAlign w:val="center"/>
          </w:tcPr>
          <w:p>
            <w:pPr>
              <w:pStyle w:val="TableContents"/>
              <w:bidi w:val="0"/>
              <w:spacing w:before="0" w:after="0"/>
              <w:ind w:left="0" w:right="0" w:hanging="0"/>
              <w:jc w:val="right"/>
              <w:rPr/>
            </w:pPr>
            <w:r>
              <w:rPr/>
              <w:t>​</w:t>
            </w:r>
          </w:p>
        </w:tc>
        <w:tc>
          <w:tcPr>
            <w:tcW w:w="237" w:type="dxa"/>
            <w:tcBorders/>
            <w:shd w:fill="CCEEFF" w:val="clear"/>
            <w:vAlign w:val="center"/>
          </w:tcPr>
          <w:p>
            <w:pPr>
              <w:pStyle w:val="TableContents"/>
              <w:bidi w:val="0"/>
              <w:spacing w:before="0" w:after="0"/>
              <w:ind w:left="0" w:right="0" w:hanging="0"/>
              <w:jc w:val="right"/>
              <w:rPr/>
            </w:pPr>
            <w:r>
              <w:rPr/>
              <w:t>​</w:t>
            </w:r>
          </w:p>
        </w:tc>
        <w:tc>
          <w:tcPr>
            <w:tcW w:w="4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(7,529)</w:t>
            </w:r>
          </w:p>
        </w:tc>
        <w:tc>
          <w:tcPr>
            <w:tcW w:w="346"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2,719</w:t>
            </w:r>
          </w:p>
        </w:tc>
      </w:tr>
      <w:tr>
        <w:trPr/>
        <w:tc>
          <w:tcPr>
            <w:tcW w:w="102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Share purchase under Employee Share Purchase Plan (Note 13)</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25,191</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82</w:t>
            </w:r>
          </w:p>
        </w:tc>
        <w:tc>
          <w:tcPr>
            <w:tcW w:w="346" w:type="dxa"/>
            <w:tcBorders/>
            <w:vAlign w:val="center"/>
          </w:tcPr>
          <w:p>
            <w:pPr>
              <w:pStyle w:val="TableContents"/>
              <w:bidi w:val="0"/>
              <w:spacing w:before="0" w:after="0"/>
              <w:ind w:left="0" w:right="0" w:hanging="0"/>
              <w:jc w:val="right"/>
              <w:rPr/>
            </w:pPr>
            <w:r>
              <w:rPr/>
              <w:t>​</w:t>
            </w:r>
          </w:p>
        </w:tc>
        <w:tc>
          <w:tcPr>
            <w:tcW w:w="237" w:type="dxa"/>
            <w:tcBorders/>
            <w:vAlign w:val="center"/>
          </w:tcPr>
          <w:p>
            <w:pPr>
              <w:pStyle w:val="TableContents"/>
              <w:bidi w:val="0"/>
              <w:spacing w:before="0" w:after="0"/>
              <w:ind w:left="0" w:right="0" w:hanging="0"/>
              <w:jc w:val="right"/>
              <w:rPr/>
            </w:pPr>
            <w:r>
              <w:rPr/>
              <w:t>​</w:t>
            </w:r>
          </w:p>
        </w:tc>
        <w:tc>
          <w:tcPr>
            <w:tcW w:w="4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w:t>
            </w:r>
          </w:p>
        </w:tc>
        <w:tc>
          <w:tcPr>
            <w:tcW w:w="346"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56</w:t>
            </w:r>
          </w:p>
        </w:tc>
      </w:tr>
      <w:tr>
        <w:trPr/>
        <w:tc>
          <w:tcPr>
            <w:tcW w:w="10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Allseas obligation settled with equity (Note 6)</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7" w:type="dxa"/>
            <w:tcBorders/>
            <w:shd w:fill="CCEEFF" w:val="clear"/>
            <w:vAlign w:val="center"/>
          </w:tcPr>
          <w:p>
            <w:pPr>
              <w:pStyle w:val="TableContents"/>
              <w:bidi w:val="0"/>
              <w:spacing w:before="0" w:after="0"/>
              <w:ind w:left="0" w:right="0" w:hanging="0"/>
              <w:jc w:val="right"/>
              <w:rPr/>
            </w:pPr>
            <w:r>
              <w:rPr/>
              <w:t>​</w:t>
            </w:r>
          </w:p>
        </w:tc>
        <w:tc>
          <w:tcPr>
            <w:tcW w:w="4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43,176</w:t>
            </w:r>
          </w:p>
        </w:tc>
        <w:tc>
          <w:tcPr>
            <w:tcW w:w="346"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43,176</w:t>
            </w:r>
          </w:p>
        </w:tc>
      </w:tr>
      <w:tr>
        <w:trPr/>
        <w:tc>
          <w:tcPr>
            <w:tcW w:w="102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Share-based compensation and expenses settled with equity (Note 13)</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7" w:type="dxa"/>
            <w:tcBorders/>
            <w:vAlign w:val="center"/>
          </w:tcPr>
          <w:p>
            <w:pPr>
              <w:pStyle w:val="TableContents"/>
              <w:bidi w:val="0"/>
              <w:spacing w:before="0" w:after="0"/>
              <w:ind w:left="0" w:right="0" w:hanging="0"/>
              <w:jc w:val="right"/>
              <w:rPr/>
            </w:pPr>
            <w:r>
              <w:rPr/>
              <w:t>​</w:t>
            </w:r>
          </w:p>
        </w:tc>
        <w:tc>
          <w:tcPr>
            <w:tcW w:w="4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40,777</w:t>
            </w:r>
          </w:p>
        </w:tc>
        <w:tc>
          <w:tcPr>
            <w:tcW w:w="346"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40,777</w:t>
            </w:r>
          </w:p>
        </w:tc>
      </w:tr>
      <w:tr>
        <w:trPr/>
        <w:tc>
          <w:tcPr>
            <w:tcW w:w="10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Loss for the period</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(80,722)</w:t>
            </w:r>
          </w:p>
        </w:tc>
        <w:tc>
          <w:tcPr>
            <w:tcW w:w="346" w:type="dxa"/>
            <w:tcBorders/>
            <w:shd w:fill="CCEEFF" w:val="clear"/>
            <w:vAlign w:val="center"/>
          </w:tcPr>
          <w:p>
            <w:pPr>
              <w:pStyle w:val="TableContents"/>
              <w:bidi w:val="0"/>
              <w:spacing w:before="0" w:after="0"/>
              <w:ind w:left="0" w:right="0" w:hanging="0"/>
              <w:jc w:val="righ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(80,722)</w:t>
            </w:r>
          </w:p>
        </w:tc>
      </w:tr>
      <w:tr>
        <w:trPr/>
        <w:tc>
          <w:tcPr>
            <w:tcW w:w="1021" w:type="dxa"/>
            <w:tcBorders/>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June 30, 2026</w:t>
            </w:r>
          </w:p>
        </w:tc>
        <w:tc>
          <w:tcPr>
            <w:tcW w:w="34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433,726,201</w:t>
            </w:r>
          </w:p>
        </w:tc>
        <w:tc>
          <w:tcPr>
            <w:tcW w:w="346" w:type="dxa"/>
            <w:tcBorders/>
            <w:vAlign w:val="center"/>
          </w:tcPr>
          <w:p>
            <w:pPr>
              <w:pStyle w:val="TableContents"/>
              <w:bidi w:val="0"/>
              <w:spacing w:before="0" w:after="0"/>
              <w:ind w:left="0" w:right="0" w:hanging="0"/>
              <w:jc w:val="righ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707,361</w:t>
            </w:r>
          </w:p>
        </w:tc>
        <w:tc>
          <w:tcPr>
            <w:tcW w:w="346" w:type="dxa"/>
            <w:tcBorders/>
            <w:vAlign w:val="center"/>
          </w:tcPr>
          <w:p>
            <w:pPr>
              <w:pStyle w:val="TableContents"/>
              <w:bidi w:val="0"/>
              <w:spacing w:before="0" w:after="0"/>
              <w:ind w:left="0" w:right="0" w:hanging="0"/>
              <w:jc w:val="right"/>
              <w:rPr/>
            </w:pPr>
            <w:r>
              <w:rPr/>
              <w:t> </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4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18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298,406</w:t>
            </w:r>
          </w:p>
        </w:tc>
        <w:tc>
          <w:tcPr>
            <w:tcW w:w="346" w:type="dxa"/>
            <w:tcBorders/>
            <w:vAlign w:val="center"/>
          </w:tcPr>
          <w:p>
            <w:pPr>
              <w:pStyle w:val="TableContents"/>
              <w:bidi w:val="0"/>
              <w:spacing w:before="0" w:after="0"/>
              <w:ind w:left="0" w:right="0" w:hanging="0"/>
              <w:jc w:val="right"/>
              <w:rPr/>
            </w:pPr>
            <w:r>
              <w:rPr/>
              <w:t> </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(1,203)</w:t>
            </w:r>
          </w:p>
        </w:tc>
        <w:tc>
          <w:tcPr>
            <w:tcW w:w="346" w:type="dxa"/>
            <w:tcBorders/>
            <w:vAlign w:val="center"/>
          </w:tcPr>
          <w:p>
            <w:pPr>
              <w:pStyle w:val="TableContents"/>
              <w:bidi w:val="0"/>
              <w:spacing w:before="0" w:after="0"/>
              <w:ind w:left="0" w:right="0" w:hanging="0"/>
              <w:jc w:val="righ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(1,032,001)</w:t>
            </w:r>
          </w:p>
        </w:tc>
        <w:tc>
          <w:tcPr>
            <w:tcW w:w="346" w:type="dxa"/>
            <w:tcBorders/>
            <w:vAlign w:val="center"/>
          </w:tcPr>
          <w:p>
            <w:pPr>
              <w:pStyle w:val="TableContents"/>
              <w:bidi w:val="0"/>
              <w:spacing w:before="0" w:after="0"/>
              <w:ind w:left="0" w:right="0" w:hanging="0"/>
              <w:jc w:val="righ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(27,437)</w:t>
            </w:r>
          </w:p>
        </w:tc>
      </w:tr>
    </w:tbl>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773" w:name="Tc_OqmYhVwIh0W8C5Ug8Q8E3w_18_22"/>
      <w:bookmarkStart w:id="774" w:name="Tc_tCJsCXFKKEKXkwg4OTSDXQ_18_19"/>
      <w:bookmarkStart w:id="775" w:name="Tc_pI8EiTXBHk2FynPq10ATww_18_16"/>
      <w:bookmarkStart w:id="776" w:name="Tc_Tb4zPNEXsEWmnKfrSR3RqQ_18_13"/>
      <w:bookmarkStart w:id="777" w:name="Tc_Jj6Ld2E_hE2QlcbuZ_NcaA_18_11"/>
      <w:bookmarkStart w:id="778" w:name="Tc_j8dV71qRTkijaOYYAh9qWQ_18_10"/>
      <w:bookmarkStart w:id="779" w:name="Tc_tTDQ0toLbEC5Ng0drZhm4g_18_8"/>
      <w:bookmarkStart w:id="780" w:name="Tc_BzIGWM9R30-4sGT1ABxJlQ_18_7"/>
      <w:bookmarkStart w:id="781" w:name="Tc_g4n4TM7XbE6pZdzVq7DEWA_18_4"/>
      <w:bookmarkStart w:id="782" w:name="Tc_fGnRkb0CiUebWhJKw0Yq-Q_18_0"/>
      <w:bookmarkStart w:id="783" w:name="Tc_f6-nZbXwpESjNW2v9EM5rA_17_17"/>
      <w:bookmarkStart w:id="784" w:name="Tc__0t5FD8ivE2JiFqmThH1bg_17_14"/>
      <w:bookmarkStart w:id="785" w:name="Tc_Ui5oBjDJSU-hhJa3NMxmuA_17_11"/>
      <w:bookmarkStart w:id="786" w:name="Tc_EzDYJt1jIkONOeY6OMKggg_17_8"/>
      <w:bookmarkStart w:id="787" w:name="Tc_OJGZiLZg7UOQy9KFSgvTzg_17_5"/>
      <w:bookmarkStart w:id="788" w:name="Tc_0boUJSWyiEeectyTlP7okQ_17_2"/>
      <w:bookmarkStart w:id="789" w:name="Tc_kFSemTJQzUKCJl55hzU0QQ_17_0"/>
      <w:bookmarkStart w:id="790" w:name="Tc_nEHyPzjKy0Or41Icab-6oA_16_20"/>
      <w:bookmarkStart w:id="791" w:name="Tc_k0XMr1xNmE-WiXEe10tGWw_16_17"/>
      <w:bookmarkStart w:id="792" w:name="Tc_XBkkVUO_KEOdwk6aWkqB4Q_16_11"/>
      <w:bookmarkStart w:id="793" w:name="Tc_K1s-9mLgoESYG4RBujRTqQ_16_8"/>
      <w:bookmarkStart w:id="794" w:name="Tc_XHAbGzNOWEKmevJl3-YyhA_16_5"/>
      <w:bookmarkStart w:id="795" w:name="Tc_TusU9qs25kKBjb1autYlZg_16_2"/>
      <w:bookmarkStart w:id="796" w:name="Tc_l5VM2BOJnkO-mthM5xskuA_16_0"/>
      <w:bookmarkStart w:id="797" w:name="Tc_4Luiw7I1iEu9xlt9Zgdz3w_15_20"/>
      <w:bookmarkStart w:id="798" w:name="Tc_0GDpWw7VGUqa4WoAcN3-4Q_15_17"/>
      <w:bookmarkStart w:id="799" w:name="Tc_2SjqdoQ6u0e9TTLShyjgqg_15_11"/>
      <w:bookmarkStart w:id="800" w:name="Tc_Hw5aivfLXEWWPRoDSOpprA_15_8"/>
      <w:bookmarkStart w:id="801" w:name="Tc_wrjpcfd3Zk6epzE8R5sGcg_15_5"/>
      <w:bookmarkStart w:id="802" w:name="Tc_r7au4nPKAUyTTODu-FXCyA_15_2"/>
      <w:bookmarkStart w:id="803" w:name="Tc_9RqbZzyPtkqDzEPx6PXn0g_15_0"/>
      <w:bookmarkStart w:id="804" w:name="Tc_apaHrjWLw0ulivnEROhZ3g_14_20"/>
      <w:bookmarkStart w:id="805" w:name="Tc_lj_DFpCRnEuawGYMySnG7g_14_17"/>
      <w:bookmarkStart w:id="806" w:name="Tc_-1_tqS2nU0izVSUPsafWGg_14_11"/>
      <w:bookmarkStart w:id="807" w:name="Tc_8SeG8egtSESBEv6Ueb7YTA_14_8"/>
      <w:bookmarkStart w:id="808" w:name="Tc_Px_YKkitQUyDf8anFQx4-A_14_0"/>
      <w:bookmarkStart w:id="809" w:name="Tc_L_15D328MEK4ox5UqfbPVA_13_20"/>
      <w:bookmarkStart w:id="810" w:name="Tc_euO6GS10NkCb3fMmKhmZcw_13_17"/>
      <w:bookmarkStart w:id="811" w:name="Tc_jCLougXnC0S6ajz9HcdN-A_13_11"/>
      <w:bookmarkStart w:id="812" w:name="Tc_2LD77eNd8k-FHyMSTZryzg_13_8"/>
      <w:bookmarkStart w:id="813" w:name="Tc_d1nU6cs-5kOdcNDCJDdZ_Q_13_0"/>
      <w:bookmarkStart w:id="814" w:name="Tc_NeZ_GkDO6UWmYmj5tCiDMw_12_23"/>
      <w:bookmarkStart w:id="815" w:name="Tc_6HuPd3p8NkODlGC7SVP34A_12_20"/>
      <w:bookmarkStart w:id="816" w:name="Tc_HaYX6auqXEaNEFil4SPAJg_12_17"/>
      <w:bookmarkStart w:id="817" w:name="Tc_H-kMya4tvEGRxWtzv9Kxgg_12_11"/>
      <w:bookmarkStart w:id="818" w:name="Tc_wpUn_qY73E-XirzTYNM2uQ_12_8"/>
      <w:bookmarkStart w:id="819" w:name="Tc_O03L45rPX06Ydh-UErF4BQ_12_0"/>
      <w:bookmarkStart w:id="820" w:name="Tc_LYlP6U3dTEiGDi5_eTx6oQ_11_20"/>
      <w:bookmarkStart w:id="821" w:name="Tc_WBXV690ec0OG0KUuKuocGA_11_17"/>
      <w:bookmarkStart w:id="822" w:name="Tc__ZcL_B-bWUuwsdXvVp1QOA_11_11"/>
      <w:bookmarkStart w:id="823" w:name="Tc_jvLhF3Jb4EK_7ug5yraqLA_11_8"/>
      <w:bookmarkStart w:id="824" w:name="Tc_yP-qeAOcHUueUixjN1b10w_11_0"/>
      <w:bookmarkStart w:id="825" w:name="Tc_eQl_qsy6u0uSEQ_pG0Ca6g_10_20"/>
      <w:bookmarkStart w:id="826" w:name="Tc_300-pBtg4021cVcZupZzQQ_10_17"/>
      <w:bookmarkStart w:id="827" w:name="Tc_FRKA7JfCmUed3BPP2Kc-FQ_10_11"/>
      <w:bookmarkStart w:id="828" w:name="Tc_n9gLlnE6tkGFR-sAsNDWYA_10_8"/>
      <w:bookmarkStart w:id="829" w:name="Tc_xr9JoELFXEenxqseTuRTEw_10_0"/>
      <w:bookmarkStart w:id="830" w:name="Tc_zW-5ZAd0NEWpddStdxyyoA_9_20"/>
      <w:bookmarkStart w:id="831" w:name="Tc_D8MuibtlzUaS77KW7rYsLQ_9_17"/>
      <w:bookmarkStart w:id="832" w:name="Tc_1oG10FKIJkyDddevVK6JJQ_9_14"/>
      <w:bookmarkStart w:id="833" w:name="Tc_pNW-u_Jm1EOJg-bxTXrAjA_9_11"/>
      <w:bookmarkStart w:id="834" w:name="Tc_Asj8pdx0BUy5gbs2iowISA_9_8"/>
      <w:bookmarkStart w:id="835" w:name="Tc_i9ldJt-hjEGva-_jw8Xafg_9_0"/>
      <w:bookmarkStart w:id="836" w:name="Tc_0dS_SiCwq0-h2n8UBR1Bng_8_20"/>
      <w:bookmarkStart w:id="837" w:name="Tc_xCeL3xwNZEqAm8K8phOKXw_8_17"/>
      <w:bookmarkStart w:id="838" w:name="Tc_kema6WUYjEqBMmagPsAVrA_8_11"/>
      <w:bookmarkStart w:id="839" w:name="Tc_tHKvNj9ZeU23zAT3PGvG5A_8_8"/>
      <w:bookmarkStart w:id="840" w:name="Tc_GNebhcU1_k6FuOaeWrwSXw_8_0"/>
      <w:bookmarkStart w:id="841" w:name="Tc_kHwaqY7YtkqSRXdPmMTlPA_7_20"/>
      <w:bookmarkStart w:id="842" w:name="Tc_Qg8FdHVDGkK_VY660qvvaQ_7_17"/>
      <w:bookmarkStart w:id="843" w:name="Tc_6GiheZQG4EWDgL_wuBxSgQ_7_11"/>
      <w:bookmarkStart w:id="844" w:name="Tc_jxrENsI1EEacgLAhAeKaSg_7_8"/>
      <w:bookmarkStart w:id="845" w:name="Tc_bkxaKkPZY0u2gQ6vcx4K8Q_7_0"/>
      <w:bookmarkStart w:id="846" w:name="Tc_CK03JeOGJ0aL_fRYKtCMrQ_6_20"/>
      <w:bookmarkStart w:id="847" w:name="Tc_6LgQjInPLUee7ng7gHnlBA_6_17"/>
      <w:bookmarkStart w:id="848" w:name="Tc_7HDMzOsIW06Y7ESZfaFoMQ_6_11"/>
      <w:bookmarkStart w:id="849" w:name="Tc_JwSA-SVAVUmb4zXhangEDA_6_8"/>
      <w:bookmarkStart w:id="850" w:name="Tc_rKmDZMxEG02jlf3GY0GP7Q_6_0"/>
      <w:bookmarkStart w:id="851" w:name="Tc_UOjNFerTbUyC1J7m83a4Eg_5_22"/>
      <w:bookmarkStart w:id="852" w:name="Tc_uFt0VSxW7EaMd36KGAOkvg_5_19"/>
      <w:bookmarkStart w:id="853" w:name="Tc_vv6ORcXkFEWLCuoKKeZ_QQ_5_16"/>
      <w:bookmarkStart w:id="854" w:name="Tc_iL0G56JVKkO6WTDkpGANDA_5_13"/>
      <w:bookmarkStart w:id="855" w:name="Tc_v0nf40uuRkesxjwPIRB7PA_5_11"/>
      <w:bookmarkStart w:id="856" w:name="Tc_5_shiibzAEi9Qx-MYYDA3Q_5_10"/>
      <w:bookmarkStart w:id="857" w:name="Tc_BLGtNTtFyka8MiDcIwF4XA_5_8"/>
      <w:bookmarkStart w:id="858" w:name="Tc_TKkDcCpSqUyibgqREIbhBg_5_7"/>
      <w:bookmarkStart w:id="859" w:name="Tc_qoJQZpOwuU6932JloD6TwQ_5_4"/>
      <w:bookmarkStart w:id="860" w:name="Tc_qgNtqjy1CU2nyIr4c6scBQ_5_0"/>
      <w:bookmarkStart w:id="861" w:name="Tc_kznl6hfY3E-pxODW4sdMIA_4_22"/>
      <w:bookmarkStart w:id="862" w:name="Tc_xoz0gxoTa0qBuEQGS4cO4g_4_19"/>
      <w:bookmarkStart w:id="863" w:name="Tc_C6oFNsiU10KHJSC7EJ0upA_4_16"/>
      <w:bookmarkStart w:id="864" w:name="Tc_V1G8jY-fL0e3uW03ycy01A_4_13"/>
      <w:bookmarkStart w:id="865" w:name="Tc_zAoLAaAjOkGFKK8v1tuwfQ_4_10"/>
      <w:bookmarkStart w:id="866" w:name="Tc_IKXQD1qsW06C0KMgulNhDw_4_7"/>
      <w:bookmarkStart w:id="867" w:name="Tc_7QMIKPRcaEeuS8cAhdjUwQ_4_4"/>
      <w:bookmarkStart w:id="868" w:name="Tc_VAGfdVTCN0CQKSYZ-vJCbQ_4_2"/>
      <w:bookmarkStart w:id="869" w:name="Tc_to4w2s3iYUuKw18ey9PJ6w_4_0"/>
      <w:bookmarkStart w:id="870" w:name="Tc_c80sF1u9iEWcOJU89nwBcg_3_16"/>
      <w:bookmarkStart w:id="871" w:name="Tc_7pp3vsXqGkCtr9N7BFzlMw_3_13"/>
      <w:bookmarkStart w:id="872" w:name="Tc_rDQvroBjl0GTDXmx3-YbYQ_3_10"/>
      <w:bookmarkStart w:id="873" w:name="Tc_XZX7EQ0elUSiJp1PFyyc6g_3_7"/>
      <w:bookmarkStart w:id="874" w:name="Tc_uW6PzMyEBE2uYmKUJ5WJaQ_3_2"/>
      <w:bookmarkStart w:id="875" w:name="Tc_2amCyRDH4U2Sj8jX1ELZnA_2_16"/>
      <w:bookmarkStart w:id="876" w:name="Tc_CGmOkuFah0OrGJF2HaZTcQ_2_13"/>
      <w:bookmarkStart w:id="877" w:name="Tc_pDlkJQDo-UGbSlRBRZsWSQ_1_16"/>
      <w:bookmarkStart w:id="878" w:name="_925839eb_6508_4ae3_855d_96a474395df0"/>
      <w:bookmarkStart w:id="879" w:name="Tc_OqmYhVwIh0W8C5Ug8Q8E3w_18_22"/>
      <w:bookmarkStart w:id="880" w:name="Tc_tCJsCXFKKEKXkwg4OTSDXQ_18_19"/>
      <w:bookmarkStart w:id="881" w:name="Tc_pI8EiTXBHk2FynPq10ATww_18_16"/>
      <w:bookmarkStart w:id="882" w:name="Tc_Tb4zPNEXsEWmnKfrSR3RqQ_18_13"/>
      <w:bookmarkStart w:id="883" w:name="Tc_Jj6Ld2E_hE2QlcbuZ_NcaA_18_11"/>
      <w:bookmarkStart w:id="884" w:name="Tc_j8dV71qRTkijaOYYAh9qWQ_18_10"/>
      <w:bookmarkStart w:id="885" w:name="Tc_tTDQ0toLbEC5Ng0drZhm4g_18_8"/>
      <w:bookmarkStart w:id="886" w:name="Tc_BzIGWM9R30-4sGT1ABxJlQ_18_7"/>
      <w:bookmarkStart w:id="887" w:name="Tc_g4n4TM7XbE6pZdzVq7DEWA_18_4"/>
      <w:bookmarkStart w:id="888" w:name="Tc_fGnRkb0CiUebWhJKw0Yq-Q_18_0"/>
      <w:bookmarkStart w:id="889" w:name="Tc_f6-nZbXwpESjNW2v9EM5rA_17_17"/>
      <w:bookmarkStart w:id="890" w:name="Tc__0t5FD8ivE2JiFqmThH1bg_17_14"/>
      <w:bookmarkStart w:id="891" w:name="Tc_Ui5oBjDJSU-hhJa3NMxmuA_17_11"/>
      <w:bookmarkStart w:id="892" w:name="Tc_EzDYJt1jIkONOeY6OMKggg_17_8"/>
      <w:bookmarkStart w:id="893" w:name="Tc_OJGZiLZg7UOQy9KFSgvTzg_17_5"/>
      <w:bookmarkStart w:id="894" w:name="Tc_0boUJSWyiEeectyTlP7okQ_17_2"/>
      <w:bookmarkStart w:id="895" w:name="Tc_kFSemTJQzUKCJl55hzU0QQ_17_0"/>
      <w:bookmarkStart w:id="896" w:name="Tc_nEHyPzjKy0Or41Icab-6oA_16_20"/>
      <w:bookmarkStart w:id="897" w:name="Tc_k0XMr1xNmE-WiXEe10tGWw_16_17"/>
      <w:bookmarkStart w:id="898" w:name="Tc_XBkkVUO_KEOdwk6aWkqB4Q_16_11"/>
      <w:bookmarkStart w:id="899" w:name="Tc_K1s-9mLgoESYG4RBujRTqQ_16_8"/>
      <w:bookmarkStart w:id="900" w:name="Tc_XHAbGzNOWEKmevJl3-YyhA_16_5"/>
      <w:bookmarkStart w:id="901" w:name="Tc_TusU9qs25kKBjb1autYlZg_16_2"/>
      <w:bookmarkStart w:id="902" w:name="Tc_l5VM2BOJnkO-mthM5xskuA_16_0"/>
      <w:bookmarkStart w:id="903" w:name="Tc_4Luiw7I1iEu9xlt9Zgdz3w_15_20"/>
      <w:bookmarkStart w:id="904" w:name="Tc_0GDpWw7VGUqa4WoAcN3-4Q_15_17"/>
      <w:bookmarkStart w:id="905" w:name="Tc_2SjqdoQ6u0e9TTLShyjgqg_15_11"/>
      <w:bookmarkStart w:id="906" w:name="Tc_Hw5aivfLXEWWPRoDSOpprA_15_8"/>
      <w:bookmarkStart w:id="907" w:name="Tc_wrjpcfd3Zk6epzE8R5sGcg_15_5"/>
      <w:bookmarkStart w:id="908" w:name="Tc_r7au4nPKAUyTTODu-FXCyA_15_2"/>
      <w:bookmarkStart w:id="909" w:name="Tc_9RqbZzyPtkqDzEPx6PXn0g_15_0"/>
      <w:bookmarkStart w:id="910" w:name="Tc_apaHrjWLw0ulivnEROhZ3g_14_20"/>
      <w:bookmarkStart w:id="911" w:name="Tc_lj_DFpCRnEuawGYMySnG7g_14_17"/>
      <w:bookmarkStart w:id="912" w:name="Tc_-1_tqS2nU0izVSUPsafWGg_14_11"/>
      <w:bookmarkStart w:id="913" w:name="Tc_8SeG8egtSESBEv6Ueb7YTA_14_8"/>
      <w:bookmarkStart w:id="914" w:name="Tc_Px_YKkitQUyDf8anFQx4-A_14_0"/>
      <w:bookmarkStart w:id="915" w:name="Tc_L_15D328MEK4ox5UqfbPVA_13_20"/>
      <w:bookmarkStart w:id="916" w:name="Tc_euO6GS10NkCb3fMmKhmZcw_13_17"/>
      <w:bookmarkStart w:id="917" w:name="Tc_jCLougXnC0S6ajz9HcdN-A_13_11"/>
      <w:bookmarkStart w:id="918" w:name="Tc_2LD77eNd8k-FHyMSTZryzg_13_8"/>
      <w:bookmarkStart w:id="919" w:name="Tc_d1nU6cs-5kOdcNDCJDdZ_Q_13_0"/>
      <w:bookmarkStart w:id="920" w:name="Tc_NeZ_GkDO6UWmYmj5tCiDMw_12_23"/>
      <w:bookmarkStart w:id="921" w:name="Tc_6HuPd3p8NkODlGC7SVP34A_12_20"/>
      <w:bookmarkStart w:id="922" w:name="Tc_HaYX6auqXEaNEFil4SPAJg_12_17"/>
      <w:bookmarkStart w:id="923" w:name="Tc_H-kMya4tvEGRxWtzv9Kxgg_12_11"/>
      <w:bookmarkStart w:id="924" w:name="Tc_wpUn_qY73E-XirzTYNM2uQ_12_8"/>
      <w:bookmarkStart w:id="925" w:name="Tc_O03L45rPX06Ydh-UErF4BQ_12_0"/>
      <w:bookmarkStart w:id="926" w:name="Tc_LYlP6U3dTEiGDi5_eTx6oQ_11_20"/>
      <w:bookmarkStart w:id="927" w:name="Tc_WBXV690ec0OG0KUuKuocGA_11_17"/>
      <w:bookmarkStart w:id="928" w:name="Tc__ZcL_B-bWUuwsdXvVp1QOA_11_11"/>
      <w:bookmarkStart w:id="929" w:name="Tc_jvLhF3Jb4EK_7ug5yraqLA_11_8"/>
      <w:bookmarkStart w:id="930" w:name="Tc_yP-qeAOcHUueUixjN1b10w_11_0"/>
      <w:bookmarkStart w:id="931" w:name="Tc_eQl_qsy6u0uSEQ_pG0Ca6g_10_20"/>
      <w:bookmarkStart w:id="932" w:name="Tc_300-pBtg4021cVcZupZzQQ_10_17"/>
      <w:bookmarkStart w:id="933" w:name="Tc_FRKA7JfCmUed3BPP2Kc-FQ_10_11"/>
      <w:bookmarkStart w:id="934" w:name="Tc_n9gLlnE6tkGFR-sAsNDWYA_10_8"/>
      <w:bookmarkStart w:id="935" w:name="Tc_xr9JoELFXEenxqseTuRTEw_10_0"/>
      <w:bookmarkStart w:id="936" w:name="Tc_zW-5ZAd0NEWpddStdxyyoA_9_20"/>
      <w:bookmarkStart w:id="937" w:name="Tc_D8MuibtlzUaS77KW7rYsLQ_9_17"/>
      <w:bookmarkStart w:id="938" w:name="Tc_1oG10FKIJkyDddevVK6JJQ_9_14"/>
      <w:bookmarkStart w:id="939" w:name="Tc_pNW-u_Jm1EOJg-bxTXrAjA_9_11"/>
      <w:bookmarkStart w:id="940" w:name="Tc_Asj8pdx0BUy5gbs2iowISA_9_8"/>
      <w:bookmarkStart w:id="941" w:name="Tc_i9ldJt-hjEGva-_jw8Xafg_9_0"/>
      <w:bookmarkStart w:id="942" w:name="Tc_0dS_SiCwq0-h2n8UBR1Bng_8_20"/>
      <w:bookmarkStart w:id="943" w:name="Tc_xCeL3xwNZEqAm8K8phOKXw_8_17"/>
      <w:bookmarkStart w:id="944" w:name="Tc_kema6WUYjEqBMmagPsAVrA_8_11"/>
      <w:bookmarkStart w:id="945" w:name="Tc_tHKvNj9ZeU23zAT3PGvG5A_8_8"/>
      <w:bookmarkStart w:id="946" w:name="Tc_GNebhcU1_k6FuOaeWrwSXw_8_0"/>
      <w:bookmarkStart w:id="947" w:name="Tc_kHwaqY7YtkqSRXdPmMTlPA_7_20"/>
      <w:bookmarkStart w:id="948" w:name="Tc_Qg8FdHVDGkK_VY660qvvaQ_7_17"/>
      <w:bookmarkStart w:id="949" w:name="Tc_6GiheZQG4EWDgL_wuBxSgQ_7_11"/>
      <w:bookmarkStart w:id="950" w:name="Tc_jxrENsI1EEacgLAhAeKaSg_7_8"/>
      <w:bookmarkStart w:id="951" w:name="Tc_bkxaKkPZY0u2gQ6vcx4K8Q_7_0"/>
      <w:bookmarkStart w:id="952" w:name="Tc_CK03JeOGJ0aL_fRYKtCMrQ_6_20"/>
      <w:bookmarkStart w:id="953" w:name="Tc_6LgQjInPLUee7ng7gHnlBA_6_17"/>
      <w:bookmarkStart w:id="954" w:name="Tc_7HDMzOsIW06Y7ESZfaFoMQ_6_11"/>
      <w:bookmarkStart w:id="955" w:name="Tc_JwSA-SVAVUmb4zXhangEDA_6_8"/>
      <w:bookmarkStart w:id="956" w:name="Tc_rKmDZMxEG02jlf3GY0GP7Q_6_0"/>
      <w:bookmarkStart w:id="957" w:name="Tc_UOjNFerTbUyC1J7m83a4Eg_5_22"/>
      <w:bookmarkStart w:id="958" w:name="Tc_uFt0VSxW7EaMd36KGAOkvg_5_19"/>
      <w:bookmarkStart w:id="959" w:name="Tc_vv6ORcXkFEWLCuoKKeZ_QQ_5_16"/>
      <w:bookmarkStart w:id="960" w:name="Tc_iL0G56JVKkO6WTDkpGANDA_5_13"/>
      <w:bookmarkStart w:id="961" w:name="Tc_v0nf40uuRkesxjwPIRB7PA_5_11"/>
      <w:bookmarkStart w:id="962" w:name="Tc_5_shiibzAEi9Qx-MYYDA3Q_5_10"/>
      <w:bookmarkStart w:id="963" w:name="Tc_BLGtNTtFyka8MiDcIwF4XA_5_8"/>
      <w:bookmarkStart w:id="964" w:name="Tc_TKkDcCpSqUyibgqREIbhBg_5_7"/>
      <w:bookmarkStart w:id="965" w:name="Tc_qoJQZpOwuU6932JloD6TwQ_5_4"/>
      <w:bookmarkStart w:id="966" w:name="Tc_qgNtqjy1CU2nyIr4c6scBQ_5_0"/>
      <w:bookmarkStart w:id="967" w:name="Tc_kznl6hfY3E-pxODW4sdMIA_4_22"/>
      <w:bookmarkStart w:id="968" w:name="Tc_xoz0gxoTa0qBuEQGS4cO4g_4_19"/>
      <w:bookmarkStart w:id="969" w:name="Tc_C6oFNsiU10KHJSC7EJ0upA_4_16"/>
      <w:bookmarkStart w:id="970" w:name="Tc_V1G8jY-fL0e3uW03ycy01A_4_13"/>
      <w:bookmarkStart w:id="971" w:name="Tc_zAoLAaAjOkGFKK8v1tuwfQ_4_10"/>
      <w:bookmarkStart w:id="972" w:name="Tc_IKXQD1qsW06C0KMgulNhDw_4_7"/>
      <w:bookmarkStart w:id="973" w:name="Tc_7QMIKPRcaEeuS8cAhdjUwQ_4_4"/>
      <w:bookmarkStart w:id="974" w:name="Tc_VAGfdVTCN0CQKSYZ-vJCbQ_4_2"/>
      <w:bookmarkStart w:id="975" w:name="Tc_to4w2s3iYUuKw18ey9PJ6w_4_0"/>
      <w:bookmarkStart w:id="976" w:name="Tc_c80sF1u9iEWcOJU89nwBcg_3_16"/>
      <w:bookmarkStart w:id="977" w:name="Tc_7pp3vsXqGkCtr9N7BFzlMw_3_13"/>
      <w:bookmarkStart w:id="978" w:name="Tc_rDQvroBjl0GTDXmx3-YbYQ_3_10"/>
      <w:bookmarkStart w:id="979" w:name="Tc_XZX7EQ0elUSiJp1PFyyc6g_3_7"/>
      <w:bookmarkStart w:id="980" w:name="Tc_uW6PzMyEBE2uYmKUJ5WJaQ_3_2"/>
      <w:bookmarkStart w:id="981" w:name="Tc_2amCyRDH4U2Sj8jX1ELZnA_2_16"/>
      <w:bookmarkStart w:id="982" w:name="Tc_CGmOkuFah0OrGJF2HaZTcQ_2_13"/>
      <w:bookmarkStart w:id="983" w:name="Tc_pDlkJQDo-UGbSlRBRZsWSQ_1_16"/>
      <w:bookmarkStart w:id="984" w:name="_925839eb_6508_4ae3_855d_96a474395df0"/>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p>
    <w:tbl>
      <w:tblPr>
        <w:tblW w:w="10280" w:type="dxa"/>
        <w:jc w:val="left"/>
        <w:tblInd w:w="0" w:type="dxa"/>
        <w:tblLayout w:type="fixed"/>
        <w:tblCellMar>
          <w:top w:w="0" w:type="dxa"/>
          <w:left w:w="0" w:type="dxa"/>
          <w:bottom w:w="0" w:type="dxa"/>
          <w:right w:w="0" w:type="dxa"/>
        </w:tblCellMar>
      </w:tblPr>
      <w:tblGrid>
        <w:gridCol w:w="1021"/>
        <w:gridCol w:w="346"/>
        <w:gridCol w:w="871"/>
        <w:gridCol w:w="346"/>
        <w:gridCol w:w="181"/>
        <w:gridCol w:w="601"/>
        <w:gridCol w:w="346"/>
        <w:gridCol w:w="252"/>
        <w:gridCol w:w="484"/>
        <w:gridCol w:w="346"/>
        <w:gridCol w:w="196"/>
        <w:gridCol w:w="375"/>
        <w:gridCol w:w="346"/>
        <w:gridCol w:w="187"/>
        <w:gridCol w:w="624"/>
        <w:gridCol w:w="346"/>
        <w:gridCol w:w="291"/>
        <w:gridCol w:w="805"/>
        <w:gridCol w:w="346"/>
        <w:gridCol w:w="181"/>
        <w:gridCol w:w="646"/>
        <w:gridCol w:w="346"/>
        <w:gridCol w:w="181"/>
        <w:gridCol w:w="616"/>
      </w:tblGrid>
      <w:tr>
        <w:trPr/>
        <w:tc>
          <w:tcPr>
            <w:tcW w:w="1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4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r>
      <w:tr>
        <w:trPr/>
        <w:tc>
          <w:tcPr>
            <w:tcW w:w="10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52" w:type="dxa"/>
            <w:tcBorders/>
            <w:vAlign w:val="center"/>
          </w:tcPr>
          <w:p>
            <w:pPr>
              <w:pStyle w:val="TableContents"/>
              <w:bidi w:val="0"/>
              <w:spacing w:before="0" w:after="0"/>
              <w:ind w:left="0" w:right="0" w:hanging="0"/>
              <w:jc w:val="center"/>
              <w:rPr/>
            </w:pPr>
            <w:r>
              <w:rPr/>
              <w:t>​</w:t>
            </w:r>
          </w:p>
        </w:tc>
        <w:tc>
          <w:tcPr>
            <w:tcW w:w="48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37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7" w:type="dxa"/>
            <w:tcBorders/>
            <w:vAlign w:val="center"/>
          </w:tcPr>
          <w:p>
            <w:pPr>
              <w:pStyle w:val="TableContents"/>
              <w:bidi w:val="0"/>
              <w:spacing w:before="0" w:after="0"/>
              <w:ind w:left="0" w:right="0" w:hanging="0"/>
              <w:jc w:val="center"/>
              <w:rPr/>
            </w:pPr>
            <w:r>
              <w:rPr/>
              <w:t>​</w:t>
            </w:r>
          </w:p>
        </w:tc>
        <w:tc>
          <w:tcPr>
            <w:tcW w:w="6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Accumulated</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r>
      <w:tr>
        <w:trPr/>
        <w:tc>
          <w:tcPr>
            <w:tcW w:w="10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52" w:type="dxa"/>
            <w:tcBorders/>
            <w:vAlign w:val="center"/>
          </w:tcPr>
          <w:p>
            <w:pPr>
              <w:pStyle w:val="TableContents"/>
              <w:bidi w:val="0"/>
              <w:spacing w:before="0" w:after="0"/>
              <w:ind w:left="0" w:right="0" w:hanging="0"/>
              <w:jc w:val="center"/>
              <w:rPr/>
            </w:pPr>
            <w:r>
              <w:rPr/>
              <w:t>​</w:t>
            </w:r>
          </w:p>
        </w:tc>
        <w:tc>
          <w:tcPr>
            <w:tcW w:w="4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Additional</w:t>
            </w:r>
          </w:p>
        </w:tc>
        <w:tc>
          <w:tcPr>
            <w:tcW w:w="346"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Other</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r>
      <w:tr>
        <w:trPr/>
        <w:tc>
          <w:tcPr>
            <w:tcW w:w="1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9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 Shares</w:t>
            </w:r>
          </w:p>
        </w:tc>
        <w:tc>
          <w:tcPr>
            <w:tcW w:w="346" w:type="dxa"/>
            <w:tcBorders/>
            <w:vAlign w:val="center"/>
          </w:tcPr>
          <w:p>
            <w:pPr>
              <w:pStyle w:val="TableContents"/>
              <w:bidi w:val="0"/>
              <w:spacing w:before="0" w:after="0"/>
              <w:ind w:left="0" w:right="0" w:hanging="0"/>
              <w:jc w:val="center"/>
              <w:rPr/>
            </w:pPr>
            <w:r>
              <w:rPr/>
              <w:t>​</w:t>
            </w:r>
          </w:p>
        </w:tc>
        <w:tc>
          <w:tcPr>
            <w:tcW w:w="736" w:type="dxa"/>
            <w:gridSpan w:val="2"/>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Preferred </w:t>
            </w:r>
          </w:p>
        </w:tc>
        <w:tc>
          <w:tcPr>
            <w:tcW w:w="346" w:type="dxa"/>
            <w:tcBorders/>
            <w:vAlign w:val="center"/>
          </w:tcPr>
          <w:p>
            <w:pPr>
              <w:pStyle w:val="TableContents"/>
              <w:bidi w:val="0"/>
              <w:spacing w:before="0" w:after="0"/>
              <w:ind w:left="0" w:right="0" w:hanging="0"/>
              <w:jc w:val="center"/>
              <w:rPr/>
            </w:pPr>
            <w:r>
              <w:rPr/>
              <w:t>​</w:t>
            </w:r>
          </w:p>
        </w:tc>
        <w:tc>
          <w:tcPr>
            <w:tcW w:w="571" w:type="dxa"/>
            <w:gridSpan w:val="2"/>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Special</w:t>
            </w:r>
          </w:p>
        </w:tc>
        <w:tc>
          <w:tcPr>
            <w:tcW w:w="346"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Paid in</w:t>
            </w:r>
          </w:p>
        </w:tc>
        <w:tc>
          <w:tcPr>
            <w:tcW w:w="346"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Comprehensive</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r>
      <w:tr>
        <w:trPr/>
        <w:tc>
          <w:tcPr>
            <w:tcW w:w="102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Six months ended June 30, 2025</w:t>
            </w:r>
          </w:p>
        </w:tc>
        <w:tc>
          <w:tcPr>
            <w:tcW w:w="346" w:type="dxa"/>
            <w:tcBorders/>
            <w:vAlign w:val="center"/>
          </w:tcPr>
          <w:p>
            <w:pPr>
              <w:pStyle w:val="TableContents"/>
              <w:bidi w:val="0"/>
              <w:spacing w:before="0" w:after="0"/>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Amount</w:t>
            </w:r>
          </w:p>
        </w:tc>
        <w:tc>
          <w:tcPr>
            <w:tcW w:w="346" w:type="dxa"/>
            <w:tcBorders/>
            <w:vAlign w:val="center"/>
          </w:tcPr>
          <w:p>
            <w:pPr>
              <w:pStyle w:val="TableContents"/>
              <w:bidi w:val="0"/>
              <w:spacing w:before="0" w:after="0"/>
              <w:ind w:left="0" w:right="0" w:hanging="0"/>
              <w:jc w:val="right"/>
              <w:rPr/>
            </w:pPr>
            <w:r>
              <w:rPr/>
              <w:t>  ​ ​ ​</w:t>
            </w:r>
          </w:p>
        </w:tc>
        <w:tc>
          <w:tcPr>
            <w:tcW w:w="73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0"/>
              <w:ind w:left="0" w:right="0" w:hanging="0"/>
              <w:jc w:val="center"/>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0"/>
              <w:ind w:left="0" w:right="0" w:hanging="0"/>
              <w:jc w:val="center"/>
              <w:rPr/>
            </w:pPr>
            <w:r>
              <w:rPr/>
              <w:t>  ​ ​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right"/>
              <w:rPr/>
            </w:pPr>
            <w:r>
              <w:rPr/>
              <w:t> </w:t>
            </w:r>
            <w:r>
              <w:rPr>
                <w:rFonts w:ascii="Times New Roman;Times;serif" w:hAnsi="Times New Roman;Times;serif"/>
                <w:b/>
                <w:sz w:val="15"/>
              </w:rPr>
              <w:t>Capital</w:t>
            </w:r>
          </w:p>
        </w:tc>
        <w:tc>
          <w:tcPr>
            <w:tcW w:w="346" w:type="dxa"/>
            <w:tcBorders/>
            <w:vAlign w:val="center"/>
          </w:tcPr>
          <w:p>
            <w:pPr>
              <w:pStyle w:val="TableContents"/>
              <w:bidi w:val="0"/>
              <w:spacing w:before="0" w:after="0"/>
              <w:ind w:left="0" w:right="0" w:hanging="0"/>
              <w:jc w:val="center"/>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right"/>
              <w:rPr/>
            </w:pPr>
            <w:r>
              <w:rPr/>
              <w:t> </w:t>
            </w:r>
            <w:r>
              <w:rPr>
                <w:rFonts w:ascii="Times New Roman;Times;serif" w:hAnsi="Times New Roman;Times;serif"/>
                <w:b/>
                <w:sz w:val="15"/>
              </w:rPr>
              <w:t>Loss</w:t>
            </w:r>
          </w:p>
        </w:tc>
        <w:tc>
          <w:tcPr>
            <w:tcW w:w="346" w:type="dxa"/>
            <w:tcBorders/>
            <w:vAlign w:val="center"/>
          </w:tcPr>
          <w:p>
            <w:pPr>
              <w:pStyle w:val="TableContents"/>
              <w:bidi w:val="0"/>
              <w:spacing w:before="0" w:after="0"/>
              <w:ind w:left="0" w:right="0" w:hanging="0"/>
              <w:jc w:val="center"/>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Deficit</w:t>
            </w:r>
          </w:p>
        </w:tc>
        <w:tc>
          <w:tcPr>
            <w:tcW w:w="346" w:type="dxa"/>
            <w:tcBorders/>
            <w:vAlign w:val="center"/>
          </w:tcPr>
          <w:p>
            <w:pPr>
              <w:pStyle w:val="TableContents"/>
              <w:bidi w:val="0"/>
              <w:spacing w:before="0" w:after="0"/>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Total</w:t>
            </w:r>
          </w:p>
        </w:tc>
      </w:tr>
      <w:tr>
        <w:trPr/>
        <w:tc>
          <w:tcPr>
            <w:tcW w:w="10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January 1, 2025</w:t>
            </w:r>
          </w:p>
        </w:tc>
        <w:tc>
          <w:tcPr>
            <w:tcW w:w="346" w:type="dxa"/>
            <w:tcBorders/>
            <w:shd w:fill="CCEEFF" w:val="clear"/>
            <w:vAlign w:val="center"/>
          </w:tcPr>
          <w:p>
            <w:pPr>
              <w:pStyle w:val="TableContents"/>
              <w:bidi w:val="0"/>
              <w:spacing w:before="0" w:after="0"/>
              <w:ind w:left="0" w:right="0" w:hanging="0"/>
              <w:jc w:val="center"/>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340,708,460</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477,217</w:t>
            </w:r>
          </w:p>
        </w:tc>
        <w:tc>
          <w:tcPr>
            <w:tcW w:w="346"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4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7"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138,303</w:t>
            </w:r>
          </w:p>
        </w:tc>
        <w:tc>
          <w:tcPr>
            <w:tcW w:w="346"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(1,203)</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(631,435)</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(17,118)</w:t>
            </w:r>
          </w:p>
        </w:tc>
      </w:tr>
      <w:tr>
        <w:trPr/>
        <w:tc>
          <w:tcPr>
            <w:tcW w:w="102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Issuance of shares and warrants to Korea Zinc, net of expenses </w:t>
            </w:r>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19,623,376</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71,686</w:t>
            </w:r>
          </w:p>
        </w:tc>
        <w:tc>
          <w:tcPr>
            <w:tcW w:w="346"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right"/>
              <w:rPr/>
            </w:pPr>
            <w:r>
              <w:rPr/>
              <w:t>​</w:t>
            </w:r>
          </w:p>
        </w:tc>
        <w:tc>
          <w:tcPr>
            <w:tcW w:w="4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13,432</w:t>
            </w:r>
          </w:p>
        </w:tc>
        <w:tc>
          <w:tcPr>
            <w:tcW w:w="346"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85,118</w:t>
            </w:r>
          </w:p>
        </w:tc>
      </w:tr>
      <w:tr>
        <w:trPr/>
        <w:tc>
          <w:tcPr>
            <w:tcW w:w="10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Issuance of shares and warrants under 2025 Registered Direct Offering, net of expenses </w:t>
            </w:r>
          </w:p>
        </w:tc>
        <w:tc>
          <w:tcPr>
            <w:tcW w:w="346" w:type="dxa"/>
            <w:tcBorders/>
            <w:shd w:fill="CCEEFF" w:val="clear"/>
            <w:vAlign w:val="center"/>
          </w:tcPr>
          <w:p>
            <w:pPr>
              <w:pStyle w:val="TableContents"/>
              <w:bidi w:val="0"/>
              <w:spacing w:before="0" w:after="0"/>
              <w:ind w:left="0" w:right="0" w:hanging="0"/>
              <w:jc w:val="center"/>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9,000,000</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17,640</w:t>
            </w:r>
          </w:p>
        </w:tc>
        <w:tc>
          <w:tcPr>
            <w:tcW w:w="346"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right"/>
              <w:rPr/>
            </w:pPr>
            <w:r>
              <w:rPr/>
              <w:t>​</w:t>
            </w:r>
          </w:p>
        </w:tc>
        <w:tc>
          <w:tcPr>
            <w:tcW w:w="4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12,087</w:t>
            </w:r>
          </w:p>
        </w:tc>
        <w:tc>
          <w:tcPr>
            <w:tcW w:w="346"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29,727</w:t>
            </w:r>
          </w:p>
        </w:tc>
      </w:tr>
      <w:tr>
        <w:trPr/>
        <w:tc>
          <w:tcPr>
            <w:tcW w:w="102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Issuance of shares and warrants under 2024 Registered Direct Offering, net of expenses </w:t>
            </w:r>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5,000,000</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2,237</w:t>
            </w:r>
          </w:p>
        </w:tc>
        <w:tc>
          <w:tcPr>
            <w:tcW w:w="346"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right"/>
              <w:rPr/>
            </w:pPr>
            <w:r>
              <w:rPr/>
              <w:t>​</w:t>
            </w:r>
          </w:p>
        </w:tc>
        <w:tc>
          <w:tcPr>
            <w:tcW w:w="4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2,763</w:t>
            </w:r>
          </w:p>
        </w:tc>
        <w:tc>
          <w:tcPr>
            <w:tcW w:w="346"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5,000</w:t>
            </w:r>
          </w:p>
        </w:tc>
      </w:tr>
      <w:tr>
        <w:trPr/>
        <w:tc>
          <w:tcPr>
            <w:tcW w:w="10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Shares issued from ATM </w:t>
            </w:r>
          </w:p>
        </w:tc>
        <w:tc>
          <w:tcPr>
            <w:tcW w:w="346" w:type="dxa"/>
            <w:tcBorders/>
            <w:shd w:fill="CCEEFF" w:val="clear"/>
            <w:vAlign w:val="center"/>
          </w:tcPr>
          <w:p>
            <w:pPr>
              <w:pStyle w:val="TableContents"/>
              <w:bidi w:val="0"/>
              <w:spacing w:before="0" w:after="0"/>
              <w:ind w:left="0" w:right="0" w:hanging="0"/>
              <w:jc w:val="center"/>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7,542,996</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14,784</w:t>
            </w:r>
          </w:p>
        </w:tc>
        <w:tc>
          <w:tcPr>
            <w:tcW w:w="346"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right"/>
              <w:rPr/>
            </w:pPr>
            <w:r>
              <w:rPr/>
              <w:t>​</w:t>
            </w:r>
          </w:p>
        </w:tc>
        <w:tc>
          <w:tcPr>
            <w:tcW w:w="4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14,784</w:t>
            </w:r>
          </w:p>
        </w:tc>
      </w:tr>
      <w:tr>
        <w:trPr/>
        <w:tc>
          <w:tcPr>
            <w:tcW w:w="102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Exercise of Class A warrants </w:t>
            </w:r>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250,000</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724</w:t>
            </w:r>
          </w:p>
        </w:tc>
        <w:tc>
          <w:tcPr>
            <w:tcW w:w="346"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right"/>
              <w:rPr/>
            </w:pPr>
            <w:r>
              <w:rPr/>
              <w:t>​</w:t>
            </w:r>
          </w:p>
        </w:tc>
        <w:tc>
          <w:tcPr>
            <w:tcW w:w="4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3,053</w:t>
            </w:r>
          </w:p>
        </w:tc>
        <w:tc>
          <w:tcPr>
            <w:tcW w:w="346"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3,777</w:t>
            </w:r>
          </w:p>
        </w:tc>
      </w:tr>
      <w:tr>
        <w:trPr/>
        <w:tc>
          <w:tcPr>
            <w:tcW w:w="10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Exercise of Class B warrants</w:t>
            </w:r>
          </w:p>
        </w:tc>
        <w:tc>
          <w:tcPr>
            <w:tcW w:w="346" w:type="dxa"/>
            <w:tcBorders/>
            <w:shd w:fill="CCEEFF" w:val="clear"/>
            <w:vAlign w:val="center"/>
          </w:tcPr>
          <w:p>
            <w:pPr>
              <w:pStyle w:val="TableContents"/>
              <w:bidi w:val="0"/>
              <w:spacing w:before="0" w:after="0"/>
              <w:ind w:left="0" w:right="0" w:hanging="0"/>
              <w:jc w:val="center"/>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4,833,096</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6,451</w:t>
            </w:r>
          </w:p>
        </w:tc>
        <w:tc>
          <w:tcPr>
            <w:tcW w:w="346"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right"/>
              <w:rPr/>
            </w:pPr>
            <w:r>
              <w:rPr/>
              <w:t>​</w:t>
            </w:r>
          </w:p>
        </w:tc>
        <w:tc>
          <w:tcPr>
            <w:tcW w:w="4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(3,801)</w:t>
            </w:r>
          </w:p>
        </w:tc>
        <w:tc>
          <w:tcPr>
            <w:tcW w:w="346"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2,650</w:t>
            </w:r>
          </w:p>
        </w:tc>
      </w:tr>
      <w:tr>
        <w:trPr/>
        <w:tc>
          <w:tcPr>
            <w:tcW w:w="102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Conversion of restricted share units, net of shares withheld for taxes </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9,472,733</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14,042</w:t>
            </w:r>
          </w:p>
        </w:tc>
        <w:tc>
          <w:tcPr>
            <w:tcW w:w="346"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right"/>
              <w:rPr/>
            </w:pPr>
            <w:r>
              <w:rPr/>
              <w:t>​</w:t>
            </w:r>
          </w:p>
        </w:tc>
        <w:tc>
          <w:tcPr>
            <w:tcW w:w="4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(14,042)</w:t>
            </w:r>
          </w:p>
        </w:tc>
        <w:tc>
          <w:tcPr>
            <w:tcW w:w="346"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10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Exercise of stock options </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712,124</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1,453</w:t>
            </w:r>
          </w:p>
        </w:tc>
        <w:tc>
          <w:tcPr>
            <w:tcW w:w="346"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right"/>
              <w:rPr/>
            </w:pPr>
            <w:r>
              <w:rPr/>
              <w:t>​</w:t>
            </w:r>
          </w:p>
        </w:tc>
        <w:tc>
          <w:tcPr>
            <w:tcW w:w="4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(991)</w:t>
            </w:r>
          </w:p>
        </w:tc>
        <w:tc>
          <w:tcPr>
            <w:tcW w:w="346"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462</w:t>
            </w:r>
          </w:p>
        </w:tc>
      </w:tr>
      <w:tr>
        <w:trPr/>
        <w:tc>
          <w:tcPr>
            <w:tcW w:w="102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Share purchase under Employee Share Purchase Plan </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12,533</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w:t>
            </w:r>
          </w:p>
        </w:tc>
        <w:tc>
          <w:tcPr>
            <w:tcW w:w="346"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right"/>
              <w:rPr/>
            </w:pPr>
            <w:r>
              <w:rPr/>
              <w:t>​</w:t>
            </w:r>
          </w:p>
        </w:tc>
        <w:tc>
          <w:tcPr>
            <w:tcW w:w="4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w:t>
            </w:r>
          </w:p>
        </w:tc>
      </w:tr>
      <w:tr>
        <w:trPr/>
        <w:tc>
          <w:tcPr>
            <w:tcW w:w="10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Nauru Warrant Cost </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right"/>
              <w:rPr/>
            </w:pPr>
            <w:r>
              <w:rPr/>
              <w:t>​</w:t>
            </w:r>
          </w:p>
        </w:tc>
        <w:tc>
          <w:tcPr>
            <w:tcW w:w="4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33,079</w:t>
            </w:r>
          </w:p>
        </w:tc>
        <w:tc>
          <w:tcPr>
            <w:tcW w:w="346"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33,079</w:t>
            </w:r>
          </w:p>
        </w:tc>
      </w:tr>
      <w:tr>
        <w:trPr/>
        <w:tc>
          <w:tcPr>
            <w:tcW w:w="102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Share-based compensation and expenses settled with equity </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right"/>
              <w:rPr/>
            </w:pPr>
            <w:r>
              <w:rPr/>
              <w:t>​</w:t>
            </w:r>
          </w:p>
        </w:tc>
        <w:tc>
          <w:tcPr>
            <w:tcW w:w="4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19,300</w:t>
            </w:r>
          </w:p>
        </w:tc>
        <w:tc>
          <w:tcPr>
            <w:tcW w:w="346"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19,300</w:t>
            </w:r>
          </w:p>
        </w:tc>
      </w:tr>
      <w:tr>
        <w:trPr/>
        <w:tc>
          <w:tcPr>
            <w:tcW w:w="10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Loss for the period</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(94,929)</w:t>
            </w:r>
          </w:p>
        </w:tc>
        <w:tc>
          <w:tcPr>
            <w:tcW w:w="346" w:type="dxa"/>
            <w:tcBorders/>
            <w:shd w:fill="CCEEFF" w:val="clear"/>
            <w:vAlign w:val="center"/>
          </w:tcPr>
          <w:p>
            <w:pPr>
              <w:pStyle w:val="TableContents"/>
              <w:bidi w:val="0"/>
              <w:spacing w:before="0" w:after="0"/>
              <w:ind w:left="0" w:right="0" w:hanging="0"/>
              <w:jc w:val="righ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(94,929)</w:t>
            </w:r>
          </w:p>
        </w:tc>
      </w:tr>
      <w:tr>
        <w:trPr/>
        <w:tc>
          <w:tcPr>
            <w:tcW w:w="1021" w:type="dxa"/>
            <w:tcBorders/>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June 30, 2025</w:t>
            </w:r>
          </w:p>
        </w:tc>
        <w:tc>
          <w:tcPr>
            <w:tcW w:w="34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397,155,318</w:t>
            </w:r>
          </w:p>
        </w:tc>
        <w:tc>
          <w:tcPr>
            <w:tcW w:w="346" w:type="dxa"/>
            <w:tcBorders/>
            <w:vAlign w:val="center"/>
          </w:tcPr>
          <w:p>
            <w:pPr>
              <w:pStyle w:val="TableContents"/>
              <w:bidi w:val="0"/>
              <w:spacing w:before="0" w:after="0"/>
              <w:ind w:left="0" w:right="0" w:hanging="0"/>
              <w:jc w:val="righ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606,246</w:t>
            </w:r>
          </w:p>
        </w:tc>
        <w:tc>
          <w:tcPr>
            <w:tcW w:w="346" w:type="dxa"/>
            <w:tcBorders/>
            <w:vAlign w:val="center"/>
          </w:tcPr>
          <w:p>
            <w:pPr>
              <w:pStyle w:val="TableContents"/>
              <w:bidi w:val="0"/>
              <w:spacing w:before="0" w:after="0"/>
              <w:ind w:left="0" w:right="0" w:hanging="0"/>
              <w:jc w:val="right"/>
              <w:rPr/>
            </w:pPr>
            <w:r>
              <w:rPr/>
              <w:t> </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4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18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203,181</w:t>
            </w:r>
          </w:p>
        </w:tc>
        <w:tc>
          <w:tcPr>
            <w:tcW w:w="346" w:type="dxa"/>
            <w:tcBorders/>
            <w:vAlign w:val="center"/>
          </w:tcPr>
          <w:p>
            <w:pPr>
              <w:pStyle w:val="TableContents"/>
              <w:bidi w:val="0"/>
              <w:spacing w:before="0" w:after="0"/>
              <w:ind w:left="0" w:right="0" w:hanging="0"/>
              <w:jc w:val="right"/>
              <w:rPr/>
            </w:pPr>
            <w:r>
              <w:rPr/>
              <w:t> </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(1,203)</w:t>
            </w:r>
          </w:p>
        </w:tc>
        <w:tc>
          <w:tcPr>
            <w:tcW w:w="346" w:type="dxa"/>
            <w:tcBorders/>
            <w:vAlign w:val="center"/>
          </w:tcPr>
          <w:p>
            <w:pPr>
              <w:pStyle w:val="TableContents"/>
              <w:bidi w:val="0"/>
              <w:spacing w:before="0" w:after="0"/>
              <w:ind w:left="0" w:right="0" w:hanging="0"/>
              <w:jc w:val="righ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(726,364)</w:t>
            </w:r>
          </w:p>
        </w:tc>
        <w:tc>
          <w:tcPr>
            <w:tcW w:w="346" w:type="dxa"/>
            <w:tcBorders/>
            <w:vAlign w:val="center"/>
          </w:tcPr>
          <w:p>
            <w:pPr>
              <w:pStyle w:val="TableContents"/>
              <w:bidi w:val="0"/>
              <w:spacing w:before="0" w:after="0"/>
              <w:ind w:left="0" w:right="0" w:hanging="0"/>
              <w:jc w:val="righ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16" w:type="dxa"/>
            <w:tcBorders>
              <w:bottom w:val="single" w:sz="2"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b/>
                <w:sz w:val="15"/>
              </w:rPr>
            </w:pPr>
            <w:r>
              <w:rPr>
                <w:rFonts w:ascii="Times New Roman;Times;serif" w:hAnsi="Times New Roman;Times;serif"/>
                <w:b/>
                <w:sz w:val="15"/>
              </w:rPr>
              <w:t>81,860</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condensed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985" w:name="_23240654_934f_477c_8e37_c04e7782168e"/>
      <w:bookmarkEnd w:id="985"/>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bookmarkStart w:id="986" w:name="CondensedConsolidatedStatementsofCashFlo"/>
      <w:bookmarkEnd w:id="986"/>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987" w:name="Tc_griXAg0X5Uq760oD2NMo4A_47_4"/>
      <w:bookmarkStart w:id="988" w:name="Tc_ga8En79s-kebu7BpDtDgPA_47_0"/>
      <w:bookmarkStart w:id="989" w:name="Tc_hYaZoOHkfEyzivt4GEMSgg_46_0"/>
      <w:bookmarkStart w:id="990" w:name="Tc_w33y3FRPUEOh3vmB_Wl62g_45_0"/>
      <w:bookmarkStart w:id="991" w:name="Tc_rXwLOLBAwE2jXGk10az3iw_44_4"/>
      <w:bookmarkStart w:id="992" w:name="Tc_re11Oz1sqE-qrc-hwTDNIQ_44_0"/>
      <w:bookmarkStart w:id="993" w:name="Tc_itwNjfGUyk2uTWwGOAoUZQ_42_0"/>
      <w:bookmarkStart w:id="994" w:name="Tc_4BG39rlsG0K-nTg1ic_mXA_41_2"/>
      <w:bookmarkStart w:id="995" w:name="Tc_Eiq5ndy24kGuRhWWifq-_A_41_0"/>
      <w:bookmarkStart w:id="996" w:name="Tc_TCc4D4lABE2W861LE2i4BQ_40_2"/>
      <w:bookmarkStart w:id="997" w:name="Tc_M2yH3bwas0-5Ty1e9egZXw_40_0"/>
      <w:bookmarkStart w:id="998" w:name="Tc_V6mQ33BPc0GEd9Y0ivwZmA_39_5"/>
      <w:bookmarkStart w:id="999" w:name="Tc_di4FIe280UG-NQ7sfn8FGA_39_0"/>
      <w:bookmarkStart w:id="1000" w:name="Tc_AbYMHl-jt0S_H6Z58xRmNA_38_5"/>
      <w:bookmarkStart w:id="1001" w:name="Tc_QmJ7z_RJo0ayG39rn9BsXg_38_0"/>
      <w:bookmarkStart w:id="1002" w:name="Tc_Vk56bDHYuEeYy5UShveQjg_37_5"/>
      <w:bookmarkStart w:id="1003" w:name="Tc_N40HnKeBrkqID4NCSD0eiw_37_0"/>
      <w:bookmarkStart w:id="1004" w:name="Tc_9Rnw8Gv0a0W6fCjX230fDA_36_5"/>
      <w:bookmarkStart w:id="1005" w:name="Tc_QaI66wnIB0-uxzvw3dU7qA_36_0"/>
      <w:bookmarkStart w:id="1006" w:name="Tc_lGU_dZprPUmhLTjYL_7LOg_35_5"/>
      <w:bookmarkStart w:id="1007" w:name="Tc_y2kHVeoHbE2RU7mrAzJI6g_35_0"/>
      <w:bookmarkStart w:id="1008" w:name="Tc_Pp7E7Qm3bkWwkvIuGUQC5A_34_5"/>
      <w:bookmarkStart w:id="1009" w:name="Tc_sTIJuT7YXEqttTBlK9uHjQ_34_0"/>
      <w:bookmarkStart w:id="1010" w:name="Tc_plR7Kkz7KkGhkHNDfxTWdg_33_5"/>
      <w:bookmarkStart w:id="1011" w:name="Tc_2Yg3gXxBJ0OLe_Oeg_HiKA_33_0"/>
      <w:bookmarkStart w:id="1012" w:name="Tc_Wij7wp26IUWVu-nrhwGabw_32_5"/>
      <w:bookmarkStart w:id="1013" w:name="Tc_A8uPRFGoA0iZ1x9wDwJ1jg_32_0"/>
      <w:bookmarkStart w:id="1014" w:name="Tc_mlDtgfYHLU2ni6J35wSLBQ_31_0"/>
      <w:bookmarkStart w:id="1015" w:name="Tc_B0UvZXwbcUm2buXKz2wVwQ_29_0"/>
      <w:bookmarkStart w:id="1016" w:name="Tc_tjrQT1UxD02RExzr16MRbQ_28_2"/>
      <w:bookmarkStart w:id="1017" w:name="Tc_vA45HlUNJUmUgAPy8AvhWQ_28_0"/>
      <w:bookmarkStart w:id="1018" w:name="Tc_xZwOT8vGhkSeM0N0WHkXXA_27_0"/>
      <w:bookmarkStart w:id="1019" w:name="Tc_Th5RoZp_M0aaza9FjXRPSw_26_8"/>
      <w:bookmarkStart w:id="1020" w:name="Tc_TW9tHWnlvk25_85nfjm1mQ_26_2"/>
      <w:bookmarkStart w:id="1021" w:name="Tc_NUCRFbVCdU-Api57UZzL4A_26_0"/>
      <w:bookmarkStart w:id="1022" w:name="Tc_yrnRXwxcIEWop6yl95lXEw_24_0"/>
      <w:bookmarkStart w:id="1023" w:name="Tc_YiKGkjYT7EeF549LQpZHcQ_22_0"/>
      <w:bookmarkStart w:id="1024" w:name="Tc_pCCjx4Hde0a0anANa09EJA_21_0"/>
      <w:bookmarkStart w:id="1025" w:name="Tc_voTOKN0flE2fX6xh0Z-Bow_20_0"/>
      <w:bookmarkStart w:id="1026" w:name="Tc_KA-p2_f0pkaRhWXdWRWVjQ_19_0"/>
      <w:bookmarkStart w:id="1027" w:name="Tc_pucHuHxT10SQWOkS61Ru4g_18_5"/>
      <w:bookmarkStart w:id="1028" w:name="Tc_Zgp6R_kJ_0-bngDjDtTjww_18_0"/>
      <w:bookmarkStart w:id="1029" w:name="Tc_3HD0y1ULvk65zU3fcFQr-w_17_0"/>
      <w:bookmarkStart w:id="1030" w:name="Tc_6KGw-mQWtU-c31moOyQQmg_16_2"/>
      <w:bookmarkStart w:id="1031" w:name="Tc_mTeltKS-00aiCvTo_2QRYA_16_0"/>
      <w:bookmarkStart w:id="1032" w:name="Tc_tScdyKZDLk-OdTPgcfZPpA_15_8"/>
      <w:bookmarkStart w:id="1033" w:name="Tc_69rxsJAkNkGp_a31B4kvnA_15_2"/>
      <w:bookmarkStart w:id="1034" w:name="Tc_FQcv5LlqgU-X6ICzwou9Hw_15_0"/>
      <w:bookmarkStart w:id="1035" w:name="Tc_DHDhodoHtUiFshzOCn_4Lw_14_2"/>
      <w:bookmarkStart w:id="1036" w:name="Tc_DqF8GiVwzkm2IgQGCUimzg_14_0"/>
      <w:bookmarkStart w:id="1037" w:name="Tc_Zz7AWRFxCEuxLZxJ3nCUqQ_13_2"/>
      <w:bookmarkStart w:id="1038" w:name="Tc_SmQP_HPHWkm4jfdOU9T3eg_13_0"/>
      <w:bookmarkStart w:id="1039" w:name="Tc_QcGgeWC9skuY1CrSs2XF6A_12_8"/>
      <w:bookmarkStart w:id="1040" w:name="Tc_abTBu9lKvUWd4ZA7_mX_Ww_12_2"/>
      <w:bookmarkStart w:id="1041" w:name="Tc_ghShS1vRD0ifSlg8ls5w6g_12_0"/>
      <w:bookmarkStart w:id="1042" w:name="Tc_RhhgkLA0BU6NEyX8lS-4MA_11_8"/>
      <w:bookmarkStart w:id="1043" w:name="Tc_Gs0mpQxSf0mDczm4nd9o6Q_11_2"/>
      <w:bookmarkStart w:id="1044" w:name="Tc_z6tx5eVc-0WT4y0hVCSsSw_11_0"/>
      <w:bookmarkStart w:id="1045" w:name="Tc_nR76f4MBA0mOvtcWNQqeXQ_10_2"/>
      <w:bookmarkStart w:id="1046" w:name="Tc_d-PqTTwOkkedzSUPYlrRuw_10_0"/>
      <w:bookmarkStart w:id="1047" w:name="Tc_EidmiwB-6kyA9Y5cKWLfiQ_9_5"/>
      <w:bookmarkStart w:id="1048" w:name="Tc_S1Ze6hskAEqiI2t7rPRYpQ_9_0"/>
      <w:bookmarkStart w:id="1049" w:name="Tc_9yhHqMZHgU-9qSbTFJ8dMg_8_0"/>
      <w:bookmarkStart w:id="1050" w:name="Tc_9Kjn6fAvgE2isOE-Rq234g_7_5"/>
      <w:bookmarkStart w:id="1051" w:name="Tc_XSFjU6WXCkKYKLzdnnIWqA_7_0"/>
      <w:bookmarkStart w:id="1052" w:name="Tc_7l2lLyNrdUKP5vCL7rPkKg_6_0"/>
      <w:bookmarkStart w:id="1053" w:name="Tc_AthTyjKmkkKV8cOPGf4ITw_5_7"/>
      <w:bookmarkStart w:id="1054" w:name="Tc_WisekjaPYkGDF5JQK-bZvw_5_4"/>
      <w:bookmarkStart w:id="1055" w:name="Tc_xuWfAdKJDkqoV3M2f17e0w_5_0"/>
      <w:bookmarkStart w:id="1056" w:name="Tc_VRksUy_I_U22UyfHtoeBJQ_4_0"/>
      <w:bookmarkStart w:id="1057" w:name="Tc_5re--6spVkm7oMhH4edA6A_3_7"/>
      <w:bookmarkStart w:id="1058" w:name="Tc_DAKEAAycp0GIuspBdiLZjw_3_4"/>
      <w:bookmarkStart w:id="1059" w:name="Tc_lM-5i_lAYk2G8Pue8yVnmA_3_2"/>
      <w:bookmarkStart w:id="1060" w:name="Tc_fS0vzxUSQU2CaG0UduuH3Q_2_7"/>
      <w:bookmarkStart w:id="1061" w:name="Tc_VHl3Z9jcOE2a2EoYLO4OVg_2_4"/>
      <w:bookmarkStart w:id="1062" w:name="Tc_GAv4O3Oby06t1BLdEP0Zlg_1_7"/>
      <w:bookmarkStart w:id="1063" w:name="Tc_hahhtCpQ3keKAi6hymIXvA_1_4"/>
      <w:bookmarkStart w:id="1064" w:name="_a3886705_20ae_4cc1_bf7f_1fb3bb61d2e3"/>
      <w:bookmarkStart w:id="1065" w:name="Tc_griXAg0X5Uq760oD2NMo4A_47_4"/>
      <w:bookmarkStart w:id="1066" w:name="Tc_ga8En79s-kebu7BpDtDgPA_47_0"/>
      <w:bookmarkStart w:id="1067" w:name="Tc_hYaZoOHkfEyzivt4GEMSgg_46_0"/>
      <w:bookmarkStart w:id="1068" w:name="Tc_w33y3FRPUEOh3vmB_Wl62g_45_0"/>
      <w:bookmarkStart w:id="1069" w:name="Tc_rXwLOLBAwE2jXGk10az3iw_44_4"/>
      <w:bookmarkStart w:id="1070" w:name="Tc_re11Oz1sqE-qrc-hwTDNIQ_44_0"/>
      <w:bookmarkStart w:id="1071" w:name="Tc_itwNjfGUyk2uTWwGOAoUZQ_42_0"/>
      <w:bookmarkStart w:id="1072" w:name="Tc_4BG39rlsG0K-nTg1ic_mXA_41_2"/>
      <w:bookmarkStart w:id="1073" w:name="Tc_Eiq5ndy24kGuRhWWifq-_A_41_0"/>
      <w:bookmarkStart w:id="1074" w:name="Tc_TCc4D4lABE2W861LE2i4BQ_40_2"/>
      <w:bookmarkStart w:id="1075" w:name="Tc_M2yH3bwas0-5Ty1e9egZXw_40_0"/>
      <w:bookmarkStart w:id="1076" w:name="Tc_V6mQ33BPc0GEd9Y0ivwZmA_39_5"/>
      <w:bookmarkStart w:id="1077" w:name="Tc_di4FIe280UG-NQ7sfn8FGA_39_0"/>
      <w:bookmarkStart w:id="1078" w:name="Tc_AbYMHl-jt0S_H6Z58xRmNA_38_5"/>
      <w:bookmarkStart w:id="1079" w:name="Tc_QmJ7z_RJo0ayG39rn9BsXg_38_0"/>
      <w:bookmarkStart w:id="1080" w:name="Tc_Vk56bDHYuEeYy5UShveQjg_37_5"/>
      <w:bookmarkStart w:id="1081" w:name="Tc_N40HnKeBrkqID4NCSD0eiw_37_0"/>
      <w:bookmarkStart w:id="1082" w:name="Tc_9Rnw8Gv0a0W6fCjX230fDA_36_5"/>
      <w:bookmarkStart w:id="1083" w:name="Tc_QaI66wnIB0-uxzvw3dU7qA_36_0"/>
      <w:bookmarkStart w:id="1084" w:name="Tc_lGU_dZprPUmhLTjYL_7LOg_35_5"/>
      <w:bookmarkStart w:id="1085" w:name="Tc_y2kHVeoHbE2RU7mrAzJI6g_35_0"/>
      <w:bookmarkStart w:id="1086" w:name="Tc_Pp7E7Qm3bkWwkvIuGUQC5A_34_5"/>
      <w:bookmarkStart w:id="1087" w:name="Tc_sTIJuT7YXEqttTBlK9uHjQ_34_0"/>
      <w:bookmarkStart w:id="1088" w:name="Tc_plR7Kkz7KkGhkHNDfxTWdg_33_5"/>
      <w:bookmarkStart w:id="1089" w:name="Tc_2Yg3gXxBJ0OLe_Oeg_HiKA_33_0"/>
      <w:bookmarkStart w:id="1090" w:name="Tc_Wij7wp26IUWVu-nrhwGabw_32_5"/>
      <w:bookmarkStart w:id="1091" w:name="Tc_A8uPRFGoA0iZ1x9wDwJ1jg_32_0"/>
      <w:bookmarkStart w:id="1092" w:name="Tc_mlDtgfYHLU2ni6J35wSLBQ_31_0"/>
      <w:bookmarkStart w:id="1093" w:name="Tc_B0UvZXwbcUm2buXKz2wVwQ_29_0"/>
      <w:bookmarkStart w:id="1094" w:name="Tc_tjrQT1UxD02RExzr16MRbQ_28_2"/>
      <w:bookmarkStart w:id="1095" w:name="Tc_vA45HlUNJUmUgAPy8AvhWQ_28_0"/>
      <w:bookmarkStart w:id="1096" w:name="Tc_xZwOT8vGhkSeM0N0WHkXXA_27_0"/>
      <w:bookmarkStart w:id="1097" w:name="Tc_Th5RoZp_M0aaza9FjXRPSw_26_8"/>
      <w:bookmarkStart w:id="1098" w:name="Tc_TW9tHWnlvk25_85nfjm1mQ_26_2"/>
      <w:bookmarkStart w:id="1099" w:name="Tc_NUCRFbVCdU-Api57UZzL4A_26_0"/>
      <w:bookmarkStart w:id="1100" w:name="Tc_yrnRXwxcIEWop6yl95lXEw_24_0"/>
      <w:bookmarkStart w:id="1101" w:name="Tc_YiKGkjYT7EeF549LQpZHcQ_22_0"/>
      <w:bookmarkStart w:id="1102" w:name="Tc_pCCjx4Hde0a0anANa09EJA_21_0"/>
      <w:bookmarkStart w:id="1103" w:name="Tc_voTOKN0flE2fX6xh0Z-Bow_20_0"/>
      <w:bookmarkStart w:id="1104" w:name="Tc_KA-p2_f0pkaRhWXdWRWVjQ_19_0"/>
      <w:bookmarkStart w:id="1105" w:name="Tc_pucHuHxT10SQWOkS61Ru4g_18_5"/>
      <w:bookmarkStart w:id="1106" w:name="Tc_Zgp6R_kJ_0-bngDjDtTjww_18_0"/>
      <w:bookmarkStart w:id="1107" w:name="Tc_3HD0y1ULvk65zU3fcFQr-w_17_0"/>
      <w:bookmarkStart w:id="1108" w:name="Tc_6KGw-mQWtU-c31moOyQQmg_16_2"/>
      <w:bookmarkStart w:id="1109" w:name="Tc_mTeltKS-00aiCvTo_2QRYA_16_0"/>
      <w:bookmarkStart w:id="1110" w:name="Tc_tScdyKZDLk-OdTPgcfZPpA_15_8"/>
      <w:bookmarkStart w:id="1111" w:name="Tc_69rxsJAkNkGp_a31B4kvnA_15_2"/>
      <w:bookmarkStart w:id="1112" w:name="Tc_FQcv5LlqgU-X6ICzwou9Hw_15_0"/>
      <w:bookmarkStart w:id="1113" w:name="Tc_DHDhodoHtUiFshzOCn_4Lw_14_2"/>
      <w:bookmarkStart w:id="1114" w:name="Tc_DqF8GiVwzkm2IgQGCUimzg_14_0"/>
      <w:bookmarkStart w:id="1115" w:name="Tc_Zz7AWRFxCEuxLZxJ3nCUqQ_13_2"/>
      <w:bookmarkStart w:id="1116" w:name="Tc_SmQP_HPHWkm4jfdOU9T3eg_13_0"/>
      <w:bookmarkStart w:id="1117" w:name="Tc_QcGgeWC9skuY1CrSs2XF6A_12_8"/>
      <w:bookmarkStart w:id="1118" w:name="Tc_abTBu9lKvUWd4ZA7_mX_Ww_12_2"/>
      <w:bookmarkStart w:id="1119" w:name="Tc_ghShS1vRD0ifSlg8ls5w6g_12_0"/>
      <w:bookmarkStart w:id="1120" w:name="Tc_RhhgkLA0BU6NEyX8lS-4MA_11_8"/>
      <w:bookmarkStart w:id="1121" w:name="Tc_Gs0mpQxSf0mDczm4nd9o6Q_11_2"/>
      <w:bookmarkStart w:id="1122" w:name="Tc_z6tx5eVc-0WT4y0hVCSsSw_11_0"/>
      <w:bookmarkStart w:id="1123" w:name="Tc_nR76f4MBA0mOvtcWNQqeXQ_10_2"/>
      <w:bookmarkStart w:id="1124" w:name="Tc_d-PqTTwOkkedzSUPYlrRuw_10_0"/>
      <w:bookmarkStart w:id="1125" w:name="Tc_EidmiwB-6kyA9Y5cKWLfiQ_9_5"/>
      <w:bookmarkStart w:id="1126" w:name="Tc_S1Ze6hskAEqiI2t7rPRYpQ_9_0"/>
      <w:bookmarkStart w:id="1127" w:name="Tc_9yhHqMZHgU-9qSbTFJ8dMg_8_0"/>
      <w:bookmarkStart w:id="1128" w:name="Tc_9Kjn6fAvgE2isOE-Rq234g_7_5"/>
      <w:bookmarkStart w:id="1129" w:name="Tc_XSFjU6WXCkKYKLzdnnIWqA_7_0"/>
      <w:bookmarkStart w:id="1130" w:name="Tc_7l2lLyNrdUKP5vCL7rPkKg_6_0"/>
      <w:bookmarkStart w:id="1131" w:name="Tc_AthTyjKmkkKV8cOPGf4ITw_5_7"/>
      <w:bookmarkStart w:id="1132" w:name="Tc_WisekjaPYkGDF5JQK-bZvw_5_4"/>
      <w:bookmarkStart w:id="1133" w:name="Tc_xuWfAdKJDkqoV3M2f17e0w_5_0"/>
      <w:bookmarkStart w:id="1134" w:name="Tc_VRksUy_I_U22UyfHtoeBJQ_4_0"/>
      <w:bookmarkStart w:id="1135" w:name="Tc_5re--6spVkm7oMhH4edA6A_3_7"/>
      <w:bookmarkStart w:id="1136" w:name="Tc_DAKEAAycp0GIuspBdiLZjw_3_4"/>
      <w:bookmarkStart w:id="1137" w:name="Tc_lM-5i_lAYk2G8Pue8yVnmA_3_2"/>
      <w:bookmarkStart w:id="1138" w:name="Tc_fS0vzxUSQU2CaG0UduuH3Q_2_7"/>
      <w:bookmarkStart w:id="1139" w:name="Tc_VHl3Z9jcOE2a2EoYLO4OVg_2_4"/>
      <w:bookmarkStart w:id="1140" w:name="Tc_GAv4O3Oby06t1BLdEP0Zlg_1_7"/>
      <w:bookmarkStart w:id="1141" w:name="Tc_hahhtCpQ3keKAi6hymIXvA_1_4"/>
      <w:bookmarkStart w:id="1142" w:name="_a3886705_20ae_4cc1_bf7f_1fb3bb61d2e3"/>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p>
    <w:tbl>
      <w:tblPr>
        <w:tblW w:w="10205" w:type="dxa"/>
        <w:jc w:val="left"/>
        <w:tblInd w:w="0" w:type="dxa"/>
        <w:tblLayout w:type="fixed"/>
        <w:tblCellMar>
          <w:top w:w="0" w:type="dxa"/>
          <w:left w:w="0" w:type="dxa"/>
          <w:bottom w:w="0" w:type="dxa"/>
          <w:right w:w="0" w:type="dxa"/>
        </w:tblCellMar>
      </w:tblPr>
      <w:tblGrid>
        <w:gridCol w:w="5866"/>
        <w:gridCol w:w="346"/>
        <w:gridCol w:w="451"/>
        <w:gridCol w:w="346"/>
        <w:gridCol w:w="293"/>
        <w:gridCol w:w="1108"/>
        <w:gridCol w:w="346"/>
        <w:gridCol w:w="278"/>
        <w:gridCol w:w="1171"/>
      </w:tblGrid>
      <w:tr>
        <w:trP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724910" cy="175260"/>
                      <wp:effectExtent l="0" t="0" r="0" b="0"/>
                      <wp:wrapNone/>
                      <wp:docPr id="40" name="Frame40"/>
                      <a:graphic xmlns:a="http://schemas.openxmlformats.org/drawingml/2006/main">
                        <a:graphicData uri="http://schemas.microsoft.com/office/word/2010/wordprocessingShape">
                          <wps:wsp>
                            <wps:cNvSpPr txBox="1"/>
                            <wps:spPr>
                              <a:xfrm>
                                <a:off x="0" y="0"/>
                                <a:ext cx="3724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86385" cy="175260"/>
                      <wp:effectExtent l="0" t="0" r="0" b="0"/>
                      <wp:wrapNone/>
                      <wp:docPr id="42" name="Frame42"/>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86055" cy="175260"/>
                      <wp:effectExtent l="0" t="0" r="0" b="0"/>
                      <wp:wrapNone/>
                      <wp:docPr id="44" name="Frame44"/>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703580" cy="175260"/>
                      <wp:effectExtent l="0" t="0" r="0" b="0"/>
                      <wp:wrapNone/>
                      <wp:docPr id="45" name="Frame45"/>
                      <a:graphic xmlns:a="http://schemas.openxmlformats.org/drawingml/2006/main">
                        <a:graphicData uri="http://schemas.microsoft.com/office/word/2010/wordprocessingShape">
                          <wps:wsp>
                            <wps:cNvSpPr txBox="1"/>
                            <wps:spPr>
                              <a:xfrm>
                                <a:off x="0" y="0"/>
                                <a:ext cx="703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76530" cy="175260"/>
                      <wp:effectExtent l="0" t="0" r="0" b="0"/>
                      <wp:wrapNone/>
                      <wp:docPr id="47" name="Frame47"/>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743585" cy="175260"/>
                      <wp:effectExtent l="0" t="0" r="0" b="0"/>
                      <wp:wrapNone/>
                      <wp:docPr id="48" name="Frame48"/>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401"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right"/>
              <w:rPr/>
            </w:pPr>
            <w:r>
              <w:rPr/>
              <w:t>​</w:t>
            </w:r>
          </w:p>
        </w:tc>
        <w:tc>
          <w:tcPr>
            <w:tcW w:w="1449"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8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 ​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  ​ ​ ​</w:t>
            </w:r>
          </w:p>
        </w:tc>
        <w:tc>
          <w:tcPr>
            <w:tcW w:w="1401"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right"/>
              <w:rPr/>
            </w:pPr>
            <w:r>
              <w:rPr/>
              <w:t>  ​ ​ ​</w:t>
            </w:r>
          </w:p>
        </w:tc>
        <w:tc>
          <w:tcPr>
            <w:tcW w:w="1449"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June 30, </w:t>
            </w:r>
          </w:p>
        </w:tc>
      </w:tr>
      <w:tr>
        <w:trPr/>
        <w:tc>
          <w:tcPr>
            <w:tcW w:w="58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 ​ ​</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0"/>
              <w:ind w:left="0" w:right="0" w:hanging="0"/>
              <w:jc w:val="right"/>
              <w:rPr/>
            </w:pPr>
            <w:r>
              <w:rPr/>
              <w:t>  ​ ​ ​</w:t>
            </w:r>
          </w:p>
        </w:tc>
        <w:tc>
          <w:tcPr>
            <w:tcW w:w="140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right"/>
              <w:rPr/>
            </w:pPr>
            <w:r>
              <w:rPr/>
              <w:t>  ​ ​ ​</w:t>
            </w:r>
          </w:p>
        </w:tc>
        <w:tc>
          <w:tcPr>
            <w:tcW w:w="1449"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used in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1108"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78"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left"/>
              <w:rPr/>
            </w:pPr>
            <w:r>
              <w:rPr/>
              <w:t>  ​</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for the period</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(80,722)</w:t>
            </w:r>
          </w:p>
        </w:tc>
        <w:tc>
          <w:tcPr>
            <w:tcW w:w="3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(94,929)</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Items not affecting cash:</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110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78"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Nauru warrant cost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110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33,079</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11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on credit facilities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110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11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Allseas obligation settled with equity</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11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35,308</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 on Allseas settlement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11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7,868</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Share-based compensation and expenses settled with equity </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11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40,777</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19,300</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Equity-accounted investment (income) loss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11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4,523</w:t>
            </w:r>
          </w:p>
        </w:tc>
        <w:tc>
          <w:tcPr>
            <w:tcW w:w="346" w:type="dxa"/>
            <w:tcBorders/>
            <w:shd w:fill="CCEEFF" w:val="clear"/>
            <w:vAlign w:val="center"/>
          </w:tcPr>
          <w:p>
            <w:pPr>
              <w:pStyle w:val="TableContents"/>
              <w:bidi w:val="0"/>
              <w:spacing w:before="0" w:after="0"/>
              <w:ind w:left="0" w:right="0" w:hanging="0"/>
              <w:jc w:val="left"/>
              <w:rPr/>
            </w:pPr>
            <w:r>
              <w:rPr/>
              <w:t> </w:t>
            </w:r>
          </w:p>
        </w:tc>
        <w:tc>
          <w:tcPr>
            <w:tcW w:w="278"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dilution of investment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11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(23,071)</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warrants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11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(12,824)</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16,670</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foreign exchange movement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11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4,687</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paid on amounts drawn from credit facilities and short-term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110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working capital:</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110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 and prepayments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11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w:t>
            </w:r>
          </w:p>
        </w:tc>
        <w:tc>
          <w:tcPr>
            <w:tcW w:w="346" w:type="dxa"/>
            <w:tcBorders/>
            <w:shd w:fill="CCEEFF" w:val="clear"/>
            <w:vAlign w:val="center"/>
          </w:tcPr>
          <w:p>
            <w:pPr>
              <w:pStyle w:val="TableContents"/>
              <w:bidi w:val="0"/>
              <w:spacing w:before="0" w:after="0"/>
              <w:ind w:left="0" w:right="0" w:hanging="0"/>
              <w:jc w:val="left"/>
              <w:rPr/>
            </w:pPr>
            <w:r>
              <w:rPr/>
              <w:t> </w:t>
            </w:r>
          </w:p>
        </w:tc>
        <w:tc>
          <w:tcPr>
            <w:tcW w:w="278"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6,988</w:t>
            </w:r>
          </w:p>
        </w:tc>
        <w:tc>
          <w:tcPr>
            <w:tcW w:w="346" w:type="dxa"/>
            <w:tcBorders/>
            <w:vAlign w:val="center"/>
          </w:tcPr>
          <w:p>
            <w:pPr>
              <w:pStyle w:val="TableContents"/>
              <w:bidi w:val="0"/>
              <w:spacing w:before="0" w:after="0"/>
              <w:ind w:left="0" w:right="0" w:hanging="0"/>
              <w:jc w:val="left"/>
              <w:rPr/>
            </w:pPr>
            <w:r>
              <w:rPr/>
              <w:t> </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110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(20,715)</w:t>
            </w:r>
          </w:p>
        </w:tc>
        <w:tc>
          <w:tcPr>
            <w:tcW w:w="346" w:type="dxa"/>
            <w:tcBorders/>
            <w:shd w:fill="CCEEFF" w:val="clear"/>
            <w:vAlign w:val="center"/>
          </w:tcPr>
          <w:p>
            <w:pPr>
              <w:pStyle w:val="TableContents"/>
              <w:bidi w:val="0"/>
              <w:spacing w:before="0" w:after="0"/>
              <w:ind w:left="0" w:right="0" w:hanging="0"/>
              <w:jc w:val="left"/>
              <w:rPr/>
            </w:pPr>
            <w:r>
              <w:rPr/>
              <w:t> </w:t>
            </w:r>
          </w:p>
        </w:tc>
        <w:tc>
          <w:tcPr>
            <w:tcW w:w="278"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(20,009)</w:t>
            </w:r>
          </w:p>
        </w:tc>
      </w:tr>
      <w:tr>
        <w:trPr/>
        <w:tc>
          <w:tcPr>
            <w:tcW w:w="5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110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110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78"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pPr>
            <w:r>
              <w:rPr/>
              <w:t>​</w:t>
            </w:r>
          </w:p>
        </w:tc>
      </w:tr>
      <w:tr>
        <w:trPr/>
        <w:tc>
          <w:tcPr>
            <w:tcW w:w="5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110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investee</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11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0"/>
              <w:ind w:left="0" w:right="0" w:hanging="0"/>
              <w:jc w:val="left"/>
              <w:rPr/>
            </w:pPr>
            <w:r>
              <w:rPr/>
              <w:t> </w:t>
            </w:r>
          </w:p>
        </w:tc>
        <w:tc>
          <w:tcPr>
            <w:tcW w:w="278"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of equipment and software</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11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investee distribution</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generated from investing activities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110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(916)</w:t>
            </w:r>
          </w:p>
        </w:tc>
        <w:tc>
          <w:tcPr>
            <w:tcW w:w="3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226</w:t>
            </w:r>
          </w:p>
        </w:tc>
      </w:tr>
      <w:tr>
        <w:trPr/>
        <w:tc>
          <w:tcPr>
            <w:tcW w:w="58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110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110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Korea Zinc Private Placement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110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85,165</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Registered Direct Offerings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110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35,010</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paid for Registered Direct Offerings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110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shares issued from ATM</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110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14,784</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Class A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110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3,777</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Class B warrants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110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2,650</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Repayment of drawn amount on credit facilities </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110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(1,797)</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Allseas Working Capital Loan</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110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stock options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11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2,719</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Employee Share Purchase Plan</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right"/>
              <w:rPr/>
            </w:pPr>
            <w:r>
              <w:rPr/>
              <w:t>​</w:t>
            </w:r>
          </w:p>
        </w:tc>
        <w:tc>
          <w:tcPr>
            <w:tcW w:w="110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2,775</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132,069</w:t>
            </w:r>
          </w:p>
        </w:tc>
      </w:tr>
      <w:tr>
        <w:trPr/>
        <w:tc>
          <w:tcPr>
            <w:tcW w:w="5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110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(Decrease) increase in cash </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0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(18,856)</w:t>
            </w:r>
          </w:p>
        </w:tc>
        <w:tc>
          <w:tcPr>
            <w:tcW w:w="346" w:type="dxa"/>
            <w:tcBorders/>
            <w:shd w:fill="CCEEFF" w:val="clear"/>
            <w:vAlign w:val="center"/>
          </w:tcPr>
          <w:p>
            <w:pPr>
              <w:pStyle w:val="TableContents"/>
              <w:bidi w:val="0"/>
              <w:spacing w:before="0" w:after="0"/>
              <w:ind w:left="0" w:right="0" w:hanging="0"/>
              <w:jc w:val="left"/>
              <w:rPr/>
            </w:pPr>
            <w:r>
              <w:rPr/>
              <w:t> </w:t>
            </w:r>
          </w:p>
        </w:tc>
        <w:tc>
          <w:tcPr>
            <w:tcW w:w="278"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112,286</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Impact of exchange rate changes on cash </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110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(122)</w:t>
            </w:r>
          </w:p>
        </w:tc>
        <w:tc>
          <w:tcPr>
            <w:tcW w:w="3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 beginning of period</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117,633</w:t>
            </w:r>
          </w:p>
        </w:tc>
        <w:tc>
          <w:tcPr>
            <w:tcW w:w="346" w:type="dxa"/>
            <w:tcBorders/>
            <w:shd w:fill="CCEEFF" w:val="clear"/>
            <w:vAlign w:val="center"/>
          </w:tcPr>
          <w:p>
            <w:pPr>
              <w:pStyle w:val="TableContents"/>
              <w:bidi w:val="0"/>
              <w:spacing w:before="0" w:after="0"/>
              <w:ind w:left="0" w:right="0" w:hanging="0"/>
              <w:jc w:val="left"/>
              <w:rPr/>
            </w:pPr>
            <w:r>
              <w:rPr/>
              <w:t> </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3,480</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 end of period</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98,655</w:t>
            </w:r>
          </w:p>
        </w:tc>
        <w:tc>
          <w:tcPr>
            <w:tcW w:w="346" w:type="dxa"/>
            <w:tcBorders/>
            <w:vAlign w:val="center"/>
          </w:tcPr>
          <w:p>
            <w:pPr>
              <w:pStyle w:val="TableContents"/>
              <w:bidi w:val="0"/>
              <w:spacing w:before="0" w:after="0"/>
              <w:ind w:left="0" w:right="0" w:hanging="0"/>
              <w:jc w:val="left"/>
              <w:rPr/>
            </w:pPr>
            <w:r>
              <w:rPr/>
              <w:t> </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115,759</w:t>
            </w:r>
          </w:p>
        </w:tc>
      </w:tr>
    </w:tbl>
    <w:p>
      <w:pPr>
        <w:pStyle w:val="TextBody"/>
        <w:bidi w:val="0"/>
        <w:spacing w:before="0" w:after="0"/>
        <w:ind w:left="0" w:right="0" w:hanging="0"/>
        <w:jc w:val="both"/>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condensed consolidated financial statements.</w:t>
      </w:r>
    </w:p>
    <w:p>
      <w:pPr>
        <w:pStyle w:val="TextBody"/>
        <w:pBdr/>
        <w:bidi w:val="0"/>
        <w:spacing w:before="0" w:after="0"/>
        <w:ind w:left="0" w:right="0" w:hanging="36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left"/>
        <w:rPr/>
      </w:pPr>
      <w:hyperlink w:anchor="TOC">
        <w:bookmarkStart w:id="1143" w:name="_3d2e32c6_88f2_47d5_9f51_49c0a341401d"/>
        <w:bookmarkEnd w:id="1143"/>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bookmarkStart w:id="1144" w:name="a1NatureofOperations_669125"/>
      <w:bookmarkEnd w:id="1144"/>
      <w:r>
        <w:rPr>
          <w:rFonts w:ascii="Times New Roman;Times;serif" w:hAnsi="Times New Roman;Times;serif"/>
          <w:b/>
          <w:i w:val="false"/>
          <w:caps w:val="false"/>
          <w:smallCaps w:val="false"/>
          <w:sz w:val="20"/>
        </w:rPr>
        <w:t>1.</w:t>
      </w:r>
      <w:r>
        <w:rPr>
          <w:rFonts w:ascii="Times New Roman;Times;serif" w:hAnsi="Times New Roman;Times;serif"/>
          <w:b/>
          <w:sz w:val="20"/>
        </w:rPr>
        <w:t>Nature of Operations</w:t>
      </w:r>
    </w:p>
    <w:p>
      <w:pPr>
        <w:pStyle w:val="TextBody"/>
        <w:bidi w:val="0"/>
        <w:spacing w:lineRule="auto" w:line="240" w:before="0" w:after="200"/>
        <w:ind w:left="360" w:right="0" w:hanging="0"/>
        <w:jc w:val="both"/>
        <w:rPr>
          <w:rFonts w:ascii="Times New Roman;Times;serif" w:hAnsi="Times New Roman;Times;serif"/>
          <w:sz w:val="20"/>
        </w:rPr>
      </w:pPr>
      <w:r>
        <w:rPr>
          <w:rFonts w:ascii="Times New Roman;Times;serif" w:hAnsi="Times New Roman;Times;serif"/>
          <w:sz w:val="20"/>
        </w:rPr>
        <w:t>TMC the metals company Inc. (“TMC” or the “Company”) was incorporated as a Cayman Islands exempted company limited by shares on December 18, 2019. On September 9, 2021, the Company completed its business combination with DeepGreen Metals Inc. (“DeepGreen”), a Canadian-registered company founded in 2011, after which DeepGreen became a wholly - owned subsidiary and the combined company began operating as TMC the metals company Inc. and continued as a corporation under the laws of the province of British Columbia, Canada on September 9, 2021. Effective January 1, 2026, the Company amalgamated with its wholly-owned subsidiary DeepGreen Metals ULC, continuing as one company under the name “TMC the metals company Inc.” The Company’s corporate office, registered address and records office is located at 1111 West Hastings Street, 15</w:t>
      </w:r>
      <w:r>
        <w:rPr>
          <w:rFonts w:ascii="Times New Roman;Times;serif" w:hAnsi="Times New Roman;Times;serif"/>
          <w:sz w:val="15"/>
        </w:rPr>
        <w:t>th</w:t>
      </w:r>
      <w:r>
        <w:rPr>
          <w:rFonts w:ascii="Times New Roman;Times;serif" w:hAnsi="Times New Roman;Times;serif"/>
          <w:sz w:val="20"/>
        </w:rPr>
        <w:t xml:space="preserve"> Floor, Vancouver, British Columbia, Canada, V6E 2J3. The Company’s common shares and warrants to purchase common shares are listed for trading on the Nasdaq Global Select Market (“Nasdaq”) under tickers “TMC” and “TMCWW”, respectively.</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The Company is a deep seabed minerals developer focused on the collection, processing and refining of polymetallic nodules found on the seafloor in international waters of the Clarion Clipperton Zone in the Pacific Ocean (“CCZ”), with exploration contracts located approximately 1,500 miles (or 2,400 kilometers) southwest of San Diego, California. These nodules contain high grades of four metals (nickel, copper, cobalt, manganese) and rare earth elements (“REEs”) which will be transformed into nickel, cobalt and copper-bearing intermediate and individual high - purity refined metal products, as well as a manganese silicate product of approximately 40% manganese comparable to medium-grade manganese ore. Once in production, the Company will explore expanding into other product formats including silicomanganese alloy, battery-grade sulfates and precursor Cathode Active Materials (“pCAM”), as well as extracting REEs contained in nodules.</w:t>
      </w:r>
    </w:p>
    <w:p>
      <w:pPr>
        <w:pStyle w:val="TextBody"/>
        <w:bidi w:val="0"/>
        <w:spacing w:lineRule="auto" w:line="240" w:before="0" w:after="200"/>
        <w:ind w:left="360" w:right="0" w:hanging="0"/>
        <w:jc w:val="both"/>
        <w:rPr>
          <w:rFonts w:ascii="Times New Roman;Times;serif" w:hAnsi="Times New Roman;Times;serif"/>
          <w:sz w:val="20"/>
        </w:rPr>
      </w:pPr>
      <w:r>
        <w:rPr>
          <w:rFonts w:ascii="Times New Roman;Times;serif" w:hAnsi="Times New Roman;Times;serif"/>
          <w:sz w:val="20"/>
        </w:rPr>
        <w:t>On April 28, 2025, the Company’s wholly owned subsidiary, The Metals Company USA, LLC (“TMC USA”), formally submitted applications for two exploration licenses and one commercial recovery permit to the National Oceanic and Atmospheric Administration (“NOAA”) pursuant to the Deep Seabed Hard Mineral Resources Act of 1980 (“DSHMRA”). The submitted exploration license applications are to secure exploration rights over two areas in the CCZ, namely TMC USA-A and TMC USA-B, covering a total area of 187,017 km</w:t>
      </w:r>
      <w:r>
        <w:rPr>
          <w:rFonts w:ascii="Times New Roman;Times;serif" w:hAnsi="Times New Roman;Times;serif"/>
          <w:sz w:val="15"/>
        </w:rPr>
        <w:t>2</w:t>
      </w:r>
      <w:r>
        <w:rPr>
          <w:rFonts w:ascii="Times New Roman;Times;serif" w:hAnsi="Times New Roman;Times;serif"/>
          <w:sz w:val="20"/>
        </w:rPr>
        <w:t>. The submitted commercial recovery permit application is to secure commercial recovery rights for a subset of the TMC USA-A area covering over 25,160 square kilometers. The commercial recovery application is the first submission under DSHMRA for commercial recovery of polymetallic nodules. On January 22, 2026, TMC USA formally submitted a consolidated application to NOAA for an exploration license and a commercial recovery permit for polymetallic nodules in TMC USA-A under NOAA’s new consolidated application and review process. The consolidated application covers approximately 65,000 km</w:t>
      </w:r>
      <w:r>
        <w:rPr>
          <w:rFonts w:ascii="Times New Roman;Times;serif" w:hAnsi="Times New Roman;Times;serif"/>
          <w:sz w:val="15"/>
        </w:rPr>
        <w:t>2</w:t>
      </w:r>
      <w:r>
        <w:rPr>
          <w:rFonts w:ascii="Times New Roman;Times;serif" w:hAnsi="Times New Roman;Times;serif"/>
          <w:sz w:val="20"/>
        </w:rPr>
        <w:t xml:space="preserve"> exploration and commercial recovery area in the CCZ, compared to a commercial recovery area of 25,160 km</w:t>
      </w:r>
      <w:r>
        <w:rPr>
          <w:rFonts w:ascii="Times New Roman;Times;serif" w:hAnsi="Times New Roman;Times;serif"/>
          <w:sz w:val="15"/>
        </w:rPr>
        <w:t>2</w:t>
      </w:r>
      <w:r>
        <w:rPr>
          <w:rFonts w:ascii="Times New Roman;Times;serif" w:hAnsi="Times New Roman;Times;serif"/>
          <w:sz w:val="20"/>
        </w:rPr>
        <w:t xml:space="preserve"> in TMC USA’s initial commercial recovery permit application filed in April 2025. </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The application review process under DSHMRA involves three stages: (i) a determination that the application is in compliance with applicable requirements; (ii) a certification of the applicant and the proposed program, including an interagency consultation process; and (iii) an environmental review, including preparation of an Environmental Impact Statement (EIS) and a public comment period, following which NOAA will determine whether to issue the requested licenses and permit and, if so, the applicable terms and conditions. On May 28, 2026, NOAA certified TMC USA-B exploration license application and it is now in the environmental review stage. The consolidated application received substantial compliance on March 6, 2026 and full compliance on April 28, 2026, representing another step along the path of regulatory milestones.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Two of the Company’s wholly-owned subsidiaries, Nauru Ocean Resources Inc. (“NORI”) and Tonga Offshore Mining Limited (“TOML”) continue to hold and comply with the terms of their exploration contracts granted by the International Seabed Authority (“ISA”).</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On July 20, 2026, the Council of the ISA approved a five-year extension of NORI’s exploration contract to July 21, 2031, and TOML has applied for a five-year extension of its contract, which is due to expire on January 11, 2027. The ISA has an ongoing inquiry into the possible non-compliance of NORI and TOML with their respective exploration contracts, which NORI and TOML dispute and which is the subject of proceedings before the Seabed Disputes Chamber of the International Tribunal for the Law of the Sea (Note 17).</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realization of the Company’s assets and attainment of profitable operations are dependent upon many factors including, among other things: financing being arranged by the Company to continue the scaling of the nodule collection system for the recovery of polymetallic nodules from the seafloor and the processing technology for the treatment of polymetallic nodules at commercial scale, the continued establishment of mineable reserves, the commercial and technical feasibility of seafloor polymetallic nodule collection and processing, metal prices, and regulatory approvals and permitting for commercial operations. The outcome of these matters cannot presently be determined because they are contingent on future events and may not be fully under the Company’s control.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Basis of Presentation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These unaudited interim condensed consolidated financial statements are prepared in accordance with U.S. Generally Accepted Accounting Principles (“U.S. GAAP”) for interim financial statements. Accordingly, certain information and footnote disclosures required by U.S. GAAP have been condensed or omitted in these unaudited interim condensed consolidated financial statements pursuant to such rules and regulations. In management’s opinion, these unaudited condensed consolidated interim financial statements include all adjustments of a normal recurring nature necessary for the fair presentation of the Company’s statement of financial position, operating results for the periods presented, comprehensive loss, shareholder’s equity and cash flows for the interim periods, but are not necessarily indicative of the results of operations to be expected for the full year ending December 31, 2026 or for any other period. These unaudited interim condensed consolidated financial statements should be read in conjunction with the audited annual consolidated financial statements for the year ended December 31, 2025. The Company has applied the same accounting policies as in the prior year.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Use of Estimates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the reported amounts in the consolidated financial statements and the notes thereto. Significant estimates and assumptions reflected in these condensed consolidated interim financial statements include, but are not limited to, the evaluation of going concern, the valuation of share-based payments, including valuation of stock options (Note 13), as well as the valuation of private warrants (Note 12) and the valuation of the royalty liability (Note 8). Actual results could differ materially from those estimates.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Fair Value of Financial Instruments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measures fair value as the price that would be received to sell an asset or paid to transfer a liability in an orderly transaction between market participants at the reporting date. In accordance with U.S. GAAP, the Company utilizes a three-tier hierarchy, which prioritizes the inputs used in the valuation methodologies in measuring fair value: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Level 1</w:t>
            </w:r>
            <w:r>
              <w:rPr>
                <w:caps w:val="false"/>
                <w:smallCaps w:val="false"/>
              </w:rPr>
              <w:t> </w:t>
            </w:r>
            <w:r>
              <w:rPr>
                <w:rFonts w:ascii="Times New Roman;Times;serif" w:hAnsi="Times New Roman;Times;serif"/>
                <w:b w:val="false"/>
                <w:i w:val="false"/>
                <w:caps w:val="false"/>
                <w:smallCaps w:val="false"/>
                <w:sz w:val="20"/>
              </w:rPr>
              <w:t>- Valuations based on quoted prices in active markets for identical assets or liabilities that an entity has the ability to access.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Level 2</w:t>
            </w:r>
            <w:r>
              <w:rPr>
                <w:caps w:val="false"/>
                <w:smallCaps w:val="false"/>
              </w:rPr>
              <w:t> </w:t>
            </w:r>
            <w:r>
              <w:rPr>
                <w:rFonts w:ascii="Times New Roman;Times;serif" w:hAnsi="Times New Roman;Times;serif"/>
                <w:b w:val="false"/>
                <w:i w:val="false"/>
                <w:caps w:val="false"/>
                <w:smallCaps w:val="false"/>
                <w:sz w:val="20"/>
              </w:rPr>
              <w:t>- Valuations based on quoted prices for similar assets or liabilities, quoted prices for identical assets or liabilities in markets that are not active, or other inputs that are observable or can be corroborated by observable data for substantially the full term of the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Level 3</w:t>
            </w:r>
            <w:r>
              <w:rPr>
                <w:caps w:val="false"/>
                <w:smallCaps w:val="false"/>
              </w:rPr>
              <w:t> </w:t>
            </w:r>
            <w:r>
              <w:rPr>
                <w:rFonts w:ascii="Times New Roman;Times;serif" w:hAnsi="Times New Roman;Times;serif"/>
                <w:b w:val="false"/>
                <w:i w:val="false"/>
                <w:caps w:val="false"/>
                <w:smallCaps w:val="false"/>
                <w:sz w:val="20"/>
              </w:rPr>
              <w:t>- Valuations based on inputs that are supported by little or no market activity and that are significant to the fair value of the assets or liabilities.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360" w:right="0" w:hanging="0"/>
        <w:jc w:val="both"/>
        <w:rPr>
          <w:rFonts w:ascii="Times New Roman;Times;serif" w:hAnsi="Times New Roman;Times;serif"/>
          <w:sz w:val="20"/>
        </w:rPr>
      </w:pPr>
      <w:bookmarkStart w:id="1145" w:name="_25ec1522_1bf9_4ff3_83e0_99c0ecca1985_3"/>
      <w:bookmarkStart w:id="1146" w:name="_25ec1522_1bf9_4ff3_83e0_99c0ecca1985_2"/>
      <w:bookmarkStart w:id="1147" w:name="_25ec1522_1bf9_4ff3_83e0_99c0ecca1985"/>
      <w:bookmarkStart w:id="1148" w:name="_ec33f2a6_53b5_42a4_ab2b_6c9b37dcbbed_3"/>
      <w:bookmarkStart w:id="1149" w:name="_ec33f2a6_53b5_42a4_ab2b_6c9b37dcbbed_2"/>
      <w:bookmarkStart w:id="1150" w:name="_ec33f2a6_53b5_42a4_ab2b_6c9b37dcbbed"/>
      <w:bookmarkStart w:id="1151" w:name="_5f5ba907_9ee9_4437_9f06_9bf7589e6745_3"/>
      <w:bookmarkStart w:id="1152" w:name="_5f5ba907_9ee9_4437_9f06_9bf7589e6745_2"/>
      <w:bookmarkStart w:id="1153" w:name="_5f5ba907_9ee9_4437_9f06_9bf7589e6745"/>
      <w:bookmarkStart w:id="1154" w:name="_77f25e10_109a_4c91_a800_25eb529e3269_3"/>
      <w:bookmarkStart w:id="1155" w:name="_77f25e10_109a_4c91_a800_25eb529e3269_2"/>
      <w:bookmarkStart w:id="1156" w:name="_77f25e10_109a_4c91_a800_25eb529e3269"/>
      <w:bookmarkStart w:id="1157" w:name="_5667ac35_caba_4501_be59_e5053f276101_3"/>
      <w:bookmarkStart w:id="1158" w:name="_5667ac35_caba_4501_be59_e5053f276101_2"/>
      <w:bookmarkStart w:id="1159" w:name="_5667ac35_caba_4501_be59_e5053f276101"/>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r>
        <w:rPr>
          <w:rFonts w:ascii="Times New Roman;Times;serif" w:hAnsi="Times New Roman;Times;serif"/>
          <w:sz w:val="20"/>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There were no transfers between fair value measurement levels during the three and six months ended June 30, 2026, and 2025.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June 30, 2026 and December 31, 2025, the carrying values of cash, receivables, accounts payable and accrued liabilities approximate their fair values due to the short-term nature of these instruments. The financial instruments also include royalty liability and warrants which are recorded at fair value as disclosed in Note 8 and Note 12,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Recent Accounting Pronouncements Not Yet Effective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In November 2024, the Financial Accounting Standard Board (the “FASB”) issued Accounting Standards Update (“ASU”) 2024-03, </w:t>
      </w:r>
      <w:r>
        <w:rPr>
          <w:rFonts w:ascii="Times New Roman;Times;serif" w:hAnsi="Times New Roman;Times;serif"/>
          <w:i/>
          <w:sz w:val="20"/>
        </w:rPr>
        <w:t>Income Statement: Reporting Comprehensive Income (Topic 220): Expense Disaggregation Disclosures</w:t>
      </w:r>
      <w:r>
        <w:rPr>
          <w:rFonts w:ascii="Times New Roman;Times;serif" w:hAnsi="Times New Roman;Times;serif"/>
          <w:sz w:val="20"/>
        </w:rPr>
        <w:t>, to improve disclosures about the nature of expenses within line items on the statements of operations. The amendments in ASU 2024-03 are effective for annual reporting periods after December 15, 2026, and subsequent interim periods; however, early adoption is permitted. The amendments in this update should be applied either: (1) prospectively to financial statements issued for reporting periods after the effective date of this update or (2) retrospectively to any or all prior periods presented in the financial statements. The Company is currently evaluating the impact of adopting this standard on its consolidated financial statements.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In September 2025, the FASB issued ASU </w:t>
      </w:r>
      <w:r>
        <w:rPr>
          <w:rFonts w:ascii="Times New Roman;Times;serif" w:hAnsi="Times New Roman;Times;serif"/>
          <w:i/>
          <w:sz w:val="20"/>
        </w:rPr>
        <w:t>2025-06</w:t>
      </w:r>
      <w:r>
        <w:rPr>
          <w:rFonts w:ascii="Times New Roman;Times;serif" w:hAnsi="Times New Roman;Times;serif"/>
          <w:sz w:val="20"/>
        </w:rPr>
        <w:t xml:space="preserve">, </w:t>
      </w:r>
      <w:r>
        <w:rPr>
          <w:rFonts w:ascii="Times New Roman;Times;serif" w:hAnsi="Times New Roman;Times;serif"/>
          <w:i/>
          <w:sz w:val="20"/>
        </w:rPr>
        <w:t>Intangibles-Goodwill and Other-Internal-Use Software (Subtopic 350-40): Targeted Improvements to the Accounting for Internal-Use Software</w:t>
      </w:r>
      <w:r>
        <w:rPr>
          <w:rFonts w:ascii="Times New Roman;Times;serif" w:hAnsi="Times New Roman;Times;serif"/>
          <w:sz w:val="20"/>
        </w:rPr>
        <w:t>, which removes references to software development project stages and clarifies the threshold for capitalization of internal-use software costs. The standard is effective for the Company for annual periods beginning after December 15, 2027, with early adoption permitted. The Company is currently evaluating the impact of the adoption of this standard on its consolidated financial statements.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In December 2025, the FASB issued ASU 2025-11, </w:t>
      </w:r>
      <w:r>
        <w:rPr>
          <w:rFonts w:ascii="Times New Roman;Times;serif" w:hAnsi="Times New Roman;Times;serif"/>
          <w:i/>
          <w:sz w:val="20"/>
        </w:rPr>
        <w:t>Interim Reporting (Topic 270)</w:t>
      </w:r>
      <w:r>
        <w:rPr>
          <w:rFonts w:ascii="Times New Roman;Times;serif" w:hAnsi="Times New Roman;Times;serif"/>
          <w:sz w:val="20"/>
        </w:rPr>
        <w:t xml:space="preserve">, which is intended to streamline the guidance in ASC 270, </w:t>
      </w:r>
      <w:r>
        <w:rPr>
          <w:rFonts w:ascii="Times New Roman;Times;serif" w:hAnsi="Times New Roman;Times;serif"/>
          <w:i/>
          <w:sz w:val="20"/>
        </w:rPr>
        <w:t>Interim Reporting</w:t>
      </w:r>
      <w:r>
        <w:rPr>
          <w:rFonts w:ascii="Times New Roman;Times;serif" w:hAnsi="Times New Roman;Times;serif"/>
          <w:sz w:val="20"/>
        </w:rPr>
        <w:t>, and clarify when it applies. Under the amendments, an entity is subject to ASC 270 if it provides interim financial statements and notes in accordance with GAAP. ASU 2025-11 also addresses the form and content of such financial statements, interim disclosures requirements,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and early adoption is permitted. The Company is currently evaluating the impact of the adoption of this standard on its consolidated financial statements.</w:t>
      </w:r>
    </w:p>
    <w:tbl>
      <w:tblPr>
        <w:tblW w:w="4202" w:type="dxa"/>
        <w:jc w:val="left"/>
        <w:tblInd w:w="0" w:type="dxa"/>
        <w:tblLayout w:type="fixed"/>
        <w:tblCellMar>
          <w:top w:w="0" w:type="dxa"/>
          <w:left w:w="0" w:type="dxa"/>
          <w:bottom w:w="0" w:type="dxa"/>
          <w:right w:w="0" w:type="dxa"/>
        </w:tblCellMar>
      </w:tblPr>
      <w:tblGrid>
        <w:gridCol w:w="271"/>
        <w:gridCol w:w="3931"/>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6.</w:t>
            </w:r>
          </w:p>
        </w:tc>
        <w:tc>
          <w:tcPr>
            <w:tcW w:w="393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 xml:space="preserve">Strategic Alliance with Allseas and Affiliates </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May 11, 2026, the Company and Allseas Deepsea Marine Contractors (“Allseas Deepsea”), a wholly owned subsidiary of Allseas Group S.A. (“Allseas”), entered into an agreement (“Agreement”) to complete the development and operate the commercial nodule collection system (“</w:t>
      </w:r>
      <w:r>
        <w:rPr>
          <w:rFonts w:ascii="Times New Roman;Times;serif" w:hAnsi="Times New Roman;Times;serif"/>
          <w:i/>
          <w:sz w:val="20"/>
        </w:rPr>
        <w:t>Hidden Gem</w:t>
      </w:r>
      <w:r>
        <w:rPr>
          <w:rFonts w:ascii="Times New Roman;Times;serif" w:hAnsi="Times New Roman;Times;serif"/>
          <w:sz w:val="20"/>
        </w:rPr>
        <w:t xml:space="preserve"> system”) in connection with the Company’s planned offshore polymetallic nodule operations. The Agreement supersedes the non-binding term sheet entered between NORI and Allseas on March 16,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per the Agreement, 50% of engineering costs, project management costs and vessel use services costs including lay-up costs incurred by Allseas prior to March 30, 2026 and 50% of additional negotiated costs, are to be settled through the issuance of the Company’s common shares with the remaining 50% to be settled through a production-based repayment mechanism (“Deferred Amounts”). The Company accounted for the share-settled portion as a forward contract with the number of shares determined using a share price equal to a 10% discount to the 20-trading-day volume-weighted average price (“VWAP”) ending on March 30, 2026, in accordance with the Agreement. Upon execution of the Agreement, the Company remeasured the share-settled obligation based on the contractual pricing mechanism, resulting in a $7.9 million charge representing the difference between the carrying amount of the obligation and the remeasured share-settled obligation, which was recorded as Charge on Allseas settlement in the Condensed Consolidated Statement of Loss and Comprehensive Loss. On July 2, 2026, the Company issued 7,305,567 common shares to Allseas Group S.A., at the direction of Allseas Deepsea Marine Contractors as the counterparty under the Agreement, in settlement of the equity-settled obligation. During the second quarter of 2026, the Company recognized the Deferred Amounts of $36.1 million as a liability, with the corresponding expense recorded within mining, technology and process development in exploration and evaluation expenses (Note 9). The Deferred Amounts are repayable regardless of whether commercial production commences and would become payable upon expiration or termination of the Agreement.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Under the Agreement, Allseas Deepsea will provide engineering, project management, procurement, construction, vessel modification, system integration, testing, commissioning, mobilization and operational services related to the </w:t>
      </w:r>
      <w:r>
        <w:rPr>
          <w:rFonts w:ascii="Times New Roman;Times;serif" w:hAnsi="Times New Roman;Times;serif"/>
          <w:i/>
          <w:sz w:val="20"/>
        </w:rPr>
        <w:t>Hidden Gem</w:t>
      </w:r>
      <w:r>
        <w:rPr>
          <w:rFonts w:ascii="Times New Roman;Times;serif" w:hAnsi="Times New Roman;Times;serif"/>
          <w:sz w:val="20"/>
        </w:rPr>
        <w:t xml:space="preserve"> system, production vessel and related collection and support systems prior to the commencement of commercial production (“Development Activities”). Allseas Deepsea will also provide operating, maintenance, marine transportation and related services following the commencement of commercial production. The Company is required to reimburse Allseas Deepsea for eligible costs incurred for Development Activities and according to approved work plans and budgets, with a portion of such costs payable as incurred and the remainder deferred and payable based on future commercial production volumes.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Agreement has an initial term ending five years following the commencement of commercial production. Thereafter, the parties will negotiate successive extension terms; if revised commercial terms have not been agreed by the expiration of the then current term, commercial production continues under the existing contractual terms until revised terms are agreed or the Agreement is otherwise terminated in accordance with its provisions. The commencement of commercial production is subject to, among other matters, receipt of a commercial recovery permit from NOAA, completion and acceptance of the commercial nodule collection system and approval of the applicable commercial production work plan and budget.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second quarter of 2026, under the Agreement, Allseas Deepsea provided the Company with engineering, project management and vessel use services consisting of lay-up and transit costs totaling $4.7 million as part of the development of the commercial nodule collection system. These costs were recorded as mining, technological and process development within exploration and evaluation expenses (Note 9) (three months ended June 30, 2025: $0.9 million).</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Exclusive Vessel Use Agreement with Allseas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August 1, 2023, the Company entered into an Exclusive Vessel Use Agreement with Allseas pursuant to which Allseas granted exclusive use of the vessel (“</w:t>
      </w:r>
      <w:r>
        <w:rPr>
          <w:rFonts w:ascii="Times New Roman;Times;serif" w:hAnsi="Times New Roman;Times;serif"/>
          <w:i/>
          <w:sz w:val="20"/>
        </w:rPr>
        <w:t>Hidden Gem</w:t>
      </w:r>
      <w:r>
        <w:rPr>
          <w:rFonts w:ascii="Times New Roman;Times;serif" w:hAnsi="Times New Roman;Times;serif"/>
          <w:sz w:val="20"/>
        </w:rPr>
        <w:t>”) to the Company in support of the development of the Project Zero Offshore Nodule Collection System until the system is completed or December 31, 2026, whichever is earlier. Allseas can terminate the agreement if the Company ceases normal operations, assigns assets to creditors, initiates bankruptcy proceedings, or faces unresolved bankruptcy-related actions.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360" w:right="0" w:hanging="0"/>
        <w:jc w:val="both"/>
        <w:rPr>
          <w:rFonts w:ascii="Times New Roman;Times;serif" w:hAnsi="Times New Roman;Times;serif"/>
          <w:sz w:val="20"/>
        </w:rPr>
      </w:pPr>
      <w:bookmarkStart w:id="1160" w:name="Tc_18KvaN5YOkujo40n28K2Jg_6_2"/>
      <w:bookmarkStart w:id="1161" w:name="Tc_rwzaGxGlEUCLcByWVBiHRw_6_0"/>
      <w:bookmarkStart w:id="1162" w:name="Tc_iZCNhEkzBUGE72gO4G-iaA_5_0"/>
      <w:bookmarkStart w:id="1163" w:name="Tc_yC0uhdSsok-sEIYFzuGt8w_4_2"/>
      <w:bookmarkStart w:id="1164" w:name="Tc_uB3i6jI6sUCYDtTo72T8Cw_4_0"/>
      <w:bookmarkStart w:id="1165" w:name="Tc_5OQ2e15T2Ey70Um2nFYMFg_3_0"/>
      <w:bookmarkStart w:id="1166" w:name="Tc_zOw4mVoiWU-i24R4hA-dKg_2_2"/>
      <w:bookmarkStart w:id="1167" w:name="Tc_5Gnu17zw3kqnfPwBFeF4lQ_2_0"/>
      <w:bookmarkStart w:id="1168" w:name="Tc_8oEz55EKeEO0meNpVYuIkg_1_2"/>
      <w:bookmarkEnd w:id="1160"/>
      <w:bookmarkEnd w:id="1161"/>
      <w:bookmarkEnd w:id="1162"/>
      <w:bookmarkEnd w:id="1163"/>
      <w:bookmarkEnd w:id="1164"/>
      <w:bookmarkEnd w:id="1165"/>
      <w:bookmarkEnd w:id="1166"/>
      <w:bookmarkEnd w:id="1167"/>
      <w:bookmarkEnd w:id="1168"/>
      <w:r>
        <w:rPr>
          <w:rFonts w:ascii="Times New Roman;Times;serif" w:hAnsi="Times New Roman;Times;serif"/>
          <w:sz w:val="20"/>
        </w:rPr>
        <w:t>For the three and six months ended June 30, 2026, the Company has recognized $0.5 million and $1 million, respectively as lease expense recorded as exploration and evaluation expense (for the three and six months ended June 30, 2025: $0.5 million and $1 million respectively).</w:t>
      </w:r>
    </w:p>
    <w:p>
      <w:pPr>
        <w:pStyle w:val="TextBody"/>
        <w:bidi w:val="0"/>
        <w:spacing w:before="0" w:after="0"/>
        <w:ind w:left="0" w:right="0" w:hanging="0"/>
        <w:jc w:val="left"/>
        <w:rPr/>
      </w:pPr>
      <w:r>
        <w:rPr/>
        <w:t>​</w:t>
      </w:r>
    </w:p>
    <w:tbl>
      <w:tblPr>
        <w:tblW w:w="4728" w:type="dxa"/>
        <w:jc w:val="left"/>
        <w:tblInd w:w="0" w:type="dxa"/>
        <w:tblLayout w:type="fixed"/>
        <w:tblCellMar>
          <w:top w:w="0" w:type="dxa"/>
          <w:left w:w="0" w:type="dxa"/>
          <w:bottom w:w="0" w:type="dxa"/>
          <w:right w:w="0" w:type="dxa"/>
        </w:tblCellMar>
      </w:tblPr>
      <w:tblGrid>
        <w:gridCol w:w="2911"/>
        <w:gridCol w:w="346"/>
        <w:gridCol w:w="349"/>
        <w:gridCol w:w="1122"/>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848485" cy="175260"/>
                      <wp:effectExtent l="0" t="0" r="0" b="0"/>
                      <wp:wrapNone/>
                      <wp:docPr id="49" name="Frame49"/>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21615" cy="175260"/>
                      <wp:effectExtent l="0" t="0" r="0" b="0"/>
                      <wp:wrapNone/>
                      <wp:docPr id="51" name="Frame51"/>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712470" cy="175260"/>
                      <wp:effectExtent l="0" t="0" r="0" b="0"/>
                      <wp:wrapNone/>
                      <wp:docPr id="52" name="Frame52"/>
                      <a:graphic xmlns:a="http://schemas.openxmlformats.org/drawingml/2006/main">
                        <a:graphicData uri="http://schemas.microsoft.com/office/word/2010/wordprocessingShape">
                          <wps:wsp>
                            <wps:cNvSpPr txBox="1"/>
                            <wps:spPr>
                              <a:xfrm>
                                <a:off x="0" y="0"/>
                                <a:ext cx="712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47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Right-of-use Asset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2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3,814</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expense during the year</w:t>
            </w:r>
          </w:p>
        </w:tc>
        <w:tc>
          <w:tcPr>
            <w:tcW w:w="346" w:type="dxa"/>
            <w:tcBorders/>
            <w:vAlign w:val="center"/>
          </w:tcPr>
          <w:p>
            <w:pPr>
              <w:pStyle w:val="TableContents"/>
              <w:bidi w:val="0"/>
              <w:spacing w:before="0" w:after="0"/>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(1,907)</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2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1,907</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expense during the period</w:t>
            </w:r>
          </w:p>
        </w:tc>
        <w:tc>
          <w:tcPr>
            <w:tcW w:w="346" w:type="dxa"/>
            <w:tcBorders/>
            <w:vAlign w:val="center"/>
          </w:tcPr>
          <w:p>
            <w:pPr>
              <w:pStyle w:val="TableContents"/>
              <w:bidi w:val="0"/>
              <w:spacing w:before="0" w:after="0"/>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(954)</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22"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953</w:t>
            </w:r>
          </w:p>
        </w:tc>
      </w:tr>
    </w:tbl>
    <w:p>
      <w:pPr>
        <w:pStyle w:val="TextBody"/>
        <w:bidi w:val="0"/>
        <w:spacing w:before="0" w:after="0"/>
        <w:ind w:left="360" w:right="0" w:hanging="0"/>
        <w:jc w:val="both"/>
        <w:rPr/>
      </w:pPr>
      <w:r>
        <w:rPr/>
        <w:t>​</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 xml:space="preserve">2023 Credit Facility and Loan Agreements with Company Related to Allseas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March 22, 2023, the Company entered into an Unsecured Credit Facility Agreement, which was amended on July 31, 2023 (“2023 Credit Facility”), with Argentum Cedit Virtuti GCV (the “Lender”), the parent of Allseas Investments S.A. (“Allseas Investments”) and an affiliate of Allseas, pursuant to which, the Company could borrow from the Lender up to $25 million in the aggregate, from time to time, subject to certain conditions. On March 24, 2025, the Company entered into a Letter Agreement with the Lender, pursuant to which the undrawn, unsecured credit facility was cancelled with the only remaining obligation being $2 million in underutilization fees, recorded as accrued liabilities in the Company’s Condensed Balance Sheet as at June 30, 2026.</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 xml:space="preserve">Other </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As at June 30, 2026, the total amount payable to Allseas and its affiliates was $83.7 million, with $40.5 million recorded in accrued liabilities and $43.2 million recorded in additional paid-in capital in the Condensed Consolidated Balance Sheets (Note 11) which was settled with an issuance of common shares on July 2, 2026 (December 31, 2025: $34.2 million recorded as accrued liabilities). As at June 30, 2026, Allseas and its affiliates owned 56.1 million TMC common shares (2025: 56.1 million TMC common shares) which constituted 12.9% (December 31, 2025: 13.3%) of total common shares outstanding. Including the shares issued on July 2, 2026, Allseas and its affiliates own 63.4 million TMC common shares, constituting 14.4% ownership of total common shares outstanding.</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bookmarkStart w:id="1169" w:name="Tc_IFOWVNrne0ulcmyNXL9RdA_13_0"/>
      <w:bookmarkStart w:id="1170" w:name="Tc_fp8vQLbbYkWBUWInhpszHQ_12_3"/>
      <w:bookmarkStart w:id="1171" w:name="Tc_VsJkqIDWyEmvbcW9Ii_XXg_12_0"/>
      <w:bookmarkStart w:id="1172" w:name="Tc_S3LuPf_T7065obXqZk-cWQ_11_5"/>
      <w:bookmarkStart w:id="1173" w:name="Tc_NueDRF7RLkSQw1taaM6QMw_11_0"/>
      <w:bookmarkStart w:id="1174" w:name="Tc_KS4RtNaM0kKyn2BW1JEwQw_10_0"/>
      <w:bookmarkStart w:id="1175" w:name="Tc_yKj_QjpBrUWKQP_wyYk_JA_9_5"/>
      <w:bookmarkStart w:id="1176" w:name="Tc_bZcOg_fb9UChoNI_BTtEUw_9_0"/>
      <w:bookmarkStart w:id="1177" w:name="Tc_rPEXbMqsbkyAgGOYTRCVFw_8_2"/>
      <w:bookmarkStart w:id="1178" w:name="Tc_BUtSFpzi8EeJl9TxE9OH9Q_8_0"/>
      <w:bookmarkStart w:id="1179" w:name="Tc_kKA828yMPUK38pX8_sGPxw_7_5"/>
      <w:bookmarkStart w:id="1180" w:name="Tc_Yg_Zz2vjI0KaWAHTjnWELw_7_0"/>
      <w:bookmarkStart w:id="1181" w:name="Tc_WuOuqH2VskqqCINZYioN4g_6_5"/>
      <w:bookmarkStart w:id="1182" w:name="Tc_F9OXVr12HEKPkWpJC8REWw_6_0"/>
      <w:bookmarkStart w:id="1183" w:name="Tc_xvus1fE-xEGYL4gPA2fWAQ_5_0"/>
      <w:bookmarkStart w:id="1184" w:name="Tc_k1D7Zqby3UK9eDro1fYaVA_4_0"/>
      <w:bookmarkStart w:id="1185" w:name="Tc_UNZDrI15IUugSkdyiubDGQ_3_5"/>
      <w:bookmarkStart w:id="1186" w:name="Tc_LXgxZ8c_sEeDOJB-gg9T1w_3_2"/>
      <w:bookmarkStart w:id="1187" w:name="Tc_RJiwOPIOx026B-6A3q752A_3_0"/>
      <w:bookmarkStart w:id="1188" w:name="Tc_C429SDv1kkeFtwZS3kXthA_2_5"/>
      <w:bookmarkStart w:id="1189" w:name="Tc_vikX3Ki0-US2lb24sHR8gg_2_2"/>
      <w:bookmarkStart w:id="1190" w:name="Tc_ftCkm84z5EmEKSU2S-C5MQ_1_5"/>
      <w:bookmarkStart w:id="1191" w:name="Tc_xTjYMf_Frk6_pErtnOpYdw_1_2"/>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r>
        <w:rPr>
          <w:rFonts w:ascii="Times New Roman;Times;serif" w:hAnsi="Times New Roman;Times;serif"/>
          <w:b/>
          <w:i w:val="false"/>
          <w:caps w:val="false"/>
          <w:smallCaps w:val="false"/>
          <w:sz w:val="20"/>
        </w:rPr>
        <w:t>7.</w:t>
      </w:r>
      <w:r>
        <w:rPr>
          <w:rFonts w:ascii="Times New Roman;Times;serif" w:hAnsi="Times New Roman;Times;serif"/>
          <w:b/>
          <w:sz w:val="20"/>
        </w:rPr>
        <w:t>Investments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table below summarizes the changes in the Company’s investments during the period:</w:t>
      </w:r>
    </w:p>
    <w:p>
      <w:pPr>
        <w:pStyle w:val="TextBody"/>
        <w:bidi w:val="0"/>
        <w:spacing w:before="0" w:after="0"/>
        <w:ind w:left="0" w:right="0" w:hanging="0"/>
        <w:jc w:val="left"/>
        <w:rPr/>
      </w:pPr>
      <w:r>
        <w:rPr/>
        <w:t>​</w:t>
      </w:r>
    </w:p>
    <w:tbl>
      <w:tblPr>
        <w:tblW w:w="8254" w:type="dxa"/>
        <w:jc w:val="left"/>
        <w:tblInd w:w="0" w:type="dxa"/>
        <w:tblLayout w:type="fixed"/>
        <w:tblCellMar>
          <w:top w:w="0" w:type="dxa"/>
          <w:left w:w="0" w:type="dxa"/>
          <w:bottom w:w="0" w:type="dxa"/>
          <w:right w:w="0" w:type="dxa"/>
        </w:tblCellMar>
      </w:tblPr>
      <w:tblGrid>
        <w:gridCol w:w="4891"/>
        <w:gridCol w:w="346"/>
        <w:gridCol w:w="358"/>
        <w:gridCol w:w="1172"/>
        <w:gridCol w:w="346"/>
        <w:gridCol w:w="1141"/>
      </w:tblGrid>
      <w:tr>
        <w:trPr/>
        <w:tc>
          <w:tcPr>
            <w:tcW w:w="4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3105785" cy="175260"/>
                      <wp:effectExtent l="0" t="0" r="0" b="0"/>
                      <wp:wrapNone/>
                      <wp:docPr id="53" name="Frame53"/>
                      <a:graphic xmlns:a="http://schemas.openxmlformats.org/drawingml/2006/main">
                        <a:graphicData uri="http://schemas.microsoft.com/office/word/2010/wordprocessingShape">
                          <wps:wsp>
                            <wps:cNvSpPr txBox="1"/>
                            <wps:spPr>
                              <a:xfrm>
                                <a:off x="0" y="0"/>
                                <a:ext cx="310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27330" cy="175260"/>
                      <wp:effectExtent l="0" t="0" r="0" b="0"/>
                      <wp:wrapNone/>
                      <wp:docPr id="55" name="Frame55"/>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744220" cy="175260"/>
                      <wp:effectExtent l="0" t="0" r="0" b="0"/>
                      <wp:wrapNone/>
                      <wp:docPr id="56" name="Frame56"/>
                      <a:graphic xmlns:a="http://schemas.openxmlformats.org/drawingml/2006/main">
                        <a:graphicData uri="http://schemas.microsoft.com/office/word/2010/wordprocessingShape">
                          <wps:wsp>
                            <wps:cNvSpPr txBox="1"/>
                            <wps:spPr>
                              <a:xfrm>
                                <a:off x="0" y="0"/>
                                <a:ext cx="744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724535" cy="175260"/>
                      <wp:effectExtent l="0" t="0" r="0" b="0"/>
                      <wp:wrapNone/>
                      <wp:docPr id="58" name="Frame5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30"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The Metals Royalty</w:t>
            </w:r>
          </w:p>
        </w:tc>
        <w:tc>
          <w:tcPr>
            <w:tcW w:w="346" w:type="dxa"/>
            <w:tcBorders/>
            <w:vAlign w:val="center"/>
          </w:tcPr>
          <w:p>
            <w:pPr>
              <w:pStyle w:val="TableContents"/>
              <w:bidi w:val="0"/>
              <w:spacing w:before="0" w:after="0"/>
              <w:ind w:left="0" w:right="0" w:hanging="0"/>
              <w:jc w:val="center"/>
              <w:rPr/>
            </w:pPr>
            <w:r>
              <w:rPr/>
              <w:t>  ​ ​ ​</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1554997 B.C.</w:t>
            </w:r>
          </w:p>
        </w:tc>
      </w:tr>
      <w:tr>
        <w:trPr/>
        <w:tc>
          <w:tcPr>
            <w:tcW w:w="4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3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Company</w:t>
            </w:r>
          </w:p>
        </w:tc>
        <w:tc>
          <w:tcPr>
            <w:tcW w:w="346"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Ltd.</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Investment as at December 31, 2024</w:t>
            </w:r>
          </w:p>
        </w:tc>
        <w:tc>
          <w:tcPr>
            <w:tcW w:w="346" w:type="dxa"/>
            <w:tcBorders/>
            <w:shd w:fill="CCEEFF" w:val="clear"/>
            <w:vAlign w:val="center"/>
          </w:tcPr>
          <w:p>
            <w:pPr>
              <w:pStyle w:val="TableContents"/>
              <w:bidi w:val="0"/>
              <w:spacing w:before="0" w:after="0"/>
              <w:ind w:left="0" w:right="0" w:hanging="0"/>
              <w:jc w:val="center"/>
              <w:rPr/>
            </w:pPr>
            <w:r>
              <w:rPr/>
              <w:t>​</w:t>
            </w:r>
          </w:p>
        </w:tc>
        <w:tc>
          <w:tcPr>
            <w:tcW w:w="35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7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8,203</w:t>
            </w:r>
          </w:p>
        </w:tc>
        <w:tc>
          <w:tcPr>
            <w:tcW w:w="346"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Spin-out transaction</w:t>
            </w:r>
          </w:p>
        </w:tc>
        <w:tc>
          <w:tcPr>
            <w:tcW w:w="346" w:type="dxa"/>
            <w:tcBorders/>
            <w:vAlign w:val="center"/>
          </w:tcPr>
          <w:p>
            <w:pPr>
              <w:pStyle w:val="TableContents"/>
              <w:bidi w:val="0"/>
              <w:spacing w:before="0" w:after="0"/>
              <w:ind w:left="0" w:right="0" w:hanging="0"/>
              <w:jc w:val="center"/>
              <w:rPr/>
            </w:pPr>
            <w:r>
              <w:rPr/>
              <w:t>​</w:t>
            </w:r>
          </w:p>
        </w:tc>
        <w:tc>
          <w:tcPr>
            <w:tcW w:w="358" w:type="dxa"/>
            <w:tcBorders/>
            <w:vAlign w:val="center"/>
          </w:tcPr>
          <w:p>
            <w:pPr>
              <w:pStyle w:val="TableContents"/>
              <w:bidi w:val="0"/>
              <w:spacing w:before="0" w:after="0"/>
              <w:ind w:left="0" w:right="0" w:hanging="0"/>
              <w:jc w:val="left"/>
              <w:rPr/>
            </w:pPr>
            <w:r>
              <w:rPr/>
              <w:t>​</w:t>
            </w:r>
          </w:p>
        </w:tc>
        <w:tc>
          <w:tcPr>
            <w:tcW w:w="11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(3,739)</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3,739</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Return of capital</w:t>
            </w:r>
          </w:p>
        </w:tc>
        <w:tc>
          <w:tcPr>
            <w:tcW w:w="346"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11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Dilution gain</w:t>
            </w:r>
          </w:p>
        </w:tc>
        <w:tc>
          <w:tcPr>
            <w:tcW w:w="346"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11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5,649</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Equity-accounted investment gain for the year ended 2025</w:t>
            </w:r>
          </w:p>
        </w:tc>
        <w:tc>
          <w:tcPr>
            <w:tcW w:w="346" w:type="dxa"/>
            <w:tcBorders/>
            <w:shd w:fill="CCEEFF" w:val="clear"/>
            <w:vAlign w:val="center"/>
          </w:tcPr>
          <w:p>
            <w:pPr>
              <w:pStyle w:val="TableContents"/>
              <w:bidi w:val="0"/>
              <w:spacing w:before="0" w:after="0"/>
              <w:ind w:left="0" w:right="0" w:hanging="0"/>
              <w:jc w:val="center"/>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c>
          <w:tcPr>
            <w:tcW w:w="346" w:type="dxa"/>
            <w:tcBorders/>
            <w:shd w:fill="CCEEFF" w:val="clear"/>
            <w:vAlign w:val="center"/>
          </w:tcPr>
          <w:p>
            <w:pPr>
              <w:pStyle w:val="TableContents"/>
              <w:bidi w:val="0"/>
              <w:spacing w:before="0" w:after="0"/>
              <w:ind w:left="0" w:right="0" w:hanging="0"/>
              <w:jc w:val="center"/>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Investment as at December 31, 2025</w:t>
            </w:r>
          </w:p>
        </w:tc>
        <w:tc>
          <w:tcPr>
            <w:tcW w:w="346"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7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10,054</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3,393</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additional investment</w:t>
            </w:r>
          </w:p>
        </w:tc>
        <w:tc>
          <w:tcPr>
            <w:tcW w:w="346"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117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Equity-accounted investment loss the period</w:t>
            </w:r>
          </w:p>
        </w:tc>
        <w:tc>
          <w:tcPr>
            <w:tcW w:w="346"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117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(4,276)</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(248)</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Dilution gain</w:t>
            </w:r>
          </w:p>
        </w:tc>
        <w:tc>
          <w:tcPr>
            <w:tcW w:w="346"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117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23,071</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Return of capital</w:t>
            </w:r>
          </w:p>
        </w:tc>
        <w:tc>
          <w:tcPr>
            <w:tcW w:w="346" w:type="dxa"/>
            <w:tcBorders/>
            <w:vAlign w:val="center"/>
          </w:tcPr>
          <w:p>
            <w:pPr>
              <w:pStyle w:val="TableContents"/>
              <w:bidi w:val="0"/>
              <w:spacing w:before="0" w:after="0"/>
              <w:ind w:left="0" w:right="0" w:hanging="0"/>
              <w:jc w:val="left"/>
              <w:rPr/>
            </w:pPr>
            <w:r>
              <w:rPr/>
              <w:t>​</w:t>
            </w:r>
          </w:p>
        </w:tc>
        <w:tc>
          <w:tcPr>
            <w:tcW w:w="3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(152)</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Investment as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29,849</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2,993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Investment in The Metals Royalty Company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February 21, 2023 (the “Closing Date”), the Company and its wholly-owned subsidiary, NORI, entered into an investment agreement (the “Royalty Agreement”) with The Metals Royalty Company Inc. (“The Metals Royalty Company” or “TMCR”) formerly known as Low Carbon Royalties. In connection with the Royalty Agreement, NORI contributed a 2% gross overriding royalty (the “NORI Royalty”) (Note 8) on the Company’s NORI project area in the CCZ to The Metals Royalty Company. As per the agreement, 5 million contingent value rights (“CVR”) were issued to NORI. The CVR would convert into 5 million additional shares of The Metals Royalty Company all of which would be issued to NORI, in the event the Exploitation License is found, in a final decision, to be invalid by the Colombian National Agency of Hydrocarbons. The CVR has expired as The Metals Royalty Company Inc. began public trading on Nasdaq in the second quarter of 2026.</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May 6, 2026, The Metals Royalty Company entered into a royalty purchase agreement to acquire a 1% index-priced gross overriding production royalty, with a revenue floor, over an iron ore project located in Nashwauk, Minnesota, together with an option to acquire an additional 1% royalty on substantially the same terms. The aggregate purchase price for each royalty acquisition is $132.5 million, comprising $125.0 million in cash and $7.5 million in common shares. The initial royalty acquisition closed on June 1, 2026, with the cash consideration funded through a combination of a private placement, borrowings under a senior secured credit facility and a portion of the previously paid transaction deposit. On May 29, 2026, The Metals Royalty Company exercised its option to acquire an additional 1.0% royalty. As of June 30, 2026, the additional royalty acquisition had not yet closed.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three and six months ended June 30, 2026, The Metals Royalty Company issued 6,983,616 common and 11,118,097 common shares in relation to a finance offering (the “Offering”), compensation expenses and royalty purchase. The Company participated in the Offering and acquired 76,923 shares of TMCR for $1 million. As the shares were issued by TMCR at a price higher than the carrying amount per share of the Company’s investment in TMCR, the Company recorded a dilution gain of $18.5 million in the second quarter of 2026 (dilution gain of $23.1 million for the six months ended June 30, 2026). As a result of the various share issuances by TMCR in the first half of 2026, the Company’s ownership interest in TMCR reduced from 27.2% to 22.4%. (December 31, 2025: 27.2%). By virtue of its ownership interest, the Company has representation on the board of directors of TMCR, providing the Company with the ability to exercise significant influence over TMCR’s operating and financial activities. Accordingly, the Company’s investment in The Metals Royalty Company is accounted for under the equity method in accordance with ASC 323 (</w:t>
      </w:r>
      <w:r>
        <w:rPr>
          <w:rFonts w:ascii="Times New Roman;Times;serif" w:hAnsi="Times New Roman;Times;serif"/>
          <w:i/>
          <w:sz w:val="20"/>
        </w:rPr>
        <w:t>Investments</w:t>
      </w:r>
      <w:r>
        <w:rPr>
          <w:rFonts w:ascii="Times New Roman;Times;serif" w:hAnsi="Times New Roman;Times;serif"/>
          <w:sz w:val="20"/>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For the three and six months ended June 30, 2026, the Company’s share of the net loss generated by The Metals Royalty Company was $1.6 million and $4.3 million, respectively (for the three and six months ended June 30, 2025, the Company’s share of The Metals Royalty Company’s net loss was: $89 thousand and $54 thousand).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June 30, 2026, The Metals Royalty Company had 872,250 stock options and 4,569,000 restricted share units outstanding, the settlement of which may significantly affect the Company’s ownership and its share of future reported earnings or losses.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360" w:right="0" w:hanging="0"/>
        <w:jc w:val="both"/>
        <w:rPr>
          <w:rFonts w:ascii="Times New Roman;Times;serif" w:hAnsi="Times New Roman;Times;serif"/>
          <w:sz w:val="20"/>
        </w:rPr>
      </w:pPr>
      <w:bookmarkStart w:id="1192" w:name="Tc_OV0oW-NEXk-W1_rcSu7wew_5_0"/>
      <w:bookmarkStart w:id="1193" w:name="Tc_1kijenpc0UGSGjqtKBevVQ_4_0"/>
      <w:bookmarkStart w:id="1194" w:name="Tc_pCDf1EuXtk61s7ZSVCrvww_3_5"/>
      <w:bookmarkStart w:id="1195" w:name="Tc__di1JPmN7km-iHBOUUNzRQ_3_2"/>
      <w:bookmarkStart w:id="1196" w:name="Tc_RvOGyV476kKt0x42Zt6xUA_3_0"/>
      <w:bookmarkStart w:id="1197" w:name="Tc_11TRUMjbL0mtAn5D2Ey9Jg_2_5"/>
      <w:bookmarkStart w:id="1198" w:name="Tc_bqpbvwgW_k6VjSJzenvSqg_2_2"/>
      <w:bookmarkStart w:id="1199" w:name="Tc_1nRfXFVU8EGm3sYZtgiROQ_1_5"/>
      <w:bookmarkStart w:id="1200" w:name="Tc_Eosb4H071ku7qvvMzPApAQ_1_2"/>
      <w:bookmarkStart w:id="1201" w:name="_b5fe35f3_48ce_4e1c_8208_bab345f5e0b3"/>
      <w:bookmarkStart w:id="1202" w:name="Tc_69-szyyeLk-Fodqc9hA9qQ_6_0"/>
      <w:bookmarkStart w:id="1203" w:name="Tc_R3Sm9r_6t0-w1QMj9m6cNA_5_0"/>
      <w:bookmarkStart w:id="1204" w:name="Tc_uCTHrj_clUWFSuPpXykM6A_4_0"/>
      <w:bookmarkStart w:id="1205" w:name="Tc_tqoP4hbQG0-9d6fpr_QvDg_3_5"/>
      <w:bookmarkStart w:id="1206" w:name="Tc_QTghL-iLPEOy4zDel0rEAQ_3_2"/>
      <w:bookmarkStart w:id="1207" w:name="Tc_WW7UkQjDokKuPf3sIJjk7g_3_0"/>
      <w:bookmarkStart w:id="1208" w:name="Tc_J9A2wdTLy0qZMoiHMshlcg_2_5"/>
      <w:bookmarkStart w:id="1209" w:name="Tc_n4Rbk9p--UCbSqTVsFMMLA_2_2"/>
      <w:bookmarkStart w:id="1210" w:name="Tc_G3tDk9xjM0yJZUTVkgMcRQ_1_5"/>
      <w:bookmarkStart w:id="1211" w:name="Tc_OUHiwP2aTUS28zcZeHKOJA_1_2"/>
      <w:bookmarkStart w:id="1212" w:name="_7b45bdf3_0eb2_4d52_ac72_e5768f37b8fb"/>
      <w:bookmarkStart w:id="1213" w:name="Tc_6dkHYXO73US8U9z85TLzgQ_6_9"/>
      <w:bookmarkStart w:id="1214" w:name="Tc_y1jghf9kFkul7NxTwm8lZg_6_3"/>
      <w:bookmarkStart w:id="1215" w:name="Tc_6ISq_dPhwEOzJexx4vGo_g_6_0"/>
      <w:bookmarkStart w:id="1216" w:name="Tc_tN-_n3VHckuSqRdg85fDhg_5_0"/>
      <w:bookmarkStart w:id="1217" w:name="Tc_9-BuUM2fk0qSQopJsZ7Jpw_4_11"/>
      <w:bookmarkStart w:id="1218" w:name="Tc_FGORPCLJJEixhOTskc9tgA_4_8"/>
      <w:bookmarkStart w:id="1219" w:name="Tc_17t0icNDC0-B8BM9JLPBSQ_4_5"/>
      <w:bookmarkStart w:id="1220" w:name="Tc_51O9vCFKrk2qSD3mR8JlTw_4_2"/>
      <w:bookmarkStart w:id="1221" w:name="Tc_U7xhpBixuUOtrjaeFV0wDw_4_0"/>
      <w:bookmarkStart w:id="1222" w:name="Tc_vsRBM_tv-0qCFC7pZpBg8g_3_11"/>
      <w:bookmarkStart w:id="1223" w:name="Tc_wJVYcuaGdk2L2xr9sB-waA_3_8"/>
      <w:bookmarkStart w:id="1224" w:name="Tc_yDndYIEEIkOM4pep_5T3og_3_5"/>
      <w:bookmarkStart w:id="1225" w:name="Tc_fuImexI0HkiiOlUTrWn9ng_3_2"/>
      <w:bookmarkStart w:id="1226" w:name="Tc_Ga71d6KbrE2yssTejIZ4qg_2_8"/>
      <w:bookmarkStart w:id="1227" w:name="Tc_L2th8gjCaUSJIc8GJOD2Ug_2_2"/>
      <w:bookmarkStart w:id="1228" w:name="Tc_OlUH4gGFSEiMLl8EVBt50w_1_8"/>
      <w:bookmarkStart w:id="1229" w:name="Tc_jz_E13B3REmV0CRcD0-3Xw_1_2"/>
      <w:bookmarkStart w:id="1230" w:name="Tc_aYlZB95sMkWWd65hdy0bbg_6_6"/>
      <w:bookmarkStart w:id="1231" w:name="Tc_yPuErl-3Zku3un1rvJ5AJw_6_0"/>
      <w:bookmarkStart w:id="1232" w:name="Tc_-8wvzTGT40epEAbKk25sTQ_5_0"/>
      <w:bookmarkStart w:id="1233" w:name="Tc_v5N70BmrmU-8YrmEwMdf0g_4_0"/>
      <w:bookmarkStart w:id="1234" w:name="Tc_miMlz2q4gUiX8tp-jDjI3A_3_5"/>
      <w:bookmarkStart w:id="1235" w:name="Tc_ILIjUgRjCkmEm6em_fi6tA_3_2"/>
      <w:bookmarkStart w:id="1236" w:name="Tc_yKJZO8bYekaQWP9VspWlhw_3_0"/>
      <w:bookmarkStart w:id="1237" w:name="Tc_pXt6jGObVka1XWJrBV3bOQ_2_5"/>
      <w:bookmarkStart w:id="1238" w:name="Tc_ejTZecqxIEyKp2G-pHF9gQ_2_2"/>
      <w:bookmarkStart w:id="1239" w:name="Tc_7gv5D9fbiESaeL3ZUWfadw_1_5"/>
      <w:bookmarkStart w:id="1240" w:name="Tc_aRkH-22jqU2Z3HCSbDsuDg_1_2"/>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r>
        <w:rPr>
          <w:rFonts w:ascii="Times New Roman;Times;serif" w:hAnsi="Times New Roman;Times;serif"/>
          <w:sz w:val="20"/>
        </w:rPr>
        <w:t>Financial results of The Metals Royalty Company as at and for the three and six months ended June 30, 2026, and 2025 are summarized below:</w:t>
      </w:r>
    </w:p>
    <w:p>
      <w:pPr>
        <w:pStyle w:val="TextBody"/>
        <w:bidi w:val="0"/>
        <w:spacing w:before="0" w:after="0"/>
        <w:ind w:left="0" w:right="0" w:hanging="0"/>
        <w:jc w:val="left"/>
        <w:rPr/>
      </w:pPr>
      <w:r>
        <w:rPr/>
        <w:t>​</w:t>
      </w:r>
    </w:p>
    <w:tbl>
      <w:tblPr>
        <w:tblW w:w="5043" w:type="dxa"/>
        <w:jc w:val="left"/>
        <w:tblInd w:w="0" w:type="dxa"/>
        <w:tblLayout w:type="fixed"/>
        <w:tblCellMar>
          <w:top w:w="0" w:type="dxa"/>
          <w:left w:w="0" w:type="dxa"/>
          <w:bottom w:w="0" w:type="dxa"/>
          <w:right w:w="0" w:type="dxa"/>
        </w:tblCellMar>
      </w:tblPr>
      <w:tblGrid>
        <w:gridCol w:w="1606"/>
        <w:gridCol w:w="346"/>
        <w:gridCol w:w="252"/>
        <w:gridCol w:w="933"/>
        <w:gridCol w:w="346"/>
        <w:gridCol w:w="353"/>
        <w:gridCol w:w="1207"/>
      </w:tblGrid>
      <w:tr>
        <w:trPr/>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019810" cy="175260"/>
                      <wp:effectExtent l="0" t="0" r="0" b="0"/>
                      <wp:wrapNone/>
                      <wp:docPr id="59" name="Frame59"/>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60"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60020" cy="175260"/>
                      <wp:effectExtent l="0" t="0" r="0" b="0"/>
                      <wp:wrapNone/>
                      <wp:docPr id="61" name="Frame61"/>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92455" cy="175260"/>
                      <wp:effectExtent l="0" t="0" r="0" b="0"/>
                      <wp:wrapNone/>
                      <wp:docPr id="62" name="Frame62"/>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24155" cy="175260"/>
                      <wp:effectExtent l="0" t="0" r="0" b="0"/>
                      <wp:wrapNone/>
                      <wp:docPr id="64" name="Frame64"/>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766445" cy="175260"/>
                      <wp:effectExtent l="0" t="0" r="0" b="0"/>
                      <wp:wrapNone/>
                      <wp:docPr id="65" name="Frame65"/>
                      <a:graphic xmlns:a="http://schemas.openxmlformats.org/drawingml/2006/main">
                        <a:graphicData uri="http://schemas.microsoft.com/office/word/2010/wordprocessingShape">
                          <wps:wsp>
                            <wps:cNvSpPr txBox="1"/>
                            <wps:spPr>
                              <a:xfrm>
                                <a:off x="0" y="0"/>
                                <a:ext cx="766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85"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As at June 30, </w:t>
            </w:r>
          </w:p>
        </w:tc>
        <w:tc>
          <w:tcPr>
            <w:tcW w:w="346" w:type="dxa"/>
            <w:tcBorders/>
            <w:vAlign w:val="center"/>
          </w:tcPr>
          <w:p>
            <w:pPr>
              <w:pStyle w:val="TableContents"/>
              <w:bidi w:val="0"/>
              <w:spacing w:before="0" w:after="0"/>
              <w:ind w:left="0" w:right="0" w:hanging="0"/>
              <w:jc w:val="center"/>
              <w:rPr/>
            </w:pPr>
            <w:r>
              <w:rPr/>
              <w:t>  ​ ​ ​</w:t>
            </w:r>
          </w:p>
        </w:tc>
        <w:tc>
          <w:tcPr>
            <w:tcW w:w="1560"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As at December 31,</w:t>
            </w:r>
          </w:p>
        </w:tc>
      </w:tr>
      <w:tr>
        <w:trPr/>
        <w:tc>
          <w:tcPr>
            <w:tcW w:w="1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12,899</w:t>
            </w:r>
          </w:p>
        </w:tc>
        <w:tc>
          <w:tcPr>
            <w:tcW w:w="346" w:type="dxa"/>
            <w:tcBorders/>
            <w:shd w:fill="CCEEFF" w:val="clear"/>
            <w:vAlign w:val="center"/>
          </w:tcPr>
          <w:p>
            <w:pPr>
              <w:pStyle w:val="TableContents"/>
              <w:bidi w:val="0"/>
              <w:spacing w:before="0" w:after="0"/>
              <w:ind w:left="0" w:right="0" w:hanging="0"/>
              <w:jc w:val="left"/>
              <w:rPr/>
            </w:pPr>
            <w:r>
              <w:rPr/>
              <w:t> </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18,853</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assets</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157,416</w:t>
            </w:r>
          </w:p>
        </w:tc>
        <w:tc>
          <w:tcPr>
            <w:tcW w:w="346" w:type="dxa"/>
            <w:tcBorders/>
            <w:vAlign w:val="center"/>
          </w:tcPr>
          <w:p>
            <w:pPr>
              <w:pStyle w:val="TableContents"/>
              <w:bidi w:val="0"/>
              <w:spacing w:before="0" w:after="0"/>
              <w:ind w:left="0" w:right="0" w:hanging="0"/>
              <w:jc w:val="left"/>
              <w:rPr/>
            </w:pPr>
            <w:r>
              <w:rPr/>
              <w:t> </w:t>
            </w:r>
          </w:p>
        </w:tc>
        <w:tc>
          <w:tcPr>
            <w:tcW w:w="353" w:type="dxa"/>
            <w:tcBorders/>
            <w:vAlign w:val="center"/>
          </w:tcPr>
          <w:p>
            <w:pPr>
              <w:pStyle w:val="TableContents"/>
              <w:bidi w:val="0"/>
              <w:spacing w:before="0" w:after="0"/>
              <w:ind w:left="0" w:right="0" w:hanging="0"/>
              <w:jc w:val="left"/>
              <w:rPr/>
            </w:pPr>
            <w:r>
              <w:rPr/>
              <w:t>​</w:t>
            </w:r>
          </w:p>
        </w:tc>
        <w:tc>
          <w:tcPr>
            <w:tcW w:w="12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14,095</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7,723</w:t>
            </w:r>
          </w:p>
        </w:tc>
        <w:tc>
          <w:tcPr>
            <w:tcW w:w="346" w:type="dxa"/>
            <w:tcBorders/>
            <w:shd w:fill="CCEEFF" w:val="clear"/>
            <w:vAlign w:val="center"/>
          </w:tcPr>
          <w:p>
            <w:pPr>
              <w:pStyle w:val="TableContents"/>
              <w:bidi w:val="0"/>
              <w:spacing w:before="0" w:after="0"/>
              <w:ind w:left="0" w:right="0" w:hanging="0"/>
              <w:jc w:val="left"/>
              <w:rPr/>
            </w:pPr>
            <w:r>
              <w:rPr/>
              <w:t> </w:t>
            </w:r>
          </w:p>
        </w:tc>
        <w:tc>
          <w:tcPr>
            <w:tcW w:w="353" w:type="dxa"/>
            <w:tcBorders/>
            <w:shd w:fill="CCEEFF" w:val="clear"/>
            <w:vAlign w:val="center"/>
          </w:tcPr>
          <w:p>
            <w:pPr>
              <w:pStyle w:val="TableContents"/>
              <w:bidi w:val="0"/>
              <w:spacing w:before="0" w:after="0"/>
              <w:ind w:left="0" w:right="0" w:hanging="0"/>
              <w:jc w:val="left"/>
              <w:rPr/>
            </w:pPr>
            <w:r>
              <w:rPr/>
              <w:t>​</w:t>
            </w:r>
          </w:p>
        </w:tc>
        <w:tc>
          <w:tcPr>
            <w:tcW w:w="12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1,763</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 term debt</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41,737</w:t>
            </w:r>
          </w:p>
        </w:tc>
        <w:tc>
          <w:tcPr>
            <w:tcW w:w="346" w:type="dxa"/>
            <w:tcBorders/>
            <w:vAlign w:val="center"/>
          </w:tcPr>
          <w:p>
            <w:pPr>
              <w:pStyle w:val="TableContents"/>
              <w:bidi w:val="0"/>
              <w:spacing w:before="0" w:after="0"/>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7" w:type="dxa"/>
            <w:tcBorders>
              <w:bottom w:val="single" w:sz="2"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360" w:right="0" w:hanging="0"/>
        <w:jc w:val="both"/>
        <w:rPr/>
      </w:pPr>
      <w:r>
        <w:rPr/>
        <w:t>​</w:t>
      </w:r>
    </w:p>
    <w:tbl>
      <w:tblPr>
        <w:tblW w:w="8378" w:type="dxa"/>
        <w:jc w:val="left"/>
        <w:tblInd w:w="0" w:type="dxa"/>
        <w:tblLayout w:type="fixed"/>
        <w:tblCellMar>
          <w:top w:w="0" w:type="dxa"/>
          <w:left w:w="0" w:type="dxa"/>
          <w:bottom w:w="0" w:type="dxa"/>
          <w:right w:w="0" w:type="dxa"/>
        </w:tblCellMar>
      </w:tblPr>
      <w:tblGrid>
        <w:gridCol w:w="3976"/>
        <w:gridCol w:w="346"/>
        <w:gridCol w:w="211"/>
        <w:gridCol w:w="571"/>
        <w:gridCol w:w="346"/>
        <w:gridCol w:w="211"/>
        <w:gridCol w:w="541"/>
        <w:gridCol w:w="346"/>
        <w:gridCol w:w="211"/>
        <w:gridCol w:w="676"/>
        <w:gridCol w:w="146"/>
        <w:gridCol w:w="211"/>
        <w:gridCol w:w="586"/>
      </w:tblGrid>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362585" cy="175260"/>
                      <wp:effectExtent l="0" t="0" r="0" b="0"/>
                      <wp:wrapNone/>
                      <wp:docPr id="68" name="Frame6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343535" cy="175260"/>
                      <wp:effectExtent l="0" t="0" r="0" b="0"/>
                      <wp:wrapNone/>
                      <wp:docPr id="71" name="Frame71"/>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29260" cy="175260"/>
                      <wp:effectExtent l="0" t="0" r="0" b="0"/>
                      <wp:wrapNone/>
                      <wp:docPr id="74" name="Frame7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92710" cy="175260"/>
                      <wp:effectExtent l="0" t="0" r="0" b="0"/>
                      <wp:wrapNone/>
                      <wp:docPr id="75" name="Frame7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72110" cy="175260"/>
                      <wp:effectExtent l="0" t="0" r="0" b="0"/>
                      <wp:wrapNone/>
                      <wp:docPr id="77" name="Frame7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88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  ​ ​ ​</w:t>
            </w:r>
          </w:p>
        </w:tc>
        <w:tc>
          <w:tcPr>
            <w:tcW w:w="18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8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2025</w:t>
            </w:r>
          </w:p>
        </w:tc>
        <w:tc>
          <w:tcPr>
            <w:tcW w:w="346" w:type="dxa"/>
            <w:tcBorders/>
            <w:vAlign w:val="center"/>
          </w:tcPr>
          <w:p>
            <w:pPr>
              <w:pStyle w:val="TableContents"/>
              <w:bidi w:val="0"/>
              <w:spacing w:before="0" w:after="0"/>
              <w:ind w:left="0" w:right="0" w:hanging="0"/>
              <w:jc w:val="righ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2025</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 from continuing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5,814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16,438</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from continuing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6,336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16,406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from discontinued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w:t>
            </w:r>
          </w:p>
        </w:tc>
      </w:tr>
    </w:tbl>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b/>
          <w:sz w:val="20"/>
        </w:rPr>
      </w:pPr>
      <w:r>
        <w:rPr>
          <w:rFonts w:ascii="Times New Roman;Times;serif" w:hAnsi="Times New Roman;Times;serif"/>
          <w:b/>
          <w:sz w:val="20"/>
        </w:rPr>
        <w:t>Investment in 1554997 B.C. Ltd</w:t>
      </w:r>
    </w:p>
    <w:p>
      <w:pPr>
        <w:pStyle w:val="TextBody"/>
        <w:bidi w:val="0"/>
        <w:spacing w:before="0" w:after="0"/>
        <w:ind w:left="36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In the fourth quarter of 2025, The Metals Royalty Company transferred its oil and gas royalty assets to 1554997 B.C. Ltd. in exchange for shares of 1554997 B.C. Ltd (“Spin-Out transaction”). The Company holds 27.2% ownership interest (December 31, 2025: 27.2%) and has representation on the board of directors of 1554997 B.C. Ltd., providing the Company with the ability to exercise significant influence over 1554997 B.C. Ltd.’s operating and financial activities. Accordingly, the investment is accounted under the equity method in accordance with ASC 323 (</w:t>
      </w:r>
      <w:r>
        <w:rPr>
          <w:rFonts w:ascii="Times New Roman;Times;serif" w:hAnsi="Times New Roman;Times;serif"/>
          <w:i/>
          <w:sz w:val="20"/>
        </w:rPr>
        <w:t>Investments</w:t>
      </w:r>
      <w:r>
        <w:rPr>
          <w:rFonts w:ascii="Times New Roman;Times;serif" w:hAnsi="Times New Roman;Times;serif"/>
          <w:sz w:val="20"/>
        </w:rPr>
        <w:t xml:space="preserve">). </w:t>
      </w:r>
    </w:p>
    <w:p>
      <w:pPr>
        <w:pStyle w:val="TextBody"/>
        <w:bidi w:val="0"/>
        <w:spacing w:before="0" w:after="0"/>
        <w:ind w:left="36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Company records its share of the investee’s results on a one-quarter reporting lag. Accordingly, for the three and six months ended June 30, 2026, the Company recognized its share of the Investee’s results for the three and six months ended March 31, 2026 (from December 18, 2025, to March 31, 2026). Based on the reporting lag, the Company recognized equity method income of $32 thousand for the three months ended June 30, 2026, and equity method losses of $248 thousand for the six months ended June 30, 2026. In the three and six months ended June 30, 2026, 1554997 B.C. Ltd declared and remitted a return of capital of $0.011 per share amounting to $0.2 million.</w:t>
      </w:r>
    </w:p>
    <w:p>
      <w:pPr>
        <w:pStyle w:val="TextBody"/>
        <w:bidi w:val="0"/>
        <w:spacing w:before="0" w:after="0"/>
        <w:ind w:left="360" w:right="0" w:hanging="0"/>
        <w:jc w:val="both"/>
        <w:rPr/>
      </w:pPr>
      <w:r>
        <w:rPr/>
        <w:t>​</w:t>
      </w:r>
    </w:p>
    <w:p>
      <w:pPr>
        <w:pStyle w:val="TextBody"/>
        <w:bidi w:val="0"/>
        <w:spacing w:before="0" w:after="0"/>
        <w:ind w:left="360" w:right="0" w:hanging="0"/>
        <w:jc w:val="both"/>
        <w:rPr>
          <w:rFonts w:ascii="Times New Roman;Times;serif" w:hAnsi="Times New Roman;Times;serif"/>
          <w:b/>
          <w:sz w:val="20"/>
        </w:rPr>
      </w:pPr>
      <w:r>
        <w:rPr>
          <w:rFonts w:ascii="Times New Roman;Times;serif" w:hAnsi="Times New Roman;Times;serif"/>
          <w:b/>
          <w:sz w:val="20"/>
        </w:rPr>
        <w:t>Investee Results (3-month Lag Basis)</w:t>
      </w:r>
    </w:p>
    <w:p>
      <w:pPr>
        <w:pStyle w:val="TextBody"/>
        <w:bidi w:val="0"/>
        <w:spacing w:before="0" w:after="0"/>
        <w:ind w:left="360" w:right="0" w:hanging="0"/>
        <w:jc w:val="both"/>
        <w:rPr/>
      </w:pPr>
      <w:r>
        <w:rPr/>
        <w:t>​</w:t>
      </w:r>
    </w:p>
    <w:tbl>
      <w:tblPr>
        <w:tblW w:w="5418" w:type="dxa"/>
        <w:jc w:val="left"/>
        <w:tblInd w:w="0" w:type="dxa"/>
        <w:tblLayout w:type="fixed"/>
        <w:tblCellMar>
          <w:top w:w="0" w:type="dxa"/>
          <w:left w:w="0" w:type="dxa"/>
          <w:bottom w:w="0" w:type="dxa"/>
          <w:right w:w="0" w:type="dxa"/>
        </w:tblCellMar>
      </w:tblPr>
      <w:tblGrid>
        <w:gridCol w:w="1921"/>
        <w:gridCol w:w="346"/>
        <w:gridCol w:w="299"/>
        <w:gridCol w:w="961"/>
        <w:gridCol w:w="346"/>
        <w:gridCol w:w="350"/>
        <w:gridCol w:w="1195"/>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219835" cy="175260"/>
                      <wp:effectExtent l="0" t="0" r="0" b="0"/>
                      <wp:wrapNone/>
                      <wp:docPr id="78" name="Frame78"/>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89865" cy="175260"/>
                      <wp:effectExtent l="0" t="0" r="0" b="0"/>
                      <wp:wrapNone/>
                      <wp:docPr id="80" name="Frame80"/>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10235" cy="175260"/>
                      <wp:effectExtent l="0" t="0" r="0" b="0"/>
                      <wp:wrapNone/>
                      <wp:docPr id="81" name="Frame81"/>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22250" cy="175260"/>
                      <wp:effectExtent l="0" t="0" r="0" b="0"/>
                      <wp:wrapNone/>
                      <wp:docPr id="83" name="Frame83"/>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758825" cy="175260"/>
                      <wp:effectExtent l="0" t="0" r="0" b="0"/>
                      <wp:wrapNone/>
                      <wp:docPr id="84" name="Frame84"/>
                      <a:graphic xmlns:a="http://schemas.openxmlformats.org/drawingml/2006/main">
                        <a:graphicData uri="http://schemas.microsoft.com/office/word/2010/wordprocessingShape">
                          <wps:wsp>
                            <wps:cNvSpPr txBox="1"/>
                            <wps:spPr>
                              <a:xfrm>
                                <a:off x="0" y="0"/>
                                <a:ext cx="758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60"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As at</w:t>
            </w:r>
          </w:p>
        </w:tc>
        <w:tc>
          <w:tcPr>
            <w:tcW w:w="346" w:type="dxa"/>
            <w:tcBorders/>
            <w:vAlign w:val="center"/>
          </w:tcPr>
          <w:p>
            <w:pPr>
              <w:pStyle w:val="TableContents"/>
              <w:bidi w:val="0"/>
              <w:spacing w:before="0" w:after="0"/>
              <w:ind w:left="0" w:right="0" w:hanging="0"/>
              <w:jc w:val="right"/>
              <w:rPr/>
            </w:pPr>
            <w:r>
              <w:rPr/>
              <w:t>  ​ ​ ​</w:t>
            </w:r>
          </w:p>
        </w:tc>
        <w:tc>
          <w:tcPr>
            <w:tcW w:w="1545"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As at</w: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righ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 2025</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687</w:t>
            </w:r>
          </w:p>
        </w:tc>
        <w:tc>
          <w:tcPr>
            <w:tcW w:w="346" w:type="dxa"/>
            <w:tcBorders/>
            <w:shd w:fill="CCEEFF" w:val="clear"/>
            <w:vAlign w:val="center"/>
          </w:tcPr>
          <w:p>
            <w:pPr>
              <w:pStyle w:val="TableContents"/>
              <w:bidi w:val="0"/>
              <w:spacing w:before="0" w:after="0"/>
              <w:ind w:left="0" w:right="0" w:hanging="0"/>
              <w:jc w:val="righ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assets</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12,041</w:t>
            </w:r>
          </w:p>
        </w:tc>
        <w:tc>
          <w:tcPr>
            <w:tcW w:w="346" w:type="dxa"/>
            <w:tcBorders/>
            <w:vAlign w:val="center"/>
          </w:tcPr>
          <w:p>
            <w:pPr>
              <w:pStyle w:val="TableContents"/>
              <w:bidi w:val="0"/>
              <w:spacing w:before="0" w:after="0"/>
              <w:ind w:left="0" w:right="0" w:hanging="0"/>
              <w:jc w:val="right"/>
              <w:rPr/>
            </w:pPr>
            <w:r>
              <w:rPr/>
              <w:t>​</w:t>
            </w:r>
          </w:p>
        </w:tc>
        <w:tc>
          <w:tcPr>
            <w:tcW w:w="350" w:type="dxa"/>
            <w:tcBorders/>
            <w:vAlign w:val="center"/>
          </w:tcPr>
          <w:p>
            <w:pPr>
              <w:pStyle w:val="TableContents"/>
              <w:bidi w:val="0"/>
              <w:spacing w:before="0" w:after="0"/>
              <w:ind w:left="0" w:right="0" w:hanging="0"/>
              <w:jc w:val="left"/>
              <w:rPr/>
            </w:pPr>
            <w:r>
              <w:rPr/>
              <w:t>​</w:t>
            </w:r>
          </w:p>
        </w:tc>
        <w:tc>
          <w:tcPr>
            <w:tcW w:w="11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12,173</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w:t>
            </w:r>
          </w:p>
        </w:tc>
        <w:tc>
          <w:tcPr>
            <w:tcW w:w="346" w:type="dxa"/>
            <w:tcBorders/>
            <w:shd w:fill="CCEEFF" w:val="clear"/>
            <w:vAlign w:val="center"/>
          </w:tcPr>
          <w:p>
            <w:pPr>
              <w:pStyle w:val="TableContents"/>
              <w:bidi w:val="0"/>
              <w:spacing w:before="0" w:after="0"/>
              <w:ind w:left="0" w:right="0" w:hanging="0"/>
              <w:jc w:val="righ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1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liabilities</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1,143</w:t>
            </w:r>
          </w:p>
        </w:tc>
        <w:tc>
          <w:tcPr>
            <w:tcW w:w="346" w:type="dxa"/>
            <w:tcBorders/>
            <w:vAlign w:val="center"/>
          </w:tcPr>
          <w:p>
            <w:pPr>
              <w:pStyle w:val="TableContents"/>
              <w:bidi w:val="0"/>
              <w:spacing w:before="0" w:after="0"/>
              <w:ind w:left="0" w:right="0" w:hanging="0"/>
              <w:jc w:val="right"/>
              <w:rPr/>
            </w:pPr>
            <w:r>
              <w:rPr/>
              <w:t>​</w:t>
            </w:r>
          </w:p>
        </w:tc>
        <w:tc>
          <w:tcPr>
            <w:tcW w:w="3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95"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1,057</w:t>
            </w:r>
          </w:p>
        </w:tc>
      </w:tr>
    </w:tbl>
    <w:p>
      <w:pPr>
        <w:pStyle w:val="TextBody"/>
        <w:bidi w:val="0"/>
        <w:spacing w:before="0" w:after="0"/>
        <w:ind w:left="360" w:right="0" w:hanging="0"/>
        <w:jc w:val="both"/>
        <w:rPr/>
      </w:pPr>
      <w:r>
        <w:rPr/>
        <w:t>​</w:t>
      </w:r>
    </w:p>
    <w:tbl>
      <w:tblPr>
        <w:tblW w:w="5240" w:type="dxa"/>
        <w:jc w:val="left"/>
        <w:tblInd w:w="0" w:type="dxa"/>
        <w:tblLayout w:type="fixed"/>
        <w:tblCellMar>
          <w:top w:w="0" w:type="dxa"/>
          <w:left w:w="0" w:type="dxa"/>
          <w:bottom w:w="0" w:type="dxa"/>
          <w:right w:w="0" w:type="dxa"/>
        </w:tblCellMar>
      </w:tblPr>
      <w:tblGrid>
        <w:gridCol w:w="1576"/>
        <w:gridCol w:w="346"/>
        <w:gridCol w:w="521"/>
        <w:gridCol w:w="1040"/>
        <w:gridCol w:w="346"/>
        <w:gridCol w:w="403"/>
        <w:gridCol w:w="1008"/>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000760" cy="175260"/>
                      <wp:effectExtent l="0" t="0" r="0" b="0"/>
                      <wp:wrapNone/>
                      <wp:docPr id="85" name="Frame85"/>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30835" cy="175260"/>
                      <wp:effectExtent l="0" t="0" r="0" b="0"/>
                      <wp:wrapNone/>
                      <wp:docPr id="87" name="Frame87"/>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60400" cy="175260"/>
                      <wp:effectExtent l="0" t="0" r="0" b="0"/>
                      <wp:wrapNone/>
                      <wp:docPr id="88" name="Frame88"/>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9"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55905" cy="175260"/>
                      <wp:effectExtent l="0" t="0" r="0" b="0"/>
                      <wp:wrapNone/>
                      <wp:docPr id="90" name="Frame90"/>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0080" cy="175260"/>
                      <wp:effectExtent l="0" t="0" r="0" b="0"/>
                      <wp:wrapNone/>
                      <wp:docPr id="91" name="Frame91"/>
                      <a:graphic xmlns:a="http://schemas.openxmlformats.org/drawingml/2006/main">
                        <a:graphicData uri="http://schemas.microsoft.com/office/word/2010/wordprocessingShape">
                          <wps:wsp>
                            <wps:cNvSpPr txBox="1"/>
                            <wps:spPr>
                              <a:xfrm>
                                <a:off x="0" y="0"/>
                                <a:ext cx="640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61"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center"/>
              <w:rPr/>
            </w:pPr>
            <w:r>
              <w:rPr/>
              <w:t>  ​ ​ ​</w:t>
            </w:r>
          </w:p>
        </w:tc>
        <w:tc>
          <w:tcPr>
            <w:tcW w:w="1411"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Six months ended</w:t>
            </w:r>
          </w:p>
        </w:tc>
      </w:tr>
      <w:tr>
        <w:trPr/>
        <w:tc>
          <w:tcPr>
            <w:tcW w:w="1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6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center"/>
              <w:rPr/>
            </w:pPr>
            <w:r>
              <w:rPr/>
              <w:t>​</w:t>
            </w:r>
          </w:p>
        </w:tc>
        <w:tc>
          <w:tcPr>
            <w:tcW w:w="141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March 31, 2026</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Royalty income</w:t>
            </w:r>
          </w:p>
        </w:tc>
        <w:tc>
          <w:tcPr>
            <w:tcW w:w="346"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356</w:t>
            </w:r>
          </w:p>
        </w:tc>
        <w:tc>
          <w:tcPr>
            <w:tcW w:w="346" w:type="dxa"/>
            <w:tcBorders/>
            <w:shd w:fill="CCEEFF" w:val="clear"/>
            <w:vAlign w:val="center"/>
          </w:tcPr>
          <w:p>
            <w:pPr>
              <w:pStyle w:val="TableContents"/>
              <w:bidi w:val="0"/>
              <w:spacing w:before="0" w:after="0"/>
              <w:ind w:left="0" w:right="0" w:hanging="0"/>
              <w:jc w:val="left"/>
              <w:rPr/>
            </w:pPr>
            <w:r>
              <w:rPr/>
              <w:t>​</w:t>
            </w:r>
          </w:p>
        </w:tc>
        <w:tc>
          <w:tcPr>
            <w:tcW w:w="4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left"/>
              <w:rPr/>
            </w:pPr>
            <w:r>
              <w:rPr/>
              <w:t> </w:t>
            </w:r>
          </w:p>
        </w:tc>
        <w:tc>
          <w:tcPr>
            <w:tcW w:w="104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197</w:t>
            </w:r>
          </w:p>
        </w:tc>
        <w:tc>
          <w:tcPr>
            <w:tcW w:w="346" w:type="dxa"/>
            <w:tcBorders/>
            <w:vAlign w:val="center"/>
          </w:tcPr>
          <w:p>
            <w:pPr>
              <w:pStyle w:val="TableContents"/>
              <w:bidi w:val="0"/>
              <w:spacing w:before="0" w:after="0"/>
              <w:ind w:left="0" w:right="0" w:hanging="0"/>
              <w:jc w:val="left"/>
              <w:rPr/>
            </w:pPr>
            <w:r>
              <w:rPr/>
              <w:t>​</w:t>
            </w:r>
          </w:p>
        </w:tc>
        <w:tc>
          <w:tcPr>
            <w:tcW w:w="403"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5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117</w:t>
            </w:r>
          </w:p>
        </w:tc>
        <w:tc>
          <w:tcPr>
            <w:tcW w:w="346" w:type="dxa"/>
            <w:tcBorders/>
            <w:shd w:fill="CCEEFF" w:val="clear"/>
            <w:vAlign w:val="center"/>
          </w:tcPr>
          <w:p>
            <w:pPr>
              <w:pStyle w:val="TableContents"/>
              <w:bidi w:val="0"/>
              <w:spacing w:before="0" w:after="0"/>
              <w:ind w:left="0" w:right="0" w:hanging="0"/>
              <w:jc w:val="left"/>
              <w:rPr/>
            </w:pPr>
            <w:r>
              <w:rPr/>
              <w:t>​</w:t>
            </w:r>
          </w:p>
        </w:tc>
        <w:tc>
          <w:tcPr>
            <w:tcW w:w="4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w:t>
            </w:r>
          </w:p>
        </w:tc>
      </w:tr>
    </w:tbl>
    <w:p>
      <w:pPr>
        <w:pStyle w:val="TextBody"/>
        <w:bidi w:val="0"/>
        <w:spacing w:before="0" w:after="0"/>
        <w:ind w:left="360" w:right="0" w:hanging="0"/>
        <w:jc w:val="both"/>
        <w:rPr/>
      </w:pPr>
      <w:r>
        <w:rPr/>
        <w:t>​</w:t>
      </w:r>
    </w:p>
    <w:p>
      <w:pPr>
        <w:pStyle w:val="TextBody"/>
        <w:bidi w:val="0"/>
        <w:spacing w:before="0" w:after="0"/>
        <w:ind w:left="36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Royalty Liability</w:t>
      </w:r>
    </w:p>
    <w:p>
      <w:pPr>
        <w:pStyle w:val="TextBody"/>
        <w:bidi w:val="0"/>
        <w:spacing w:before="0" w:after="0"/>
        <w:ind w:left="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 xml:space="preserve">The NORI Royalty (including Areas A to D) (Note 7) was recorded as a royalty liability in the consolidated Balance Sheet in accordance with ASC 470, </w:t>
      </w:r>
      <w:r>
        <w:rPr>
          <w:rFonts w:ascii="Times New Roman;Times;serif" w:hAnsi="Times New Roman;Times;serif"/>
          <w:i/>
          <w:sz w:val="20"/>
        </w:rPr>
        <w:t>Debt</w:t>
      </w:r>
      <w:r>
        <w:rPr>
          <w:rFonts w:ascii="Times New Roman;Times;serif" w:hAnsi="Times New Roman;Times;serif"/>
          <w:sz w:val="20"/>
        </w:rPr>
        <w:t>. The Company elected to account for the royalty liability at fair value through profit and loss. The fair value of Areas A to C was determined using a market approach which entails examining recent royalty transactions prior to the reporting date, focusing on those transactions that involve similar metals as contained in NORI’s polymetallic nodules. As at June 30, 2026, the Company compared the specific characteristics of these transactions and estimated the fair value for Areas A to C at $15 million, unchanged from March 31, 2026. The fair value of Area D was determined using an income approach following the Company’s completion and release of its PFS with respect to NORI Area D filed in August 2025 resulting with a fair value for Area D of $130 million as at June 30, 2026, unchanged from March 31, 2026. The discounted cash flow fair value reflects updated operational and economic assumptions, including the use of forward metal prices and a real discount rate, related to the NORI Area D project used in support of the PFS.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241" w:name="Tc_BYJpCBiVPk6hTwW3Nt1JUw_11_11"/>
      <w:bookmarkStart w:id="1242" w:name="Tc_pyNchdzA2kmvFN9MyumEIA_11_8"/>
      <w:bookmarkStart w:id="1243" w:name="Tc_o9Lx6jcNY02WaBiYEDcjfQ_11_5"/>
      <w:bookmarkStart w:id="1244" w:name="Tc_nObqI3Kytke6V4Q_UUBzqg_11_2"/>
      <w:bookmarkStart w:id="1245" w:name="Tc_cK0yZ8sPl0asIWh4SS6roA_10_0"/>
      <w:bookmarkStart w:id="1246" w:name="Tc_RkS3qhg4x0KbzqmC3MLjgg_9_0"/>
      <w:bookmarkStart w:id="1247" w:name="Tc_0OPoHkztQ02qWov6cbPxhw_8_0"/>
      <w:bookmarkStart w:id="1248" w:name="Tc_iGVNe58DoEKo-nuDZrg48g_7_0"/>
      <w:bookmarkStart w:id="1249" w:name="Tc_VsZf-mKo-0GAuvWhPX40wA_6_0"/>
      <w:bookmarkStart w:id="1250" w:name="Tc_Dw7yyWIUOkSkJzIJEuMnKQ_5_0"/>
      <w:bookmarkStart w:id="1251" w:name="Tc_GCp2DMc8GUWy-SSjIX09BA_4_11"/>
      <w:bookmarkStart w:id="1252" w:name="Tc_Hc5szEkhjUKgSNyQnqgaBQ_4_8"/>
      <w:bookmarkStart w:id="1253" w:name="Tc_wgDRnW7baUyrIsQ7EEWlow_4_5"/>
      <w:bookmarkStart w:id="1254" w:name="Tc_QK_k51o0XESuZhzTHwuCSg_4_2"/>
      <w:bookmarkStart w:id="1255" w:name="Tc_ieii1tZk60ypeLy7Qsjd9w_4_0"/>
      <w:bookmarkStart w:id="1256" w:name="Tc_LJc_Cj1ouk-e2H6UCy9dig_3_11"/>
      <w:bookmarkStart w:id="1257" w:name="Tc_goEYL9VpMEOaeBM_OxRkQA_3_8"/>
      <w:bookmarkStart w:id="1258" w:name="Tc_FLWnDVQZ-02bGw-BXY3flA_3_5"/>
      <w:bookmarkStart w:id="1259" w:name="Tc_ii2KX4OwIkqAcetjzdnHGg_3_2"/>
      <w:bookmarkStart w:id="1260" w:name="Tc_UWBEOSAQDE2vMujE5ueM5A_2_8"/>
      <w:bookmarkStart w:id="1261" w:name="Tc_OVaVjXtglUeaOM-E8ongOQ_2_2"/>
      <w:bookmarkStart w:id="1262" w:name="Tc_Rfw6KRgrDUSNoPfJu9KrwA_1_8"/>
      <w:bookmarkStart w:id="1263" w:name="Tc_Qweb0XZBt0OyyHUQvAfrvw_1_2"/>
      <w:bookmarkStart w:id="1264" w:name="_359a9812_fb47_4e2d_a6ad_482fc19f4e58"/>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r>
        <w:rPr>
          <w:rFonts w:ascii="Times New Roman;Times;serif" w:hAnsi="Times New Roman;Times;serif"/>
          <w:b/>
          <w:i w:val="false"/>
          <w:caps w:val="false"/>
          <w:smallCaps w:val="false"/>
          <w:sz w:val="20"/>
        </w:rPr>
        <w:t>9.</w:t>
      </w:r>
      <w:r>
        <w:rPr>
          <w:rFonts w:ascii="Times New Roman;Times;serif" w:hAnsi="Times New Roman;Times;serif"/>
          <w:b/>
          <w:sz w:val="20"/>
        </w:rPr>
        <w:t>Exploration and Evaluation Expenses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The detail of exploration and evaluation expenses is as follows:</w:t>
      </w:r>
    </w:p>
    <w:p>
      <w:pPr>
        <w:pStyle w:val="TextBody"/>
        <w:bidi w:val="0"/>
        <w:spacing w:before="0" w:after="0"/>
        <w:ind w:left="0" w:right="0" w:hanging="0"/>
        <w:jc w:val="left"/>
        <w:rPr/>
      </w:pPr>
      <w:r>
        <w:rPr/>
        <w:t>​</w:t>
      </w:r>
    </w:p>
    <w:tbl>
      <w:tblPr>
        <w:tblW w:w="9313" w:type="dxa"/>
        <w:jc w:val="left"/>
        <w:tblInd w:w="0" w:type="dxa"/>
        <w:tblLayout w:type="fixed"/>
        <w:tblCellMar>
          <w:top w:w="0" w:type="dxa"/>
          <w:left w:w="0" w:type="dxa"/>
          <w:bottom w:w="0" w:type="dxa"/>
          <w:right w:w="0" w:type="dxa"/>
        </w:tblCellMar>
      </w:tblPr>
      <w:tblGrid>
        <w:gridCol w:w="4276"/>
        <w:gridCol w:w="346"/>
        <w:gridCol w:w="211"/>
        <w:gridCol w:w="676"/>
        <w:gridCol w:w="346"/>
        <w:gridCol w:w="211"/>
        <w:gridCol w:w="676"/>
        <w:gridCol w:w="346"/>
        <w:gridCol w:w="211"/>
        <w:gridCol w:w="676"/>
        <w:gridCol w:w="346"/>
        <w:gridCol w:w="211"/>
        <w:gridCol w:w="781"/>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715260" cy="175260"/>
                      <wp:effectExtent l="0" t="0" r="0" b="0"/>
                      <wp:wrapNone/>
                      <wp:docPr id="92" name="Frame92"/>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29260" cy="175260"/>
                      <wp:effectExtent l="0" t="0" r="0" b="0"/>
                      <wp:wrapNone/>
                      <wp:docPr id="95" name="Frame9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29260" cy="175260"/>
                      <wp:effectExtent l="0" t="0" r="0" b="0"/>
                      <wp:wrapNone/>
                      <wp:docPr id="98" name="Frame9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29260" cy="175260"/>
                      <wp:effectExtent l="0" t="0" r="0" b="0"/>
                      <wp:wrapNone/>
                      <wp:docPr id="101" name="Frame10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3"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95935" cy="175260"/>
                      <wp:effectExtent l="0" t="0" r="0" b="0"/>
                      <wp:wrapNone/>
                      <wp:docPr id="104" name="Frame10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2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2025</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Environmental studies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3,096</w:t>
            </w:r>
          </w:p>
        </w:tc>
      </w:tr>
      <w:tr>
        <w:trPr/>
        <w:tc>
          <w:tcPr>
            <w:tcW w:w="4276" w:type="dxa"/>
            <w:tcBorders/>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 xml:space="preserve">Exploration labor </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2,963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5,810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5,188</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Share-based compensation </w:t>
            </w:r>
            <w:r>
              <w:rPr>
                <w:rFonts w:ascii="Times New Roman;Times;serif" w:hAnsi="Times New Roman;Times;serif"/>
                <w:i/>
                <w:sz w:val="20"/>
              </w:rPr>
              <w:t>(Note 13)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6,329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11,859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5,253</w:t>
            </w:r>
          </w:p>
        </w:tc>
      </w:tr>
      <w:tr>
        <w:trPr/>
        <w:tc>
          <w:tcPr>
            <w:tcW w:w="427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Mining, technological and process development </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42,772</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44,084</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4,503</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Prefeasibility studies</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2,535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4,413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Sponsorship, training and stakeholder engagement </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1,979</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1,239</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56,088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69,345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20,011</w:t>
            </w:r>
          </w:p>
        </w:tc>
      </w:tr>
    </w:tbl>
    <w:p>
      <w:pPr>
        <w:pStyle w:val="TextBody"/>
        <w:bidi w:val="0"/>
        <w:spacing w:lineRule="auto" w:line="240" w:before="0" w:after="0"/>
        <w:ind w:left="360" w:right="0" w:hanging="0"/>
        <w:jc w:val="both"/>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Reflects underlying project-related work performed by the Company’s personnel.</w:t>
      </w:r>
    </w:p>
    <w:tbl>
      <w:tblPr>
        <w:tblW w:w="10205" w:type="dxa"/>
        <w:jc w:val="left"/>
        <w:tblInd w:w="0" w:type="dxa"/>
        <w:tblLayout w:type="fixed"/>
        <w:tblCellMar>
          <w:top w:w="0" w:type="dxa"/>
          <w:left w:w="0" w:type="dxa"/>
          <w:bottom w:w="0" w:type="dxa"/>
          <w:right w:w="0" w:type="dxa"/>
        </w:tblCellMar>
      </w:tblPr>
      <w:tblGrid>
        <w:gridCol w:w="124"/>
        <w:gridCol w:w="246"/>
        <w:gridCol w:w="9835"/>
      </w:tblGrid>
      <w:tr>
        <w:trPr/>
        <w:tc>
          <w:tcPr>
            <w:tcW w:w="12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lineRule="auto" w:line="240" w:before="0" w:after="0"/>
              <w:jc w:val="both"/>
              <w:rPr>
                <w:rFonts w:ascii="Times New Roman;Times;serif" w:hAnsi="Times New Roman;Times;serif"/>
                <w:sz w:val="15"/>
              </w:rPr>
            </w:pPr>
            <w:r>
              <w:rPr>
                <w:rFonts w:ascii="Times New Roman;Times;serif" w:hAnsi="Times New Roman;Times;serif"/>
                <w:sz w:val="15"/>
              </w:rPr>
              <w:t>(2)</w:t>
            </w:r>
          </w:p>
        </w:tc>
        <w:tc>
          <w:tcPr>
            <w:tcW w:w="98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Three months ended June 30, 2026, includes a charge payable to Allseas of $32.8 million to record the Deferred Costs incurred before March 30, 2026 and $4.4 million of additional negotiated costs as part of the Agreement signed May 11, 2026 (Note 6).</w:t>
            </w:r>
          </w:p>
        </w:tc>
      </w:tr>
    </w:tbl>
    <w:p>
      <w:pPr>
        <w:pStyle w:val="TextBody"/>
        <w:bidi w:val="0"/>
        <w:spacing w:before="0" w:after="0"/>
        <w:ind w:left="36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bookmarkStart w:id="1265" w:name="Tc_T5_uU-kIA0i3LRvTssN_Og_12_11"/>
      <w:bookmarkStart w:id="1266" w:name="Tc_lgNXzSmsKkOHtNV9iPsOhQ_12_8"/>
      <w:bookmarkStart w:id="1267" w:name="Tc_TTLDVsRFjkWSSAJl2TuBUA_12_5"/>
      <w:bookmarkStart w:id="1268" w:name="Tc_xWjt4aH_KEONEDCPEOXyhw_12_2"/>
      <w:bookmarkStart w:id="1269" w:name="Tc_oWIAZBk2f0-gKU7SwLmdnA_11_0"/>
      <w:bookmarkStart w:id="1270" w:name="Tc_qn1VhO08OEOMnkQh9cMsrw_10_0"/>
      <w:bookmarkStart w:id="1271" w:name="Tc_s0fcjQtJ2k6GIpprsRF11Q_9_0"/>
      <w:bookmarkStart w:id="1272" w:name="Tc_pYrbQ9EWek6WO7hHpysHOw_8_0"/>
      <w:bookmarkStart w:id="1273" w:name="Tc_5XR_JLNbJUaHIQ5YMFuYHg_7_0"/>
      <w:bookmarkStart w:id="1274" w:name="Tc_XSnvKPau3EKjkN6uw_8g1w_6_0"/>
      <w:bookmarkStart w:id="1275" w:name="Tc_eD7r6MFgUkGQNg4BF80mKA_5_0"/>
      <w:bookmarkStart w:id="1276" w:name="Tc_Epu-XHwBOUyYDOzabtkFhw_4_11"/>
      <w:bookmarkStart w:id="1277" w:name="Tc_xeYZLG6cFUqIjcXo7gmg9w_4_8"/>
      <w:bookmarkStart w:id="1278" w:name="Tc_hb8qe1alrUyqIfflTLZdYw_4_5"/>
      <w:bookmarkStart w:id="1279" w:name="Tc_g4SVXn3nkkuds-fqE68q-A_4_2"/>
      <w:bookmarkStart w:id="1280" w:name="Tc_hWvHidOQRUSKCTy_oHU_Zw_4_0"/>
      <w:bookmarkStart w:id="1281" w:name="Tc_BOZ96duhV0ejbI4c-KLsVA_3_11"/>
      <w:bookmarkStart w:id="1282" w:name="Tc_4UHXif20v0yBgONsEtiyGg_3_8"/>
      <w:bookmarkStart w:id="1283" w:name="Tc_CVILxDiIw0mW4dtE7OHG1w_3_5"/>
      <w:bookmarkStart w:id="1284" w:name="Tc_5psb2L645ESzyr59pbiz8Q_3_2"/>
      <w:bookmarkStart w:id="1285" w:name="Tc_F_4XCwa7m06zUxf6Q5JupQ_2_8"/>
      <w:bookmarkStart w:id="1286" w:name="Tc_Yu0aVxobE02L07BeNICRcg_2_2"/>
      <w:bookmarkStart w:id="1287" w:name="Tc_-Yxnp0nqM0qIrKTqwdwycg_1_8"/>
      <w:bookmarkStart w:id="1288" w:name="Tc_6VitCKCil0CIhvfALOXyMg_1_2"/>
      <w:bookmarkStart w:id="1289" w:name="_3e854110_578a_42f8_b10d_df260e9087e1"/>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r>
        <w:rPr>
          <w:rFonts w:ascii="Times New Roman;Times;serif" w:hAnsi="Times New Roman;Times;serif"/>
          <w:b/>
          <w:i w:val="false"/>
          <w:caps w:val="false"/>
          <w:smallCaps w:val="false"/>
          <w:sz w:val="20"/>
        </w:rPr>
        <w:t>10.</w:t>
      </w:r>
      <w:r>
        <w:rPr>
          <w:rFonts w:ascii="Times New Roman;Times;serif" w:hAnsi="Times New Roman;Times;serif"/>
          <w:b/>
          <w:sz w:val="20"/>
        </w:rPr>
        <w:t>General and Administrative Expenses</w:t>
      </w:r>
    </w:p>
    <w:p>
      <w:pPr>
        <w:pStyle w:val="TextBody"/>
        <w:bidi w:val="0"/>
        <w:spacing w:before="0" w:after="0"/>
        <w:ind w:left="0" w:right="0" w:hanging="0"/>
        <w:jc w:val="both"/>
        <w:rPr/>
      </w:pPr>
      <w:r>
        <w:rPr/>
        <w:t>​</w:t>
      </w:r>
    </w:p>
    <w:tbl>
      <w:tblPr>
        <w:tblW w:w="8128" w:type="dxa"/>
        <w:jc w:val="left"/>
        <w:tblInd w:w="0" w:type="dxa"/>
        <w:tblLayout w:type="fixed"/>
        <w:tblCellMar>
          <w:top w:w="0" w:type="dxa"/>
          <w:left w:w="0" w:type="dxa"/>
          <w:bottom w:w="0" w:type="dxa"/>
          <w:right w:w="0" w:type="dxa"/>
        </w:tblCellMar>
      </w:tblPr>
      <w:tblGrid>
        <w:gridCol w:w="3091"/>
        <w:gridCol w:w="346"/>
        <w:gridCol w:w="211"/>
        <w:gridCol w:w="676"/>
        <w:gridCol w:w="346"/>
        <w:gridCol w:w="211"/>
        <w:gridCol w:w="676"/>
        <w:gridCol w:w="346"/>
        <w:gridCol w:w="211"/>
        <w:gridCol w:w="676"/>
        <w:gridCol w:w="346"/>
        <w:gridCol w:w="211"/>
        <w:gridCol w:w="781"/>
      </w:tblGrid>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5"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6"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29260" cy="175260"/>
                      <wp:effectExtent l="0" t="0" r="0" b="0"/>
                      <wp:wrapNone/>
                      <wp:docPr id="107" name="Frame10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29260" cy="175260"/>
                      <wp:effectExtent l="0" t="0" r="0" b="0"/>
                      <wp:wrapNone/>
                      <wp:docPr id="110" name="Frame11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29260" cy="175260"/>
                      <wp:effectExtent l="0" t="0" r="0" b="0"/>
                      <wp:wrapNone/>
                      <wp:docPr id="113" name="Frame11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95935" cy="175260"/>
                      <wp:effectExtent l="0" t="0" r="0" b="0"/>
                      <wp:wrapNone/>
                      <wp:docPr id="116" name="Frame11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22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righ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2025</w:t>
            </w:r>
          </w:p>
        </w:tc>
        <w:tc>
          <w:tcPr>
            <w:tcW w:w="346" w:type="dxa"/>
            <w:tcBorders/>
            <w:vAlign w:val="center"/>
          </w:tcPr>
          <w:p>
            <w:pPr>
              <w:pStyle w:val="TableContents"/>
              <w:bidi w:val="0"/>
              <w:spacing w:before="0" w:after="0"/>
              <w:ind w:left="0" w:right="0" w:hanging="0"/>
              <w:jc w:val="righ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righ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2025</w:t>
            </w:r>
          </w:p>
        </w:tc>
      </w:tr>
      <w:tr>
        <w:trPr/>
        <w:tc>
          <w:tcPr>
            <w:tcW w:w="3091" w:type="dxa"/>
            <w:tcBorders/>
            <w:shd w:fill="CCEEFF" w:val="clear"/>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 xml:space="preserve">Professional and consulting fees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7,073</w:t>
            </w:r>
          </w:p>
        </w:tc>
      </w:tr>
      <w:tr>
        <w:trPr/>
        <w:tc>
          <w:tcPr>
            <w:tcW w:w="30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Investor relations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and sundry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w:t>
            </w:r>
          </w:p>
        </w:tc>
      </w:tr>
      <w:tr>
        <w:trPr/>
        <w:tc>
          <w:tcPr>
            <w:tcW w:w="30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Salaries and wages </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2,806</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r>
      <w:tr>
        <w:trPr/>
        <w:tc>
          <w:tcPr>
            <w:tcW w:w="30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Share-based compensation </w:t>
            </w:r>
            <w:r>
              <w:rPr>
                <w:rFonts w:ascii="Times New Roman;Times;serif" w:hAnsi="Times New Roman;Times;serif"/>
                <w:i/>
                <w:sz w:val="20"/>
              </w:rPr>
              <w:t>(Note 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24,529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7,470</w:t>
            </w:r>
          </w:p>
        </w:tc>
      </w:tr>
      <w:tr>
        <w:trPr/>
        <w:tc>
          <w:tcPr>
            <w:tcW w:w="309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Transfer agent and filing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r>
      <w:tr>
        <w:trPr/>
        <w:tc>
          <w:tcPr>
            <w:tcW w:w="30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Travel and other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r>
      <w:tr>
        <w:trPr/>
        <w:tc>
          <w:tcPr>
            <w:tcW w:w="30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15,629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36,354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19,979</w:t>
            </w:r>
          </w:p>
        </w:tc>
      </w:tr>
    </w:tbl>
    <w:tbl>
      <w:tblPr>
        <w:tblW w:w="10205" w:type="dxa"/>
        <w:jc w:val="left"/>
        <w:tblInd w:w="0" w:type="dxa"/>
        <w:tblLayout w:type="fixed"/>
        <w:tblCellMar>
          <w:top w:w="28" w:type="dxa"/>
          <w:left w:w="28" w:type="dxa"/>
          <w:bottom w:w="28" w:type="dxa"/>
          <w:right w:w="28" w:type="dxa"/>
        </w:tblCellMar>
      </w:tblPr>
      <w:tblGrid>
        <w:gridCol w:w="124"/>
        <w:gridCol w:w="247"/>
        <w:gridCol w:w="9834"/>
      </w:tblGrid>
      <w:tr>
        <w:trPr/>
        <w:tc>
          <w:tcPr>
            <w:tcW w:w="124" w:type="dxa"/>
            <w:tcBorders/>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834"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During three and six months ended June 30, 2026, professional and consulting fees include $0.4</w:t>
            </w:r>
            <w:r>
              <w:rPr>
                <w:caps w:val="false"/>
                <w:smallCaps w:val="false"/>
              </w:rPr>
              <w:t xml:space="preserve"> </w:t>
            </w:r>
            <w:r>
              <w:rPr>
                <w:rFonts w:ascii="Times New Roman;Times;serif" w:hAnsi="Times New Roman;Times;serif"/>
                <w:b w:val="false"/>
                <w:i w:val="false"/>
                <w:caps w:val="false"/>
                <w:smallCaps w:val="false"/>
                <w:sz w:val="18"/>
              </w:rPr>
              <w:t>million and $0.6</w:t>
            </w:r>
            <w:r>
              <w:rPr>
                <w:caps w:val="false"/>
                <w:smallCaps w:val="false"/>
              </w:rPr>
              <w:t xml:space="preserve"> </w:t>
            </w:r>
            <w:r>
              <w:rPr>
                <w:rFonts w:ascii="Times New Roman;Times;serif" w:hAnsi="Times New Roman;Times;serif"/>
                <w:b w:val="false"/>
                <w:i w:val="false"/>
                <w:caps w:val="false"/>
                <w:smallCaps w:val="false"/>
                <w:sz w:val="18"/>
              </w:rPr>
              <w:t>million respectively, of expenses settled with RSUs (Three months and six months ended June 30, 2025: $0.2</w:t>
            </w:r>
            <w:r>
              <w:rPr>
                <w:caps w:val="false"/>
                <w:smallCaps w:val="false"/>
              </w:rPr>
              <w:t xml:space="preserve"> </w:t>
            </w:r>
            <w:r>
              <w:rPr>
                <w:rFonts w:ascii="Times New Roman;Times;serif" w:hAnsi="Times New Roman;Times;serif"/>
                <w:b w:val="false"/>
                <w:i w:val="false"/>
                <w:caps w:val="false"/>
                <w:smallCaps w:val="false"/>
                <w:sz w:val="18"/>
              </w:rPr>
              <w:t>million and $0.6</w:t>
            </w:r>
            <w:r>
              <w:rPr>
                <w:caps w:val="false"/>
                <w:smallCaps w:val="false"/>
              </w:rPr>
              <w:t xml:space="preserve"> </w:t>
            </w:r>
            <w:r>
              <w:rPr>
                <w:rFonts w:ascii="Times New Roman;Times;serif" w:hAnsi="Times New Roman;Times;serif"/>
                <w:b w:val="false"/>
                <w:i w:val="false"/>
                <w:caps w:val="false"/>
                <w:smallCaps w:val="false"/>
                <w:sz w:val="18"/>
              </w:rPr>
              <w:t>million, respectively) (Note 13).</w:t>
            </w:r>
          </w:p>
        </w:tc>
      </w:tr>
    </w:tbl>
    <w:tbl>
      <w:tblPr>
        <w:tblW w:w="6726" w:type="dxa"/>
        <w:jc w:val="left"/>
        <w:tblInd w:w="0" w:type="dxa"/>
        <w:tblLayout w:type="fixed"/>
        <w:tblCellMar>
          <w:top w:w="28" w:type="dxa"/>
          <w:left w:w="28" w:type="dxa"/>
          <w:bottom w:w="28" w:type="dxa"/>
          <w:right w:w="28" w:type="dxa"/>
        </w:tblCellMar>
      </w:tblPr>
      <w:tblGrid>
        <w:gridCol w:w="124"/>
        <w:gridCol w:w="271"/>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Reflects underlying corporate-related activities performed by the Company’s personnel.</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rFonts w:ascii="Times New Roman;Times;serif" w:hAnsi="Times New Roman;Times;serif"/>
          <w:b/>
          <w:sz w:val="20"/>
        </w:rPr>
      </w:pPr>
      <w:bookmarkStart w:id="1290" w:name="Tc_92cY59x6ZUqIsinevZ73Ww_5_5"/>
      <w:bookmarkStart w:id="1291" w:name="Tc_hlC3LtOl60-WSIV6qHmaEQ_5_2"/>
      <w:bookmarkStart w:id="1292" w:name="Tc_uolDwWIY4km9AL72Uf-Z0g_4_0"/>
      <w:bookmarkStart w:id="1293" w:name="Tc_9smKaU669UGhGMZZsBTT6w_3_5"/>
      <w:bookmarkStart w:id="1294" w:name="Tc_nyL_FrXvh0G4jxj5oryUVg_3_2"/>
      <w:bookmarkStart w:id="1295" w:name="Tc_0A7YqaDmCUmJt4rUS1ILHg_3_0"/>
      <w:bookmarkStart w:id="1296" w:name="Tc_fGP4Pg1kmEmQVNspbJzUmQ_2_5"/>
      <w:bookmarkStart w:id="1297" w:name="Tc_K1mcfOHoy0SNLfE1vU4Nqg_2_2"/>
      <w:bookmarkStart w:id="1298" w:name="Tc_I8qtySDXzEmGgRYSfAwqDg_1_5"/>
      <w:bookmarkStart w:id="1299" w:name="Tc_nGzcYQEEK0CYAGjCYHFyqg_1_2"/>
      <w:bookmarkStart w:id="1300" w:name="_61534d7d_ae4a_4109_b9b2_e82d2a217409"/>
      <w:bookmarkEnd w:id="1290"/>
      <w:bookmarkEnd w:id="1291"/>
      <w:bookmarkEnd w:id="1292"/>
      <w:bookmarkEnd w:id="1293"/>
      <w:bookmarkEnd w:id="1294"/>
      <w:bookmarkEnd w:id="1295"/>
      <w:bookmarkEnd w:id="1296"/>
      <w:bookmarkEnd w:id="1297"/>
      <w:bookmarkEnd w:id="1298"/>
      <w:bookmarkEnd w:id="1299"/>
      <w:bookmarkEnd w:id="1300"/>
      <w:r>
        <w:rPr>
          <w:rFonts w:ascii="Times New Roman;Times;serif" w:hAnsi="Times New Roman;Times;serif"/>
          <w:b/>
          <w:i w:val="false"/>
          <w:caps w:val="false"/>
          <w:smallCaps w:val="false"/>
          <w:sz w:val="20"/>
        </w:rPr>
        <w:t>11.</w:t>
      </w:r>
      <w:r>
        <w:rPr>
          <w:rFonts w:ascii="Times New Roman;Times;serif" w:hAnsi="Times New Roman;Times;serif"/>
          <w:b/>
          <w:sz w:val="20"/>
        </w:rPr>
        <w:t>Accounts Payable and Accrued Liabilities</w:t>
      </w:r>
    </w:p>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Accounts payable and accrued liabilities outstanding at June 30, 2026, and December 31, 2025 are as follows:</w:t>
      </w:r>
    </w:p>
    <w:p>
      <w:pPr>
        <w:pStyle w:val="TextBody"/>
        <w:bidi w:val="0"/>
        <w:spacing w:before="0" w:after="0"/>
        <w:ind w:left="0" w:right="0" w:hanging="0"/>
        <w:jc w:val="left"/>
        <w:rPr/>
      </w:pPr>
      <w:r>
        <w:rPr/>
        <w:t>​</w:t>
      </w:r>
    </w:p>
    <w:tbl>
      <w:tblPr>
        <w:tblW w:w="4715" w:type="dxa"/>
        <w:jc w:val="left"/>
        <w:tblInd w:w="0" w:type="dxa"/>
        <w:tblLayout w:type="fixed"/>
        <w:tblCellMar>
          <w:top w:w="0" w:type="dxa"/>
          <w:left w:w="0" w:type="dxa"/>
          <w:bottom w:w="0" w:type="dxa"/>
          <w:right w:w="0" w:type="dxa"/>
        </w:tblCellMar>
      </w:tblPr>
      <w:tblGrid>
        <w:gridCol w:w="2041"/>
        <w:gridCol w:w="346"/>
        <w:gridCol w:w="211"/>
        <w:gridCol w:w="676"/>
        <w:gridCol w:w="346"/>
        <w:gridCol w:w="233"/>
        <w:gridCol w:w="862"/>
      </w:tblGrid>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29260" cy="175260"/>
                      <wp:effectExtent l="0" t="0" r="0" b="0"/>
                      <wp:wrapNone/>
                      <wp:docPr id="119" name="Frame11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47955" cy="175260"/>
                      <wp:effectExtent l="0" t="0" r="0" b="0"/>
                      <wp:wrapNone/>
                      <wp:docPr id="121" name="Frame121"/>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47370" cy="175260"/>
                      <wp:effectExtent l="0" t="0" r="0" b="0"/>
                      <wp:wrapNone/>
                      <wp:docPr id="122" name="Frame122"/>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1"/>
              <w:ind w:left="0" w:right="0" w:hanging="0"/>
              <w:jc w:val="left"/>
              <w:rPr/>
            </w:pPr>
            <w:r>
              <w:rPr/>
              <w:t>  ​ ​ ​</w:t>
            </w:r>
          </w:p>
        </w:tc>
        <w:tc>
          <w:tcPr>
            <w:tcW w:w="1095"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December 31</w:t>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1,682</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2,277</w:t>
            </w:r>
          </w:p>
        </w:tc>
      </w:tr>
      <w:tr>
        <w:trPr/>
        <w:tc>
          <w:tcPr>
            <w:tcW w:w="204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Accrued liabilities </w:t>
            </w:r>
            <w:r>
              <w:rPr>
                <w:rFonts w:ascii="Times New Roman;Times;serif" w:hAnsi="Times New Roman;Times;serif"/>
                <w:sz w:val="15"/>
              </w:rPr>
              <w:t>(1)</w:t>
            </w:r>
            <w:r>
              <w:rPr>
                <w:rFonts w:ascii="Times New Roman;Times;serif" w:hAnsi="Times New Roman;Times;serif"/>
                <w:sz w:val="20"/>
              </w:rPr>
              <w:t xml:space="preserve"> </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50,414</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43,771</w:t>
            </w:r>
          </w:p>
        </w:tc>
      </w:tr>
      <w:tr>
        <w:trPr/>
        <w:tc>
          <w:tcPr>
            <w:tcW w:w="20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52,096</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46,048</w:t>
            </w:r>
          </w:p>
        </w:tc>
      </w:tr>
    </w:tbl>
    <w:tbl>
      <w:tblPr>
        <w:tblW w:w="10205" w:type="dxa"/>
        <w:jc w:val="left"/>
        <w:tblInd w:w="0" w:type="dxa"/>
        <w:tblLayout w:type="fixed"/>
        <w:tblCellMar>
          <w:top w:w="0" w:type="dxa"/>
          <w:left w:w="0" w:type="dxa"/>
          <w:bottom w:w="0" w:type="dxa"/>
          <w:right w:w="0" w:type="dxa"/>
        </w:tblCellMar>
      </w:tblPr>
      <w:tblGrid>
        <w:gridCol w:w="124"/>
        <w:gridCol w:w="258"/>
        <w:gridCol w:w="9823"/>
      </w:tblGrid>
      <w:tr>
        <w:trPr/>
        <w:tc>
          <w:tcPr>
            <w:tcW w:w="1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lineRule="auto" w:line="240" w:before="0" w:after="0"/>
              <w:jc w:val="both"/>
              <w:rPr>
                <w:rFonts w:ascii="Times New Roman;Times;serif" w:hAnsi="Times New Roman;Times;serif"/>
                <w:sz w:val="15"/>
              </w:rPr>
            </w:pPr>
            <w:r>
              <w:rPr>
                <w:rFonts w:ascii="Times New Roman;Times;serif" w:hAnsi="Times New Roman;Times;serif"/>
                <w:sz w:val="15"/>
              </w:rPr>
              <w:t>(1)</w:t>
            </w:r>
          </w:p>
        </w:tc>
        <w:tc>
          <w:tcPr>
            <w:tcW w:w="98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accrued liabilities balance for both periods include $0.7 million of underutilization fees payable to the related parties under 2024 Credit facility (Note 16).</w:t>
            </w:r>
          </w:p>
        </w:tc>
      </w:tr>
    </w:tbl>
    <w:tbl>
      <w:tblPr>
        <w:tblW w:w="10205" w:type="dxa"/>
        <w:jc w:val="left"/>
        <w:tblInd w:w="0" w:type="dxa"/>
        <w:tblLayout w:type="fixed"/>
        <w:tblCellMar>
          <w:top w:w="0" w:type="dxa"/>
          <w:left w:w="0" w:type="dxa"/>
          <w:bottom w:w="0" w:type="dxa"/>
          <w:right w:w="0" w:type="dxa"/>
        </w:tblCellMar>
      </w:tblPr>
      <w:tblGrid>
        <w:gridCol w:w="124"/>
        <w:gridCol w:w="254"/>
        <w:gridCol w:w="9827"/>
      </w:tblGrid>
      <w:tr>
        <w:trPr/>
        <w:tc>
          <w:tcPr>
            <w:tcW w:w="12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lineRule="auto" w:line="240" w:before="0" w:after="240"/>
              <w:jc w:val="both"/>
              <w:rPr>
                <w:rFonts w:ascii="Times New Roman;Times;serif" w:hAnsi="Times New Roman;Times;serif"/>
                <w:sz w:val="15"/>
              </w:rPr>
            </w:pPr>
            <w:r>
              <w:rPr>
                <w:rFonts w:ascii="Times New Roman;Times;serif" w:hAnsi="Times New Roman;Times;serif"/>
                <w:sz w:val="15"/>
              </w:rPr>
              <w:t>(2)</w:t>
            </w:r>
          </w:p>
        </w:tc>
        <w:tc>
          <w:tcPr>
            <w:tcW w:w="98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As at June 30, 2026, accrued liabilities totaled $50.4 million (December 31, 2025: $43.8 million), of which $40.5 million relates to Allseas (Note 6) (December 31, 2025: $34.2 million).</w:t>
            </w:r>
          </w:p>
        </w:tc>
      </w:tr>
    </w:tbl>
    <w:p>
      <w:pPr>
        <w:pStyle w:val="TextBody"/>
        <w:bidi w:val="0"/>
        <w:spacing w:before="0" w:after="240"/>
        <w:ind w:left="0" w:right="0" w:hanging="0"/>
        <w:jc w:val="left"/>
        <w:rPr>
          <w:rFonts w:ascii="Times New Roman;Times;serif" w:hAnsi="Times New Roman;Times;serif"/>
          <w:b/>
          <w:sz w:val="20"/>
        </w:rPr>
      </w:pPr>
      <w:bookmarkStart w:id="1301" w:name="Tc_QBUvFs0GnkaYxa06QArHng_5_2"/>
      <w:bookmarkStart w:id="1302" w:name="Tc_PkhP2evqNEOIMv-6bObX8A_5_0"/>
      <w:bookmarkStart w:id="1303" w:name="Tc_vshOPEiaWUijaZYCzds2ZA_4_0"/>
      <w:bookmarkStart w:id="1304" w:name="Tc_tB1NTwE3_kihlIKYjZXcNg_3_2"/>
      <w:bookmarkStart w:id="1305" w:name="Tc__lsn8vfWQUG51V6IR0WB3Q_3_0"/>
      <w:bookmarkStart w:id="1306" w:name="Tc_uHOHSfXGGUGD14IaeR87Rg_2_2"/>
      <w:bookmarkStart w:id="1307" w:name="Tc_xLXue2MBlEivJ_mPosROmQ_1_2"/>
      <w:bookmarkEnd w:id="1301"/>
      <w:bookmarkEnd w:id="1302"/>
      <w:bookmarkEnd w:id="1303"/>
      <w:bookmarkEnd w:id="1304"/>
      <w:bookmarkEnd w:id="1305"/>
      <w:bookmarkEnd w:id="1306"/>
      <w:bookmarkEnd w:id="1307"/>
      <w:r>
        <w:rPr>
          <w:rFonts w:ascii="Times New Roman;Times;serif" w:hAnsi="Times New Roman;Times;serif"/>
          <w:b/>
          <w:i w:val="false"/>
          <w:caps w:val="false"/>
          <w:smallCaps w:val="false"/>
          <w:sz w:val="20"/>
        </w:rPr>
        <w:t>12.</w:t>
      </w:r>
      <w:r>
        <w:rPr>
          <w:rFonts w:ascii="Times New Roman;Times;serif" w:hAnsi="Times New Roman;Times;serif"/>
          <w:b/>
          <w:sz w:val="20"/>
        </w:rPr>
        <w:t xml:space="preserve">Warrants </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Public Warrants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June 30, 2026, 15,000,000 common share warrants issued by the Company as part of the units offered in its initial public offering (“Public Warrants”) were outstanding (December 31, 2025: 15,000,000). Public Warrants may only be exercised for a whole number of shares. The exercise price for the Public Warrants is $11.50 per common share. The Public Warrants will expire on September 9, 2026 or earlier upon redemption or liquidation.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June 30, 2026, the value of outstanding Public Warrants of $19.5 million was recorded in additional paid in capital (December 31, 2025: $19.5 million).</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Private Warrants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June 30, 2026, 9,500,000 Private Warrants were outstanding (December 31, 2025: 9,500,000). The exercise price for the Private Warrants is $11.50 per common share. The Private Warrants will expire on September 9, 2026 or earlier upon redemption or liquidation.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Private Warrants were valued using a Black-Scholes model, which resulted in a Level 3 fair value measurement. The primary unobservable input utilized in determining the fair value of the Private Warrants was the expected volatility of the Company’s common shares. The expected volatility was estimated using a binomial model that assigned equal weight to the implied volatility of the Company’s Public Warrants, adjusted for the call feature triggered at prices above $18.00 over 20 trading days within any 30-day period, and the historical volatility of the common share price.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June 30, 2026, the fair value of outstanding Private Warrants of approximately $0.5 million is recorded as warrants liability. The following table presents the changes in the fair value of warrants liability:</w:t>
      </w:r>
    </w:p>
    <w:p>
      <w:pPr>
        <w:pStyle w:val="TextBody"/>
        <w:bidi w:val="0"/>
        <w:spacing w:before="0" w:after="0"/>
        <w:ind w:left="0" w:right="0" w:hanging="0"/>
        <w:jc w:val="left"/>
        <w:rPr/>
      </w:pPr>
      <w:r>
        <w:rPr/>
        <w:t>​</w:t>
      </w:r>
    </w:p>
    <w:tbl>
      <w:tblPr>
        <w:tblW w:w="4894" w:type="dxa"/>
        <w:jc w:val="left"/>
        <w:tblInd w:w="0" w:type="dxa"/>
        <w:tblLayout w:type="fixed"/>
        <w:tblCellMar>
          <w:top w:w="0" w:type="dxa"/>
          <w:left w:w="0" w:type="dxa"/>
          <w:bottom w:w="0" w:type="dxa"/>
          <w:right w:w="0" w:type="dxa"/>
        </w:tblCellMar>
      </w:tblPr>
      <w:tblGrid>
        <w:gridCol w:w="3496"/>
        <w:gridCol w:w="346"/>
        <w:gridCol w:w="211"/>
        <w:gridCol w:w="841"/>
      </w:tblGrid>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3"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34035" cy="175260"/>
                      <wp:effectExtent l="0" t="0" r="0" b="0"/>
                      <wp:wrapNone/>
                      <wp:docPr id="125" name="Frame12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Private</w: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Warrants</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liability as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13,351</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 fair value of warrants liability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(12,824)</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Warrant liability as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527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360" w:right="0" w:hanging="0"/>
        <w:jc w:val="both"/>
        <w:rPr>
          <w:rFonts w:ascii="Times New Roman;Times;serif" w:hAnsi="Times New Roman;Times;serif"/>
          <w:sz w:val="20"/>
        </w:rPr>
      </w:pPr>
      <w:bookmarkStart w:id="1308" w:name="Tc_GmQZBsCgLkaGSWIWXt0CRw_8_7"/>
      <w:bookmarkStart w:id="1309" w:name="Tc_lx3E1kTW2EKYDWqyJPq1uw_8_4"/>
      <w:bookmarkStart w:id="1310" w:name="Tc_rG2vGvf_wU-PY3HSh4dxTw_8_0"/>
      <w:bookmarkStart w:id="1311" w:name="Tc_M3TydeSF8UG2psZI4p-mAg_7_7"/>
      <w:bookmarkStart w:id="1312" w:name="Tc_rbpz-FVf9kyvHe7k8tfjFA_7_4"/>
      <w:bookmarkStart w:id="1313" w:name="Tc_yLIyqz7zo0Wy-ctYGNSEHg_7_0"/>
      <w:bookmarkStart w:id="1314" w:name="Tc_IdDwRnXFbUOtf7dJDIArow_6_7"/>
      <w:bookmarkStart w:id="1315" w:name="Tc_vuXDsOj8sEq53jk0qtlNGg_6_4"/>
      <w:bookmarkStart w:id="1316" w:name="Tc_khcPVw1BTEe5FnqQNkZTXQ_6_0"/>
      <w:bookmarkStart w:id="1317" w:name="Tc_S8tTAa4f50ii3Eyy5-Q0yg_5_7"/>
      <w:bookmarkStart w:id="1318" w:name="Tc_UMaP7AXxdk2O4Ov8MvFKIQ_5_4"/>
      <w:bookmarkStart w:id="1319" w:name="Tc_wsd_M5Q6AUaaP13coVfR1Q_5_0"/>
      <w:bookmarkStart w:id="1320" w:name="Tc_42QHXNWInkKPy9CnMQs-ow_4_5"/>
      <w:bookmarkStart w:id="1321" w:name="Tc_LqUcoBNW0U6gNMgw9Dd-Aw_4_2"/>
      <w:bookmarkStart w:id="1322" w:name="Tc_YXz8GubEwUC05dwolyBMRg_4_0"/>
      <w:bookmarkStart w:id="1323" w:name="Tc_JZe_fXQJv0e4dpnvfKcu-w_3_5"/>
      <w:bookmarkStart w:id="1324" w:name="Tc_r35V4cWm40GN1k3J_Hel3w_3_2"/>
      <w:bookmarkStart w:id="1325" w:name="Tc_YmBIrsl4c0K-gUsjuZG0Sg_3_0"/>
      <w:bookmarkStart w:id="1326" w:name="Tc__pV9_ic310WuPaBnqyuswA_2_5"/>
      <w:bookmarkStart w:id="1327" w:name="Tc_PdpJVeFRo0KdWakeHfFrSg_2_2"/>
      <w:bookmarkStart w:id="1328" w:name="Tc_SATk4Ip2n06-vXtPxLxMtA_1_5"/>
      <w:bookmarkStart w:id="1329" w:name="Tc_ZTrsTA1QIkWqyI9eXgN86w_1_2"/>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r>
        <w:rPr>
          <w:rFonts w:ascii="Times New Roman;Times;serif" w:hAnsi="Times New Roman;Times;serif"/>
          <w:sz w:val="20"/>
        </w:rPr>
        <w:t>As at June 30, 2026, the fair value of the Private Warrants was estimated using the following assumptions:</w:t>
      </w:r>
    </w:p>
    <w:p>
      <w:pPr>
        <w:pStyle w:val="TextBody"/>
        <w:bidi w:val="0"/>
        <w:spacing w:before="0" w:after="0"/>
        <w:ind w:left="0" w:right="0" w:hanging="0"/>
        <w:jc w:val="left"/>
        <w:rPr/>
      </w:pPr>
      <w:r>
        <w:rPr/>
        <w:t>​</w:t>
      </w:r>
    </w:p>
    <w:tbl>
      <w:tblPr>
        <w:tblW w:w="4866" w:type="dxa"/>
        <w:jc w:val="left"/>
        <w:tblInd w:w="0" w:type="dxa"/>
        <w:tblLayout w:type="fixed"/>
        <w:tblCellMar>
          <w:top w:w="0" w:type="dxa"/>
          <w:left w:w="0" w:type="dxa"/>
          <w:bottom w:w="0" w:type="dxa"/>
          <w:right w:w="0" w:type="dxa"/>
        </w:tblCellMar>
      </w:tblPr>
      <w:tblGrid>
        <w:gridCol w:w="1351"/>
        <w:gridCol w:w="346"/>
        <w:gridCol w:w="211"/>
        <w:gridCol w:w="676"/>
        <w:gridCol w:w="571"/>
        <w:gridCol w:w="271"/>
        <w:gridCol w:w="869"/>
        <w:gridCol w:w="571"/>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857885" cy="175260"/>
                      <wp:effectExtent l="0" t="0" r="0" b="0"/>
                      <wp:wrapNone/>
                      <wp:docPr id="126" name="Frame126"/>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29260" cy="175260"/>
                      <wp:effectExtent l="0" t="0" r="0" b="0"/>
                      <wp:wrapNone/>
                      <wp:docPr id="129" name="Frame12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362585" cy="175260"/>
                      <wp:effectExtent l="0" t="0" r="0" b="0"/>
                      <wp:wrapNone/>
                      <wp:docPr id="130" name="Frame13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72085" cy="175260"/>
                      <wp:effectExtent l="0" t="0" r="0" b="0"/>
                      <wp:wrapNone/>
                      <wp:docPr id="131" name="Frame13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51815" cy="175260"/>
                      <wp:effectExtent l="0" t="0" r="0" b="0"/>
                      <wp:wrapNone/>
                      <wp:docPr id="132" name="Frame132"/>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62585" cy="175260"/>
                      <wp:effectExtent l="0" t="0" r="0" b="0"/>
                      <wp:wrapNone/>
                      <wp:docPr id="133" name="Frame13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June 30, </w:t>
            </w:r>
          </w:p>
        </w:tc>
        <w:tc>
          <w:tcPr>
            <w:tcW w:w="571"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 </w:t>
            </w:r>
          </w:p>
        </w:tc>
        <w:tc>
          <w:tcPr>
            <w:tcW w:w="571" w:type="dxa"/>
            <w:tcBorders/>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571"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571" w:type="dxa"/>
            <w:tcBorders/>
            <w:vAlign w:val="center"/>
          </w:tcPr>
          <w:p>
            <w:pPr>
              <w:pStyle w:val="TableContents"/>
              <w:bidi w:val="0"/>
              <w:spacing w:before="0" w:after="0"/>
              <w:ind w:left="0" w:right="0" w:hanging="0"/>
              <w:jc w:val="center"/>
              <w:rPr/>
            </w:pPr>
            <w:r>
              <w:rPr/>
              <w:t>​</w:t>
            </w:r>
          </w:p>
        </w:tc>
      </w:tr>
      <w:tr>
        <w:trPr/>
        <w:tc>
          <w:tcPr>
            <w:tcW w:w="13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11.50</w:t>
            </w:r>
          </w:p>
        </w:tc>
        <w:tc>
          <w:tcPr>
            <w:tcW w:w="571"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571" w:type="dxa"/>
            <w:tcBorders/>
            <w:shd w:fill="CCEEFF" w:val="clear"/>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4.43</w:t>
            </w:r>
          </w:p>
        </w:tc>
        <w:tc>
          <w:tcPr>
            <w:tcW w:w="57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w:t>
            </w:r>
          </w:p>
        </w:tc>
        <w:tc>
          <w:tcPr>
            <w:tcW w:w="571" w:type="dxa"/>
            <w:tcBorders/>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120.68</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124.72</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Term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0.19</w:t>
            </w:r>
          </w:p>
        </w:tc>
        <w:tc>
          <w:tcPr>
            <w:tcW w:w="5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years</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0.69</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13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3.74</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0.0</w:t>
            </w:r>
          </w:p>
        </w:tc>
        <w:tc>
          <w:tcPr>
            <w:tcW w:w="5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 xml:space="preserve">Class A Warrants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June 30, 2026, 4,317,500 Class A warrants issued as part of a registered direct offering in 2023 (“Class A Warrants”) were outstanding (December 31, 2025: 4,317,500). Each whole Class A Warrant entitles the holder to purchase one common share at an exercise price of $2.00 per share and will expire on December 31, 2027.</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three and six months ended June 30, 2026, there were no exercises of Class A Warrants. As at June 30, 2026, the value of outstanding Class A Warrants of $3.6 million was recorded in additional paid in capital (December 31, 2025: $3.6 million).</w:t>
      </w:r>
    </w:p>
    <w:p>
      <w:pPr>
        <w:pStyle w:val="TextBody"/>
        <w:pBdr/>
        <w:bidi w:val="0"/>
        <w:spacing w:before="0" w:after="240"/>
        <w:ind w:left="360" w:right="0" w:hanging="360"/>
        <w:jc w:val="both"/>
        <w:rPr>
          <w:rFonts w:ascii="Times New Roman;Times;serif" w:hAnsi="Times New Roman;Times;serif"/>
          <w:b/>
          <w:i/>
          <w:sz w:val="20"/>
        </w:rPr>
      </w:pPr>
      <w:r>
        <w:rPr>
          <w:rFonts w:ascii="Times New Roman;Times;serif" w:hAnsi="Times New Roman;Times;serif"/>
          <w:b/>
          <w:i/>
          <w:sz w:val="20"/>
        </w:rPr>
        <w:t>Class B Warrants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June 30, 2026, 15,000 Class B warrants were outstanding (December 31, 2025: 15,000). Each whole Class B Warrant entitles the holder to purchase one common share at an exercise price of $2.00 per share and will expire on November 19, 2029.</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three and six months ended June 30, 2026, there had been no exercises of Class B warrants. As at June 30, 2026, the value of outstanding Class B Warrants of $9 thousand was recorded in additional paid in capital (December 31, 2025: $9 thousand).</w:t>
      </w:r>
    </w:p>
    <w:p>
      <w:pPr>
        <w:pStyle w:val="TextBody"/>
        <w:pBdr/>
        <w:bidi w:val="0"/>
        <w:spacing w:before="0" w:after="240"/>
        <w:ind w:left="360" w:right="0" w:hanging="360"/>
        <w:jc w:val="both"/>
        <w:rPr>
          <w:rFonts w:ascii="Times New Roman;Times;serif" w:hAnsi="Times New Roman;Times;serif"/>
          <w:b/>
          <w:i/>
          <w:sz w:val="20"/>
        </w:rPr>
      </w:pPr>
      <w:r>
        <w:rPr>
          <w:rFonts w:ascii="Times New Roman;Times;serif" w:hAnsi="Times New Roman;Times;serif"/>
          <w:b/>
          <w:i/>
          <w:sz w:val="20"/>
        </w:rPr>
        <w:t>Class C Warrants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June 30, 2026, 10,003,333 Class C warrants were outstanding (December 31, 2025: 10,003,333). Each whole Class C Warrant entitles the holder to purchase one common share at an exercise price of $4.50 per share. The Class C warrants expire on May 12, 2028.</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three and six months ended June 30, there had been no exercises of Class C warrants. As at June 30, the value of outstanding Class C Warrants of $10.2 million was recorded in additional paid in capital (December 31, 2025: $10.2 million).</w:t>
      </w:r>
    </w:p>
    <w:p>
      <w:pPr>
        <w:pStyle w:val="TextBody"/>
        <w:pBdr/>
        <w:bidi w:val="0"/>
        <w:spacing w:before="0" w:after="240"/>
        <w:ind w:left="360" w:right="0" w:hanging="360"/>
        <w:jc w:val="both"/>
        <w:rPr>
          <w:rFonts w:ascii="Times New Roman;Times;serif" w:hAnsi="Times New Roman;Times;serif"/>
          <w:b/>
          <w:i/>
          <w:sz w:val="20"/>
        </w:rPr>
      </w:pPr>
      <w:r>
        <w:rPr>
          <w:rFonts w:ascii="Times New Roman;Times;serif" w:hAnsi="Times New Roman;Times;serif"/>
          <w:b/>
          <w:i/>
          <w:sz w:val="20"/>
        </w:rPr>
        <w:t>Warrants issued to Korea Zinc</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June 30, 2026, 6,868,181 warrants issued to Korea Zinc were outstanding (December 31, 2025: 6,868,181). The exercise price for the warrants is $7.00 per common share and the warrants expire on June 25, 2028.</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three and six months ended June 30, 2026, there had been no exercises of the warrants issued to Korea Zinc and as at June 30, 2026, the value of outstanding warrants of $11.5 million was recorded in additional paid in capital (December 31, 2025: $11.5 million).</w:t>
      </w:r>
    </w:p>
    <w:p>
      <w:pPr>
        <w:pStyle w:val="TextBody"/>
        <w:pBdr/>
        <w:bidi w:val="0"/>
        <w:spacing w:before="0" w:after="240"/>
        <w:ind w:left="360" w:right="0" w:hanging="360"/>
        <w:jc w:val="both"/>
        <w:rPr>
          <w:rFonts w:ascii="Times New Roman;Times;serif" w:hAnsi="Times New Roman;Times;serif"/>
          <w:b/>
          <w:i/>
          <w:sz w:val="20"/>
        </w:rPr>
      </w:pPr>
      <w:r>
        <w:rPr>
          <w:rFonts w:ascii="Times New Roman;Times;serif" w:hAnsi="Times New Roman;Times;serif"/>
          <w:b/>
          <w:i/>
          <w:sz w:val="20"/>
        </w:rPr>
        <w:t>Warrants issued to Republic of Naoero, formerly known as Republic of Nauru (“Naoero” or “Nauru”)</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June 30, 2026, 9,146,268 warrants issued to the Republic of Naoero (“Nauru Warrants”) were outstanding (December 31, 2025 – 9,146,268). The Nauru Warrants allow the purchase of common shares of the Company at an exercise price of $4.72 per share with an expiration date of May 30, 2030. The Nauru Warrants cannot be exercised through a cashless or net exercise.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pBdr/>
        <w:bidi w:val="0"/>
        <w:spacing w:before="0" w:after="240"/>
        <w:ind w:left="360" w:right="0" w:hanging="360"/>
        <w:jc w:val="both"/>
        <w:rPr>
          <w:rFonts w:ascii="Times New Roman;Times;serif" w:hAnsi="Times New Roman;Times;serif"/>
          <w:sz w:val="20"/>
        </w:rPr>
      </w:pPr>
      <w:r>
        <w:rPr>
          <w:rFonts w:ascii="Times New Roman;Times;serif" w:hAnsi="Times New Roman;Times;serif"/>
          <w:sz w:val="20"/>
        </w:rPr>
        <w:t>The Nauru Warrants cannot be exercised until the following conditions have been met: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subsidiary of the Company other than NORI obtains a permit, license or other authorization from the United States for the conduct of deep seabed mineral activities;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subsidiary other than NORI commences commercial recovery activities of deep seabed minerals pursuant to that permit, license or other authorization.</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three and six months ended June 30, 2026, there has been no exercises of the Nauru Warrants. As at June 30, 2026, the value of outstanding Nauru Warrants of $33.1 million was recorded in additional paid in capital (December 31, 2025: $33.1 million).</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Warrants issued to the Kingdom of Tonga</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June 30, 2026, 1,000,000 warrants issued to the Kingdom of Tonga (“Tonga Warrants”) were outstanding (December 31, 2025 – 1,000,000). The Tonga Warrants allow the purchase of common shares of the Company at an exercise price of $5.87 per share, with an expiration date of August 4, 2033. The Tonga Warrants cannot be exercised through a cashless or net exercise.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Tonga Warrants cannot be exercised until the following conditions have been met: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subsidiary of the Company other than TOML obtains a permit, license or other authorization from the US for the conduct of deep seabed mineral activities;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subsidiary other than TOML commences commercial recovery activities of deep seabed minerals pursuant to that permit, license or other authorization.</w:t>
            </w:r>
          </w:p>
        </w:tc>
      </w:tr>
    </w:tbl>
    <w:p>
      <w:pPr>
        <w:pStyle w:val="TextBody"/>
        <w:bidi w:val="0"/>
        <w:spacing w:before="0" w:after="0"/>
        <w:ind w:left="360" w:right="0" w:firstLine="360"/>
        <w:jc w:val="both"/>
        <w:rPr>
          <w:rFonts w:ascii="Times New Roman;Times;serif" w:hAnsi="Times New Roman;Times;serif"/>
          <w:sz w:val="20"/>
        </w:rPr>
      </w:pPr>
      <w:r>
        <w:rPr>
          <w:rFonts w:ascii="Times New Roman;Times;serif" w:hAnsi="Times New Roman;Times;serif"/>
          <w:sz w:val="20"/>
        </w:rPr>
        <w:t>During the three and six months ended June 30, 2026, there were no exercises of the Tonga Warrants. As at June 30, 2026, the value of outstanding Tonga Warrants of $5 million was recorded in additional paid in capital (December 31, 2025: $5 million).</w:t>
      </w:r>
    </w:p>
    <w:p>
      <w:pPr>
        <w:pStyle w:val="TextBody"/>
        <w:bidi w:val="0"/>
        <w:spacing w:before="0" w:after="240"/>
        <w:ind w:left="360" w:right="0" w:firstLine="360"/>
        <w:jc w:val="both"/>
        <w:rPr/>
      </w:pPr>
      <w:r>
        <w:rPr/>
        <w:t>​</w:t>
      </w:r>
    </w:p>
    <w:p>
      <w:pPr>
        <w:pStyle w:val="TextBody"/>
        <w:bidi w:val="0"/>
        <w:spacing w:before="0" w:after="240"/>
        <w:ind w:left="360" w:right="0" w:firstLine="36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Share-Based Compensation</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The Company’s 2021 Incentive Equity Plan (the “Incentive Plan”) provides an aggregate number of common shares reserved for future issuance under the Incentive Plan. As at June 30, 2026, there were a total of 21,941,580 common shares reserved for issuance under the Incentive Plan. These amounts include 16,918,653 shares added to the Incentive Plan in January 2026 pursuant to the Incentive Plan’s automatic annual increase provision, provided that 2,243,853 of the outstanding common shares shall only be available for awards made to non-employee directors of the Company. On the first day of each fiscal year from 2022 to 2031, the number of common shares that may be issued pursuant to the Incentive Plan is automatically increased by an amount equal to the lesser of 4% of the number of outstanding common shares or an amount determined by the Company’s Board of Directors.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Share-based awards consisting of RSUs and options under the Short-Term Incentives Plan (“STIP”) and Long-Term Incentives Plan (“LTIP”) have been issued under the 2021 Incentive Equity Plan.</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Prior to the 2021 Incentive Plan, the Company had granted share-based awards under the 2018 Stock Option Plan (“2018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00"/>
        <w:ind w:left="360" w:right="0" w:hanging="0"/>
        <w:jc w:val="both"/>
        <w:rPr>
          <w:rFonts w:ascii="Times New Roman;Times;serif" w:hAnsi="Times New Roman;Times;serif"/>
          <w:b/>
          <w:i/>
          <w:sz w:val="20"/>
        </w:rPr>
      </w:pPr>
      <w:bookmarkStart w:id="1330" w:name="Tc_2p3dkz9lREqlhdqP0n0QOg_11_0"/>
      <w:bookmarkStart w:id="1331" w:name="Tc_veJHUNZjeEqsMSpo9QiGbQ_10_0"/>
      <w:bookmarkStart w:id="1332" w:name="Tc_-IpDG6W06EyDaPqbLGbOiQ_9_0"/>
      <w:bookmarkStart w:id="1333" w:name="Tc_Two2fOKBZE2WvX8qKc80yA_8_0"/>
      <w:bookmarkStart w:id="1334" w:name="Tc_hahtoCuOIUKMO8xy0Lqh4A_7_0"/>
      <w:bookmarkStart w:id="1335" w:name="Tc_TlkL_fHlq0KJy9Kfm7quzg_6_0"/>
      <w:bookmarkStart w:id="1336" w:name="Tc__Ygv97chyUWirB0DXz9k8g_5_0"/>
      <w:bookmarkStart w:id="1337" w:name="Tc_jTm2DTd6OUaqW5ezwhU22A_4_0"/>
      <w:bookmarkStart w:id="1338" w:name="Tc_-7OUNL4BFUyVLaX0dSoDaQ_3_0"/>
      <w:bookmarkStart w:id="1339" w:name="Tc_g6ryaxQ4ykuQP8agfTQgWg_2_2"/>
      <w:bookmarkStart w:id="1340" w:name="Tc_PPdTxDtFCkGhxrjkrYW0ow_1_2"/>
      <w:bookmarkStart w:id="1341" w:name="Tc_-v2FP0xStUy6FZgHfIjDSQ_13_0"/>
      <w:bookmarkStart w:id="1342" w:name="Tc_MTMmu4VNvkaCuMgFwvi9gA_12_0"/>
      <w:bookmarkStart w:id="1343" w:name="Tc_Utx65oil2kmQXrFa1U4gAA_11_0"/>
      <w:bookmarkStart w:id="1344" w:name="Tc_O3TNugVReU6zm4D4VONGpQ_10_6"/>
      <w:bookmarkStart w:id="1345" w:name="Tc_R_rheLwUWkGIfFhpx4REKg_10_0"/>
      <w:bookmarkStart w:id="1346" w:name="Tc_HBwnpUS9nka6F1ieeqc-OQ_9_4"/>
      <w:bookmarkStart w:id="1347" w:name="Tc_EBlNLvpMhkmSdS5jg2Hi-g_9_0"/>
      <w:bookmarkStart w:id="1348" w:name="Tc_dKXVktLnF0yc9g0tVEWj_A_8_4"/>
      <w:bookmarkStart w:id="1349" w:name="Tc_Y6RY87mZ0U6I06cJECciyA_8_2"/>
      <w:bookmarkStart w:id="1350" w:name="Tc_BCRvEcd8hUmGZlx2xpFFbw_8_0"/>
      <w:bookmarkStart w:id="1351" w:name="Tc_RXYRmrTYKUmj1Z22WQ5PzQ_7_0"/>
      <w:bookmarkStart w:id="1352" w:name="Tc_B9O4X7-Ru0KVrYSB2oRfaA_6_6"/>
      <w:bookmarkStart w:id="1353" w:name="Tc_egivK6K_70itSoRZeYIaKQ_6_4"/>
      <w:bookmarkStart w:id="1354" w:name="Tc_u9ixxcYHCEu38jVh9GMG8A_6_2"/>
      <w:bookmarkStart w:id="1355" w:name="Tc_NCQX25pHTkO3T-b8TsWaYg_5_6"/>
      <w:bookmarkStart w:id="1356" w:name="Tc_yD19xz-CuEmcyMtZd_iVDg_5_4"/>
      <w:bookmarkStart w:id="1357" w:name="Tc_G-49P4VoNkSTX7vQxMNzkA_5_2"/>
      <w:bookmarkStart w:id="1358" w:name="Tc_zLQ5dspA3EOqq1JmPy7aGA_4_6"/>
      <w:bookmarkStart w:id="1359" w:name="Tc_tFdniq8MvESG6m1TesLORA_4_4"/>
      <w:bookmarkStart w:id="1360" w:name="Tc_e0OeSE5HXkOkjSZvqxg2jA_4_2"/>
      <w:bookmarkStart w:id="1361" w:name="Tc_hSjdPM2c00e6Hss7VcYz-A_3_6"/>
      <w:bookmarkStart w:id="1362" w:name="Tc__wVaOfVHFkqIwnDtcbZWxw_3_4"/>
      <w:bookmarkStart w:id="1363" w:name="Tc_i7KooVZN4kK09wXrPYufsw_3_2"/>
      <w:bookmarkStart w:id="1364" w:name="Tc_EGij0lsS7Ued6D0ob2GkgQ_2_6"/>
      <w:bookmarkStart w:id="1365" w:name="Tc_kfxUoz6dnUWmTKM7yM-L_w_2_4"/>
      <w:bookmarkStart w:id="1366" w:name="Tc_mIyold-r0kG0l_w3BKUDNw_2_2"/>
      <w:bookmarkStart w:id="1367" w:name="Tc_aV_tekSAf0-ZTgS-ocmXGA_1_4"/>
      <w:bookmarkStart w:id="1368" w:name="Tc_V7yr8Oidukm_QVxulXDEsg_1_2"/>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r>
        <w:rPr>
          <w:rFonts w:ascii="Times New Roman;Times;serif" w:hAnsi="Times New Roman;Times;serif"/>
          <w:b/>
          <w:i/>
          <w:sz w:val="20"/>
        </w:rPr>
        <w:t>Stock options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A continuity schedule summarizing the movements in the Company’s stock options under the various plans is as follows:</w:t>
      </w:r>
    </w:p>
    <w:p>
      <w:pPr>
        <w:pStyle w:val="TextBody"/>
        <w:bidi w:val="0"/>
        <w:spacing w:before="0" w:after="0"/>
        <w:ind w:left="0" w:right="0" w:hanging="0"/>
        <w:jc w:val="left"/>
        <w:rPr/>
      </w:pPr>
      <w:r>
        <w:rPr/>
        <w:t>​</w:t>
      </w:r>
    </w:p>
    <w:tbl>
      <w:tblPr>
        <w:tblW w:w="7252" w:type="dxa"/>
        <w:jc w:val="left"/>
        <w:tblInd w:w="0" w:type="dxa"/>
        <w:tblLayout w:type="fixed"/>
        <w:tblCellMar>
          <w:top w:w="0" w:type="dxa"/>
          <w:left w:w="0" w:type="dxa"/>
          <w:bottom w:w="0" w:type="dxa"/>
          <w:right w:w="0" w:type="dxa"/>
        </w:tblCellMar>
      </w:tblPr>
      <w:tblGrid>
        <w:gridCol w:w="2971"/>
        <w:gridCol w:w="346"/>
        <w:gridCol w:w="1051"/>
        <w:gridCol w:w="346"/>
        <w:gridCol w:w="1006"/>
        <w:gridCol w:w="346"/>
        <w:gridCol w:w="1186"/>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886585" cy="175260"/>
                      <wp:effectExtent l="0" t="0" r="0" b="0"/>
                      <wp:wrapNone/>
                      <wp:docPr id="134" name="Frame134"/>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5"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67385" cy="175260"/>
                      <wp:effectExtent l="0" t="0" r="0" b="0"/>
                      <wp:wrapNone/>
                      <wp:docPr id="136" name="Frame13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7"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38810" cy="175260"/>
                      <wp:effectExtent l="0" t="0" r="0" b="0"/>
                      <wp:wrapNone/>
                      <wp:docPr id="138" name="Frame138"/>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753110" cy="175260"/>
                      <wp:effectExtent l="0" t="0" r="0" b="0"/>
                      <wp:wrapNone/>
                      <wp:docPr id="140" name="Frame140"/>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5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Number of </w:t>
            </w:r>
          </w:p>
        </w:tc>
        <w:tc>
          <w:tcPr>
            <w:tcW w:w="346" w:type="dxa"/>
            <w:tcBorders/>
            <w:vAlign w:val="center"/>
          </w:tcPr>
          <w:p>
            <w:pPr>
              <w:pStyle w:val="TableContents"/>
              <w:bidi w:val="0"/>
              <w:spacing w:before="0" w:after="1"/>
              <w:ind w:left="0" w:right="0" w:hanging="0"/>
              <w:jc w:val="left"/>
              <w:rPr/>
            </w:pPr>
            <w:r>
              <w:rPr/>
              <w:t>  ​ ​ ​</w:t>
            </w:r>
          </w:p>
        </w:tc>
        <w:tc>
          <w:tcPr>
            <w:tcW w:w="10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Number of </w:t>
            </w:r>
          </w:p>
        </w:tc>
        <w:tc>
          <w:tcPr>
            <w:tcW w:w="346" w:type="dxa"/>
            <w:tcBorders/>
            <w:vAlign w:val="center"/>
          </w:tcPr>
          <w:p>
            <w:pPr>
              <w:pStyle w:val="TableContents"/>
              <w:bidi w:val="0"/>
              <w:spacing w:before="0" w:after="1"/>
              <w:ind w:left="0" w:right="0" w:hanging="0"/>
              <w:jc w:val="left"/>
              <w:rPr/>
            </w:pPr>
            <w:r>
              <w:rPr/>
              <w:t>  ​ ​ ​</w:t>
            </w:r>
          </w:p>
        </w:tc>
        <w:tc>
          <w:tcPr>
            <w:tcW w:w="1186" w:type="dxa"/>
            <w:tcBorders/>
            <w:vAlign w:val="center"/>
          </w:tcPr>
          <w:p>
            <w:pPr>
              <w:pStyle w:val="TableContents"/>
              <w:bidi w:val="0"/>
              <w:spacing w:before="0" w:after="1"/>
              <w:ind w:left="0" w:right="0" w:hanging="0"/>
              <w:jc w:val="right"/>
              <w:rPr/>
            </w:pPr>
            <w:r>
              <w:rPr/>
              <w:t>​</w:t>
            </w:r>
          </w:p>
        </w:tc>
      </w:tr>
      <w:tr>
        <w:trPr/>
        <w:tc>
          <w:tcPr>
            <w:tcW w:w="2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Short-Term </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Long-Term </w:t>
            </w:r>
          </w:p>
        </w:tc>
        <w:tc>
          <w:tcPr>
            <w:tcW w:w="34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Number of </w:t>
            </w:r>
          </w:p>
        </w:tc>
      </w:tr>
      <w:tr>
        <w:trPr/>
        <w:tc>
          <w:tcPr>
            <w:tcW w:w="2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Options </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Options </w:t>
            </w:r>
          </w:p>
        </w:tc>
        <w:tc>
          <w:tcPr>
            <w:tcW w:w="34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Options </w:t>
            </w:r>
          </w:p>
        </w:tc>
      </w:tr>
      <w:tr>
        <w:trPr/>
        <w:tc>
          <w:tcPr>
            <w:tcW w:w="2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Outstanding</w:t>
            </w:r>
          </w:p>
        </w:tc>
      </w:tr>
      <w:tr>
        <w:trPr/>
        <w:tc>
          <w:tcPr>
            <w:tcW w:w="2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under 2018 </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under 2018 </w:t>
            </w:r>
          </w:p>
        </w:tc>
        <w:tc>
          <w:tcPr>
            <w:tcW w:w="34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under</w:t>
            </w:r>
          </w:p>
        </w:tc>
      </w:tr>
      <w:tr>
        <w:trPr/>
        <w:tc>
          <w:tcPr>
            <w:tcW w:w="2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Plan</w:t>
            </w:r>
          </w:p>
        </w:tc>
        <w:tc>
          <w:tcPr>
            <w:tcW w:w="34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Plan</w:t>
            </w:r>
          </w:p>
        </w:tc>
        <w:tc>
          <w:tcPr>
            <w:tcW w:w="346" w:type="dxa"/>
            <w:tcBorders/>
            <w:vAlign w:val="center"/>
          </w:tcPr>
          <w:p>
            <w:pPr>
              <w:pStyle w:val="TableContents"/>
              <w:bidi w:val="0"/>
              <w:spacing w:before="0" w:after="1"/>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Incentive Plan</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 December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14,300,575</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9,644,874</w:t>
            </w:r>
          </w:p>
        </w:tc>
        <w:tc>
          <w:tcPr>
            <w:tcW w:w="346" w:type="dxa"/>
            <w:tcBorders/>
            <w:shd w:fill="CCEEFF" w:val="clear"/>
            <w:vAlign w:val="center"/>
          </w:tcPr>
          <w:p>
            <w:pPr>
              <w:pStyle w:val="TableContents"/>
              <w:bidi w:val="0"/>
              <w:spacing w:before="0" w:after="1"/>
              <w:ind w:left="0" w:right="0" w:hanging="0"/>
              <w:jc w:val="left"/>
              <w:rPr/>
            </w:pPr>
            <w:r>
              <w:rPr/>
              <w:t> </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3,940,000</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7,750,000</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Expired/ forfeited</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(11,578)</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(500,000)</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(4,051,304)</w:t>
            </w:r>
          </w:p>
        </w:tc>
        <w:tc>
          <w:tcPr>
            <w:tcW w:w="34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(695,242)</w:t>
            </w:r>
          </w:p>
        </w:tc>
        <w:tc>
          <w:tcPr>
            <w:tcW w:w="346" w:type="dxa"/>
            <w:tcBorders/>
            <w:vAlign w:val="center"/>
          </w:tcPr>
          <w:p>
            <w:pPr>
              <w:pStyle w:val="TableContents"/>
              <w:bidi w:val="0"/>
              <w:spacing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10,237,693</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8,949,632</w:t>
            </w:r>
          </w:p>
        </w:tc>
        <w:tc>
          <w:tcPr>
            <w:tcW w:w="34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11,190,000</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(1,594,041)</w:t>
            </w:r>
          </w:p>
        </w:tc>
        <w:tc>
          <w:tcPr>
            <w:tcW w:w="34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(284,418)</w:t>
            </w:r>
          </w:p>
        </w:tc>
        <w:tc>
          <w:tcPr>
            <w:tcW w:w="346" w:type="dxa"/>
            <w:tcBorders/>
            <w:vAlign w:val="center"/>
          </w:tcPr>
          <w:p>
            <w:pPr>
              <w:pStyle w:val="TableContents"/>
              <w:bidi w:val="0"/>
              <w:spacing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(166,667)</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8,643,652</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8,665,214</w:t>
            </w:r>
          </w:p>
        </w:tc>
        <w:tc>
          <w:tcPr>
            <w:tcW w:w="346" w:type="dxa"/>
            <w:tcBorders/>
            <w:shd w:fill="CCEEFF" w:val="clear"/>
            <w:vAlign w:val="center"/>
          </w:tcPr>
          <w:p>
            <w:pPr>
              <w:pStyle w:val="TableContents"/>
              <w:bidi w:val="0"/>
              <w:spacing w:before="0" w:after="1"/>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11,023,333</w:t>
            </w:r>
          </w:p>
        </w:tc>
      </w:tr>
    </w:tbl>
    <w:p>
      <w:pPr>
        <w:pStyle w:val="TextBody"/>
        <w:bidi w:val="0"/>
        <w:spacing w:before="0" w:after="240"/>
        <w:ind w:left="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three and six months ended June 30, 2026, the Company recognized $0.5 million and $0.9 million, respectively of share-based compensation expense for stock options (three and six months ended June 30, 2025, the Company recognized $0.7 million and $1.1 million, respectively, of share-based compensation expense for stock options). During the three and six months ended June 30, 2026, share-based compensation expense related to exploration and evaluation activities amounted to $25 thousand and $50 thousand respectively (three and six months ended June 30, 2025: $0.2 million). The amount of the share-based compensation expense recognized related to general and administrative matters for the three and six months ended June 30, 2026, was $0.4 million and $0.9 million, respectively (three and six months ended June 30, 2025: $0.5 million and $0.9 million, respectively). The Company has not granted any options under the 2018 Plan since September 9, 2021 (date of the Business Combination) and has fully recognized the fair value of the options issued under the 2018 Plan in the prior periods.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b/>
          <w:i/>
          <w:sz w:val="20"/>
        </w:rPr>
        <w:t>Restricted Share Units</w:t>
      </w:r>
      <w:r>
        <w:rPr>
          <w:rFonts w:ascii="Times New Roman;Times;serif" w:hAnsi="Times New Roman;Times;serif"/>
          <w:sz w:val="20"/>
        </w:rPr>
        <w:t xml:space="preserve"> </w:t>
      </w:r>
      <w:r>
        <w:rPr>
          <w:rFonts w:ascii="Times New Roman;Times;serif" w:hAnsi="Times New Roman;Times;serif"/>
          <w:b/>
          <w:i/>
          <w:sz w:val="20"/>
        </w:rPr>
        <w:t>(“RSU”)</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Company may, from time to time, grant RSUs to directors, officers, employees, and consultants of the Company and its subsidiaries under the Plan. On each vesting date, RSU holders are issued common shares equivalent to the number of RSUs held provided the holder is providing service to the Company on such vesting date.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 continuity schedule summarizing the RSU activity is as follows:</w:t>
      </w:r>
    </w:p>
    <w:p>
      <w:pPr>
        <w:pStyle w:val="TextBody"/>
        <w:bidi w:val="0"/>
        <w:spacing w:before="0" w:after="0"/>
        <w:ind w:left="0" w:right="0" w:hanging="0"/>
        <w:jc w:val="left"/>
        <w:rPr/>
      </w:pPr>
      <w:r>
        <w:rPr/>
        <w:t>​</w:t>
      </w:r>
    </w:p>
    <w:tbl>
      <w:tblPr>
        <w:tblW w:w="4728" w:type="dxa"/>
        <w:jc w:val="left"/>
        <w:tblInd w:w="0" w:type="dxa"/>
        <w:tblLayout w:type="fixed"/>
        <w:tblCellMar>
          <w:top w:w="0" w:type="dxa"/>
          <w:left w:w="0" w:type="dxa"/>
          <w:bottom w:w="0" w:type="dxa"/>
          <w:right w:w="0" w:type="dxa"/>
        </w:tblCellMar>
      </w:tblPr>
      <w:tblGrid>
        <w:gridCol w:w="2971"/>
        <w:gridCol w:w="346"/>
        <w:gridCol w:w="1411"/>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886585" cy="175260"/>
                      <wp:effectExtent l="0" t="0" r="0" b="0"/>
                      <wp:wrapNone/>
                      <wp:docPr id="141" name="Frame141"/>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895985" cy="175260"/>
                      <wp:effectExtent l="0" t="0" r="0" b="0"/>
                      <wp:wrapNone/>
                      <wp:docPr id="143" name="Frame143"/>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41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Number of RSUs </w:t>
            </w:r>
          </w:p>
        </w:tc>
      </w:tr>
      <w:tr>
        <w:trPr/>
        <w:tc>
          <w:tcPr>
            <w:tcW w:w="2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Outstanding</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 December 31, 2024</w:t>
            </w:r>
          </w:p>
        </w:tc>
        <w:tc>
          <w:tcPr>
            <w:tcW w:w="34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34,312,655</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35,381,992</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(1,076,371)</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vAlign w:val="center"/>
          </w:tcPr>
          <w:p>
            <w:pPr>
              <w:pStyle w:val="TableContents"/>
              <w:bidi w:val="0"/>
              <w:spacing w:before="0" w:after="1"/>
              <w:ind w:left="0" w:right="0" w:hanging="0"/>
              <w:jc w:val="left"/>
              <w:rPr/>
            </w:pPr>
            <w:r>
              <w:rPr/>
              <w:t> </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(20,296,128)</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48,322,148</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6,624,143</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(19,842)</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vAlign w:val="center"/>
          </w:tcPr>
          <w:p>
            <w:pPr>
              <w:pStyle w:val="TableContents"/>
              <w:bidi w:val="0"/>
              <w:spacing w:before="0" w:after="1"/>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(8,689,551)</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1411"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46,236,898</w:t>
            </w:r>
          </w:p>
        </w:tc>
      </w:tr>
    </w:tbl>
    <w:p>
      <w:pPr>
        <w:pStyle w:val="TextBody"/>
        <w:bidi w:val="0"/>
        <w:spacing w:before="0" w:after="240"/>
        <w:ind w:left="36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00"/>
        <w:ind w:left="0" w:right="0" w:firstLine="360"/>
        <w:jc w:val="both"/>
        <w:rPr>
          <w:rFonts w:ascii="Times New Roman;Times;serif" w:hAnsi="Times New Roman;Times;serif"/>
          <w:sz w:val="20"/>
        </w:rPr>
      </w:pPr>
      <w:bookmarkStart w:id="1369" w:name="Tc_qtaeCE3gFEq4_7MhnhzetQ_10_0"/>
      <w:bookmarkStart w:id="1370" w:name="Tc_nWC1oLFO-E-N9PBLQ-ZWNw_9_6"/>
      <w:bookmarkStart w:id="1371" w:name="Tc_EhJ6aL3grkW_tkWO2C6Gmg_9_2"/>
      <w:bookmarkStart w:id="1372" w:name="Tc_IlVi4ei7wkyvnlcZAB6UiQ_9_0"/>
      <w:bookmarkStart w:id="1373" w:name="Tc_QaJjF6U-00WJSC_roMtM5g_8_6"/>
      <w:bookmarkStart w:id="1374" w:name="Tc_bnIXPRQPwkWhHgOgXpvhog_8_2"/>
      <w:bookmarkStart w:id="1375" w:name="Tc_QoG61d_cakuXPUzeqru0uA_8_0"/>
      <w:bookmarkStart w:id="1376" w:name="Tc_G3pRznDSOkSxoGqcr-oH3Q_7_6"/>
      <w:bookmarkStart w:id="1377" w:name="Tc_KcTQKgxze0WFXIEXze_sjw_7_4"/>
      <w:bookmarkStart w:id="1378" w:name="Tc_UEk04avAekqlx1R5mQlinA_7_2"/>
      <w:bookmarkStart w:id="1379" w:name="Tc_iA7y32d8EUSCPh1ygtDYXQ_7_0"/>
      <w:bookmarkStart w:id="1380" w:name="Tc_XHcjgS7TI0ea9bXbpex3xQ_6_4"/>
      <w:bookmarkStart w:id="1381" w:name="Tc_dvXfT6CQhEKuzHchuHMATg_6_0"/>
      <w:bookmarkStart w:id="1382" w:name="Tc_mNDQlSb1C0eF8VoBYhImZA_5_0"/>
      <w:bookmarkStart w:id="1383" w:name="Tc_ml-eJ-DSFEubNy0jXLaqNg_4_0"/>
      <w:bookmarkStart w:id="1384" w:name="Tc_Zw9PCiShN0-mEz1a572NDw_3_8"/>
      <w:bookmarkStart w:id="1385" w:name="Tc_dSm2mcwzEEO_oLq45kMiAg_3_6"/>
      <w:bookmarkStart w:id="1386" w:name="Tc_RT4yD_oyfUKWsLhUPnBKuw_3_4"/>
      <w:bookmarkStart w:id="1387" w:name="Tc_iQ3XXUAQvUKfM7q1OHR61A_3_2"/>
      <w:bookmarkStart w:id="1388" w:name="Tc_vj789UBa902Yd7wIEf9YPw_3_0"/>
      <w:bookmarkStart w:id="1389" w:name="Tc_acc024isxUm23jU1P8i4Zw_2_8"/>
      <w:bookmarkStart w:id="1390" w:name="Tc_Qr44B1bfA0-PrL4X4zJK8Q_2_6"/>
      <w:bookmarkStart w:id="1391" w:name="Tc_zM_ZfpZmlUev5mY5rJjdjA_2_4"/>
      <w:bookmarkStart w:id="1392" w:name="Tc_y2MIYv7hb02QszJiKaetvA_2_2"/>
      <w:bookmarkStart w:id="1393" w:name="Tc_z9LnIjYbGkaxQN4tkzt1RQ_1_8"/>
      <w:bookmarkStart w:id="1394" w:name="Tc_k5YkS3KMoUeqtykuB4HHFQ_1_6"/>
      <w:bookmarkStart w:id="1395" w:name="Tc_BwTQlTTnuketwDyE8H_eIg_1_4"/>
      <w:bookmarkStart w:id="1396" w:name="Tc_F82fLU_QOUSUg5qHkK0abw_1_2"/>
      <w:bookmarkStart w:id="1397" w:name="_096ddf95_fbc1_4682_9d20_14ec1bbc26c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r>
        <w:rPr>
          <w:rFonts w:ascii="Times New Roman;Times;serif" w:hAnsi="Times New Roman;Times;serif"/>
          <w:sz w:val="20"/>
        </w:rPr>
        <w:t>The details of RSUs granted by the Company during the three- and six-month periods in 2026 and 2025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608"/>
        <w:gridCol w:w="346"/>
        <w:gridCol w:w="1333"/>
        <w:gridCol w:w="346"/>
        <w:gridCol w:w="1333"/>
        <w:gridCol w:w="346"/>
        <w:gridCol w:w="1217"/>
        <w:gridCol w:w="346"/>
        <w:gridCol w:w="1330"/>
      </w:tblGrid>
      <w:tr>
        <w:trPr/>
        <w:tc>
          <w:tcPr>
            <w:tcW w:w="36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291080" cy="175260"/>
                      <wp:effectExtent l="0" t="0" r="0" b="0"/>
                      <wp:wrapNone/>
                      <wp:docPr id="144" name="Frame144"/>
                      <a:graphic xmlns:a="http://schemas.openxmlformats.org/drawingml/2006/main">
                        <a:graphicData uri="http://schemas.microsoft.com/office/word/2010/wordprocessingShape">
                          <wps:wsp>
                            <wps:cNvSpPr txBox="1"/>
                            <wps:spPr>
                              <a:xfrm>
                                <a:off x="0" y="0"/>
                                <a:ext cx="2291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846455" cy="175260"/>
                      <wp:effectExtent l="0" t="0" r="0" b="0"/>
                      <wp:wrapNone/>
                      <wp:docPr id="146" name="Frame146"/>
                      <a:graphic xmlns:a="http://schemas.openxmlformats.org/drawingml/2006/main">
                        <a:graphicData uri="http://schemas.microsoft.com/office/word/2010/wordprocessingShape">
                          <wps:wsp>
                            <wps:cNvSpPr txBox="1"/>
                            <wps:spPr>
                              <a:xfrm>
                                <a:off x="0" y="0"/>
                                <a:ext cx="846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846455" cy="175260"/>
                      <wp:effectExtent l="0" t="0" r="0" b="0"/>
                      <wp:wrapNone/>
                      <wp:docPr id="148" name="Frame148"/>
                      <a:graphic xmlns:a="http://schemas.openxmlformats.org/drawingml/2006/main">
                        <a:graphicData uri="http://schemas.microsoft.com/office/word/2010/wordprocessingShape">
                          <wps:wsp>
                            <wps:cNvSpPr txBox="1"/>
                            <wps:spPr>
                              <a:xfrm>
                                <a:off x="0" y="0"/>
                                <a:ext cx="846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772795" cy="175260"/>
                      <wp:effectExtent l="0" t="0" r="0" b="0"/>
                      <wp:wrapNone/>
                      <wp:docPr id="150" name="Frame150"/>
                      <a:graphic xmlns:a="http://schemas.openxmlformats.org/drawingml/2006/main">
                        <a:graphicData uri="http://schemas.microsoft.com/office/word/2010/wordprocessingShape">
                          <wps:wsp>
                            <wps:cNvSpPr txBox="1"/>
                            <wps:spPr>
                              <a:xfrm>
                                <a:off x="0" y="0"/>
                                <a:ext cx="772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1"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844550" cy="175260"/>
                      <wp:effectExtent l="0" t="0" r="0" b="0"/>
                      <wp:wrapNone/>
                      <wp:docPr id="152" name="Frame152"/>
                      <a:graphic xmlns:a="http://schemas.openxmlformats.org/drawingml/2006/main">
                        <a:graphicData uri="http://schemas.microsoft.com/office/word/2010/wordprocessingShape">
                          <wps:wsp>
                            <wps:cNvSpPr txBox="1"/>
                            <wps:spPr>
                              <a:xfrm>
                                <a:off x="0" y="0"/>
                                <a:ext cx="844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0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333"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333"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  ​ ​ ​</w:t>
            </w:r>
          </w:p>
        </w:tc>
        <w:tc>
          <w:tcPr>
            <w:tcW w:w="1217"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1330"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60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33"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333"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217"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330"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June 30, </w:t>
            </w:r>
          </w:p>
        </w:tc>
      </w:tr>
      <w:tr>
        <w:trPr/>
        <w:tc>
          <w:tcPr>
            <w:tcW w:w="3608"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Vesting Period</w:t>
            </w:r>
          </w:p>
        </w:tc>
        <w:tc>
          <w:tcPr>
            <w:tcW w:w="346" w:type="dxa"/>
            <w:tcBorders/>
            <w:vAlign w:val="center"/>
          </w:tcPr>
          <w:p>
            <w:pPr>
              <w:pStyle w:val="TableContents"/>
              <w:bidi w:val="0"/>
              <w:spacing w:before="0" w:after="0"/>
              <w:ind w:left="0" w:right="0" w:hanging="0"/>
              <w:jc w:val="center"/>
              <w:rPr/>
            </w:pPr>
            <w:r>
              <w:rPr/>
              <w:t>  ​ ​</w:t>
            </w:r>
          </w:p>
        </w:tc>
        <w:tc>
          <w:tcPr>
            <w:tcW w:w="13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3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2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3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3608"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Vesting immediately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center"/>
              <w:rPr/>
            </w:pPr>
            <w:r>
              <w:rPr/>
              <w:t>​</w:t>
            </w:r>
          </w:p>
        </w:tc>
        <w:tc>
          <w:tcPr>
            <w:tcW w:w="133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159,941</w:t>
            </w:r>
          </w:p>
        </w:tc>
        <w:tc>
          <w:tcPr>
            <w:tcW w:w="346" w:type="dxa"/>
            <w:tcBorders/>
            <w:shd w:fill="CCEEFF" w:val="clear"/>
            <w:vAlign w:val="center"/>
          </w:tcPr>
          <w:p>
            <w:pPr>
              <w:pStyle w:val="TableContents"/>
              <w:bidi w:val="0"/>
              <w:spacing w:before="0" w:after="0"/>
              <w:ind w:left="0" w:right="0" w:hanging="0"/>
              <w:jc w:val="center"/>
              <w:rPr/>
            </w:pPr>
            <w:r>
              <w:rPr/>
              <w:t>​</w:t>
            </w:r>
          </w:p>
        </w:tc>
        <w:tc>
          <w:tcPr>
            <w:tcW w:w="13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462,042</w:t>
            </w:r>
          </w:p>
        </w:tc>
        <w:tc>
          <w:tcPr>
            <w:tcW w:w="346" w:type="dxa"/>
            <w:tcBorders/>
            <w:shd w:fill="CCEEFF" w:val="clear"/>
            <w:vAlign w:val="center"/>
          </w:tcPr>
          <w:p>
            <w:pPr>
              <w:pStyle w:val="TableContents"/>
              <w:bidi w:val="0"/>
              <w:spacing w:before="0" w:after="0"/>
              <w:ind w:left="0" w:right="0" w:hanging="0"/>
              <w:jc w:val="center"/>
              <w:rPr/>
            </w:pPr>
            <w:r>
              <w:rPr/>
              <w:t>​</w:t>
            </w:r>
          </w:p>
        </w:tc>
        <w:tc>
          <w:tcPr>
            <w:tcW w:w="121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703,861</w:t>
            </w:r>
          </w:p>
        </w:tc>
        <w:tc>
          <w:tcPr>
            <w:tcW w:w="346" w:type="dxa"/>
            <w:tcBorders/>
            <w:shd w:fill="CCEEFF" w:val="clear"/>
            <w:vAlign w:val="center"/>
          </w:tcPr>
          <w:p>
            <w:pPr>
              <w:pStyle w:val="TableContents"/>
              <w:bidi w:val="0"/>
              <w:spacing w:before="0" w:after="0"/>
              <w:ind w:left="0" w:right="0" w:hanging="0"/>
              <w:jc w:val="center"/>
              <w:rPr/>
            </w:pPr>
            <w:r>
              <w:rPr/>
              <w:t>​</w:t>
            </w:r>
          </w:p>
        </w:tc>
        <w:tc>
          <w:tcPr>
            <w:tcW w:w="13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3,081,627</w:t>
            </w:r>
          </w:p>
        </w:tc>
      </w:tr>
      <w:tr>
        <w:trPr/>
        <w:tc>
          <w:tcPr>
            <w:tcW w:w="3608"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Vesting fully within and on first anniversary of the grant date </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 </w:t>
            </w:r>
          </w:p>
        </w:tc>
        <w:tc>
          <w:tcPr>
            <w:tcW w:w="133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99,168</w:t>
            </w:r>
          </w:p>
        </w:tc>
        <w:tc>
          <w:tcPr>
            <w:tcW w:w="346" w:type="dxa"/>
            <w:tcBorders/>
            <w:vAlign w:val="center"/>
          </w:tcPr>
          <w:p>
            <w:pPr>
              <w:pStyle w:val="TableContents"/>
              <w:bidi w:val="0"/>
              <w:spacing w:before="0" w:after="0"/>
              <w:ind w:left="0" w:right="0" w:hanging="0"/>
              <w:jc w:val="left"/>
              <w:rPr/>
            </w:pPr>
            <w:r>
              <w:rPr/>
              <w:t> </w:t>
            </w:r>
          </w:p>
        </w:tc>
        <w:tc>
          <w:tcPr>
            <w:tcW w:w="13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134,226</w:t>
            </w:r>
          </w:p>
        </w:tc>
        <w:tc>
          <w:tcPr>
            <w:tcW w:w="346" w:type="dxa"/>
            <w:tcBorders/>
            <w:vAlign w:val="center"/>
          </w:tcPr>
          <w:p>
            <w:pPr>
              <w:pStyle w:val="TableContents"/>
              <w:bidi w:val="0"/>
              <w:spacing w:before="0" w:after="0"/>
              <w:ind w:left="0" w:right="0" w:hanging="0"/>
              <w:jc w:val="left"/>
              <w:rPr/>
            </w:pPr>
            <w:r>
              <w:rPr/>
              <w:t> </w:t>
            </w:r>
          </w:p>
        </w:tc>
        <w:tc>
          <w:tcPr>
            <w:tcW w:w="121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99,168</w:t>
            </w:r>
          </w:p>
        </w:tc>
        <w:tc>
          <w:tcPr>
            <w:tcW w:w="346" w:type="dxa"/>
            <w:tcBorders/>
            <w:vAlign w:val="center"/>
          </w:tcPr>
          <w:p>
            <w:pPr>
              <w:pStyle w:val="TableContents"/>
              <w:bidi w:val="0"/>
              <w:spacing w:before="0" w:after="0"/>
              <w:ind w:left="0" w:right="0" w:hanging="0"/>
              <w:jc w:val="left"/>
              <w:rPr/>
            </w:pPr>
            <w:r>
              <w:rPr/>
              <w:t> </w:t>
            </w:r>
          </w:p>
        </w:tc>
        <w:tc>
          <w:tcPr>
            <w:tcW w:w="13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194,226</w:t>
            </w:r>
          </w:p>
        </w:tc>
      </w:tr>
      <w:tr>
        <w:trPr/>
        <w:tc>
          <w:tcPr>
            <w:tcW w:w="3608"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Vesting in thirds on each anniversary of the grant date </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133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5,821,114</w:t>
            </w:r>
          </w:p>
        </w:tc>
        <w:tc>
          <w:tcPr>
            <w:tcW w:w="346" w:type="dxa"/>
            <w:tcBorders/>
            <w:shd w:fill="CCEEFF" w:val="clear"/>
            <w:vAlign w:val="center"/>
          </w:tcPr>
          <w:p>
            <w:pPr>
              <w:pStyle w:val="TableContents"/>
              <w:bidi w:val="0"/>
              <w:spacing w:before="0" w:after="0"/>
              <w:ind w:left="0" w:right="0" w:hanging="0"/>
              <w:jc w:val="left"/>
              <w:rPr/>
            </w:pPr>
            <w:r>
              <w:rPr/>
              <w:t> </w:t>
            </w:r>
          </w:p>
        </w:tc>
        <w:tc>
          <w:tcPr>
            <w:tcW w:w="133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21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5,821,114</w:t>
            </w:r>
          </w:p>
        </w:tc>
        <w:tc>
          <w:tcPr>
            <w:tcW w:w="346" w:type="dxa"/>
            <w:tcBorders/>
            <w:shd w:fill="CCEEFF" w:val="clear"/>
            <w:vAlign w:val="center"/>
          </w:tcPr>
          <w:p>
            <w:pPr>
              <w:pStyle w:val="TableContents"/>
              <w:bidi w:val="0"/>
              <w:spacing w:before="0" w:after="0"/>
              <w:ind w:left="0" w:right="0" w:hanging="0"/>
              <w:jc w:val="left"/>
              <w:rPr/>
            </w:pPr>
            <w:r>
              <w:rPr/>
              <w:t> </w:t>
            </w:r>
          </w:p>
        </w:tc>
        <w:tc>
          <w:tcPr>
            <w:tcW w:w="13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8,818,935</w:t>
            </w:r>
          </w:p>
        </w:tc>
      </w:tr>
      <w:tr>
        <w:trPr/>
        <w:tc>
          <w:tcPr>
            <w:tcW w:w="36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in fourths on each anniversary of the grant date</w:t>
            </w:r>
          </w:p>
        </w:tc>
        <w:tc>
          <w:tcPr>
            <w:tcW w:w="346" w:type="dxa"/>
            <w:tcBorders/>
            <w:vAlign w:val="center"/>
          </w:tcPr>
          <w:p>
            <w:pPr>
              <w:pStyle w:val="TableContents"/>
              <w:bidi w:val="0"/>
              <w:spacing w:before="0" w:after="0"/>
              <w:ind w:left="0" w:right="0" w:hanging="0"/>
              <w:jc w:val="left"/>
              <w:rPr/>
            </w:pPr>
            <w:r>
              <w:rPr/>
              <w:t> </w:t>
            </w:r>
          </w:p>
        </w:tc>
        <w:tc>
          <w:tcPr>
            <w:tcW w:w="133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3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2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176,302</w:t>
            </w:r>
          </w:p>
        </w:tc>
      </w:tr>
      <w:tr>
        <w:trPr/>
        <w:tc>
          <w:tcPr>
            <w:tcW w:w="36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three years from grant date</w:t>
            </w:r>
          </w:p>
        </w:tc>
        <w:tc>
          <w:tcPr>
            <w:tcW w:w="346" w:type="dxa"/>
            <w:tcBorders/>
            <w:shd w:fill="CCEEFF" w:val="clear"/>
            <w:vAlign w:val="center"/>
          </w:tcPr>
          <w:p>
            <w:pPr>
              <w:pStyle w:val="TableContents"/>
              <w:bidi w:val="0"/>
              <w:spacing w:before="0" w:after="0"/>
              <w:ind w:left="0" w:right="0" w:hanging="0"/>
              <w:jc w:val="left"/>
              <w:rPr/>
            </w:pPr>
            <w:r>
              <w:rPr/>
              <w:t>​</w:t>
            </w:r>
          </w:p>
        </w:tc>
        <w:tc>
          <w:tcPr>
            <w:tcW w:w="133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66,508</w:t>
            </w:r>
          </w:p>
        </w:tc>
        <w:tc>
          <w:tcPr>
            <w:tcW w:w="346" w:type="dxa"/>
            <w:tcBorders/>
            <w:shd w:fill="CCEEFF" w:val="clear"/>
            <w:vAlign w:val="center"/>
          </w:tcPr>
          <w:p>
            <w:pPr>
              <w:pStyle w:val="TableContents"/>
              <w:bidi w:val="0"/>
              <w:spacing w:before="0" w:after="0"/>
              <w:ind w:left="0" w:right="0" w:hanging="0"/>
              <w:jc w:val="left"/>
              <w:rPr/>
            </w:pPr>
            <w:r>
              <w:rPr/>
              <w:t>​</w:t>
            </w:r>
          </w:p>
        </w:tc>
        <w:tc>
          <w:tcPr>
            <w:tcW w:w="12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66,508</w:t>
            </w:r>
          </w:p>
        </w:tc>
      </w:tr>
      <w:tr>
        <w:trPr/>
        <w:tc>
          <w:tcPr>
            <w:tcW w:w="36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based on performance conditions</w:t>
            </w:r>
          </w:p>
        </w:tc>
        <w:tc>
          <w:tcPr>
            <w:tcW w:w="346" w:type="dxa"/>
            <w:tcBorders/>
            <w:vAlign w:val="center"/>
          </w:tcPr>
          <w:p>
            <w:pPr>
              <w:pStyle w:val="TableContents"/>
              <w:bidi w:val="0"/>
              <w:spacing w:before="0" w:after="0"/>
              <w:ind w:left="0" w:right="0" w:hanging="0"/>
              <w:jc w:val="left"/>
              <w:rPr/>
            </w:pPr>
            <w:r>
              <w:rPr/>
              <w:t>​</w:t>
            </w:r>
          </w:p>
        </w:tc>
        <w:tc>
          <w:tcPr>
            <w:tcW w:w="133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364,785</w:t>
            </w:r>
          </w:p>
        </w:tc>
        <w:tc>
          <w:tcPr>
            <w:tcW w:w="346" w:type="dxa"/>
            <w:tcBorders/>
            <w:vAlign w:val="center"/>
          </w:tcPr>
          <w:p>
            <w:pPr>
              <w:pStyle w:val="TableContents"/>
              <w:bidi w:val="0"/>
              <w:spacing w:before="0" w:after="0"/>
              <w:ind w:left="0" w:right="0" w:hanging="0"/>
              <w:jc w:val="left"/>
              <w:rPr/>
            </w:pPr>
            <w:r>
              <w:rPr/>
              <w:t>​</w:t>
            </w:r>
          </w:p>
        </w:tc>
        <w:tc>
          <w:tcPr>
            <w:tcW w:w="121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688,969</w:t>
            </w:r>
          </w:p>
        </w:tc>
      </w:tr>
      <w:tr>
        <w:trPr/>
        <w:tc>
          <w:tcPr>
            <w:tcW w:w="360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Units Granted</w:t>
            </w:r>
          </w:p>
        </w:tc>
        <w:tc>
          <w:tcPr>
            <w:tcW w:w="346" w:type="dxa"/>
            <w:tcBorders/>
            <w:shd w:fill="CCEEFF" w:val="clear"/>
            <w:vAlign w:val="center"/>
          </w:tcPr>
          <w:p>
            <w:pPr>
              <w:pStyle w:val="TableContents"/>
              <w:bidi w:val="0"/>
              <w:spacing w:before="0" w:after="0"/>
              <w:ind w:left="0" w:right="0" w:hanging="0"/>
              <w:jc w:val="left"/>
              <w:rPr/>
            </w:pPr>
            <w:r>
              <w:rPr/>
              <w:t>​</w:t>
            </w:r>
          </w:p>
        </w:tc>
        <w:tc>
          <w:tcPr>
            <w:tcW w:w="13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6,080,223</w:t>
            </w:r>
          </w:p>
        </w:tc>
        <w:tc>
          <w:tcPr>
            <w:tcW w:w="346" w:type="dxa"/>
            <w:tcBorders/>
            <w:shd w:fill="CCEEFF" w:val="clear"/>
            <w:vAlign w:val="center"/>
          </w:tcPr>
          <w:p>
            <w:pPr>
              <w:pStyle w:val="TableContents"/>
              <w:bidi w:val="0"/>
              <w:spacing w:before="0" w:after="0"/>
              <w:ind w:left="0" w:right="0" w:hanging="0"/>
              <w:jc w:val="left"/>
              <w:rPr/>
            </w:pPr>
            <w:r>
              <w:rPr/>
              <w:t>​</w:t>
            </w:r>
          </w:p>
        </w:tc>
        <w:tc>
          <w:tcPr>
            <w:tcW w:w="13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1,027,561</w:t>
            </w:r>
          </w:p>
        </w:tc>
        <w:tc>
          <w:tcPr>
            <w:tcW w:w="346" w:type="dxa"/>
            <w:tcBorders/>
            <w:shd w:fill="CCEEFF" w:val="clear"/>
            <w:vAlign w:val="center"/>
          </w:tcPr>
          <w:p>
            <w:pPr>
              <w:pStyle w:val="TableContents"/>
              <w:bidi w:val="0"/>
              <w:spacing w:before="0" w:after="0"/>
              <w:ind w:left="0" w:right="0" w:hanging="0"/>
              <w:jc w:val="left"/>
              <w:rPr/>
            </w:pPr>
            <w:r>
              <w:rPr/>
              <w:t>​</w:t>
            </w:r>
          </w:p>
        </w:tc>
        <w:tc>
          <w:tcPr>
            <w:tcW w:w="12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6,624,143</w:t>
            </w:r>
          </w:p>
        </w:tc>
        <w:tc>
          <w:tcPr>
            <w:tcW w:w="346" w:type="dxa"/>
            <w:tcBorders/>
            <w:shd w:fill="CCEEFF" w:val="clear"/>
            <w:vAlign w:val="center"/>
          </w:tcPr>
          <w:p>
            <w:pPr>
              <w:pStyle w:val="TableContents"/>
              <w:bidi w:val="0"/>
              <w:spacing w:before="0" w:after="0"/>
              <w:ind w:left="0" w:right="0" w:hanging="0"/>
              <w:jc w:val="left"/>
              <w:rPr/>
            </w:pPr>
            <w:r>
              <w:rPr/>
              <w:t>​</w:t>
            </w:r>
          </w:p>
        </w:tc>
        <w:tc>
          <w:tcPr>
            <w:tcW w:w="1330"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13,026,567</w:t>
            </w:r>
          </w:p>
        </w:tc>
      </w:tr>
    </w:tbl>
    <w:tbl>
      <w:tblPr>
        <w:tblW w:w="10205" w:type="dxa"/>
        <w:jc w:val="left"/>
        <w:tblInd w:w="0" w:type="dxa"/>
        <w:tblLayout w:type="fixed"/>
        <w:tblCellMar>
          <w:top w:w="28" w:type="dxa"/>
          <w:left w:w="28" w:type="dxa"/>
          <w:bottom w:w="28" w:type="dxa"/>
          <w:right w:w="28" w:type="dxa"/>
        </w:tblCellMar>
      </w:tblPr>
      <w:tblGrid>
        <w:gridCol w:w="124"/>
        <w:gridCol w:w="276"/>
        <w:gridCol w:w="9805"/>
      </w:tblGrid>
      <w:tr>
        <w:trPr/>
        <w:tc>
          <w:tcPr>
            <w:tcW w:w="124" w:type="dxa"/>
            <w:tcBorders/>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0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Of the 159,941</w:t>
            </w:r>
            <w:r>
              <w:rPr>
                <w:caps w:val="false"/>
                <w:smallCaps w:val="false"/>
              </w:rPr>
              <w:t xml:space="preserve"> </w:t>
            </w:r>
            <w:r>
              <w:rPr>
                <w:rFonts w:ascii="Times New Roman;Times;serif" w:hAnsi="Times New Roman;Times;serif"/>
                <w:b w:val="false"/>
                <w:i w:val="false"/>
                <w:caps w:val="false"/>
                <w:smallCaps w:val="false"/>
                <w:sz w:val="20"/>
              </w:rPr>
              <w:t>RSUs granted during the three months ended June 30, 2026, 64,568</w:t>
            </w:r>
            <w:r>
              <w:rPr>
                <w:caps w:val="false"/>
                <w:smallCaps w:val="false"/>
              </w:rPr>
              <w:t xml:space="preserve"> </w:t>
            </w:r>
            <w:r>
              <w:rPr>
                <w:rFonts w:ascii="Times New Roman;Times;serif" w:hAnsi="Times New Roman;Times;serif"/>
                <w:b w:val="false"/>
                <w:i w:val="false"/>
                <w:caps w:val="false"/>
                <w:smallCaps w:val="false"/>
                <w:sz w:val="20"/>
              </w:rPr>
              <w:t>RSUs were granted to consultants and employees with an aggregate fair value of $0.4</w:t>
            </w:r>
            <w:r>
              <w:rPr>
                <w:caps w:val="false"/>
                <w:smallCaps w:val="false"/>
              </w:rPr>
              <w:t xml:space="preserve"> </w:t>
            </w:r>
            <w:r>
              <w:rPr>
                <w:rFonts w:ascii="Times New Roman;Times;serif" w:hAnsi="Times New Roman;Times;serif"/>
                <w:b w:val="false"/>
                <w:i w:val="false"/>
                <w:caps w:val="false"/>
                <w:smallCaps w:val="false"/>
                <w:sz w:val="20"/>
              </w:rPr>
              <w:t>million recorded in general and administrative expenses. The 159,941</w:t>
            </w:r>
            <w:r>
              <w:rPr>
                <w:caps w:val="false"/>
                <w:smallCaps w:val="false"/>
              </w:rPr>
              <w:t xml:space="preserve"> </w:t>
            </w:r>
            <w:r>
              <w:rPr>
                <w:rFonts w:ascii="Times New Roman;Times;serif" w:hAnsi="Times New Roman;Times;serif"/>
                <w:b w:val="false"/>
                <w:i w:val="false"/>
                <w:caps w:val="false"/>
                <w:smallCaps w:val="false"/>
                <w:sz w:val="20"/>
              </w:rPr>
              <w:t>RSUs granted during the three months ended June 30, 2026, also consist of 95,373</w:t>
            </w:r>
            <w:r>
              <w:rPr>
                <w:caps w:val="false"/>
                <w:smallCaps w:val="false"/>
              </w:rPr>
              <w:t xml:space="preserve"> </w:t>
            </w:r>
            <w:r>
              <w:rPr>
                <w:rFonts w:ascii="Times New Roman;Times;serif" w:hAnsi="Times New Roman;Times;serif"/>
                <w:b w:val="false"/>
                <w:i w:val="false"/>
                <w:caps w:val="false"/>
                <w:smallCaps w:val="false"/>
                <w:sz w:val="20"/>
              </w:rPr>
              <w:t>RSUs with an aggregate fair value of $0.6</w:t>
            </w:r>
            <w:r>
              <w:rPr>
                <w:caps w:val="false"/>
                <w:smallCaps w:val="false"/>
              </w:rPr>
              <w:t xml:space="preserve"> </w:t>
            </w:r>
            <w:r>
              <w:rPr>
                <w:rFonts w:ascii="Times New Roman;Times;serif" w:hAnsi="Times New Roman;Times;serif"/>
                <w:b w:val="false"/>
                <w:i w:val="false"/>
                <w:caps w:val="false"/>
                <w:smallCaps w:val="false"/>
                <w:sz w:val="20"/>
              </w:rPr>
              <w:t>million issued to the non-employee directors in lieu of the cash portion of their director fees which commenced from the second quarter of 2025 until the end of March 2026. Of the 462,042</w:t>
            </w:r>
            <w:r>
              <w:rPr>
                <w:caps w:val="false"/>
                <w:smallCaps w:val="false"/>
              </w:rPr>
              <w:t xml:space="preserve"> </w:t>
            </w:r>
            <w:r>
              <w:rPr>
                <w:rFonts w:ascii="Times New Roman;Times;serif" w:hAnsi="Times New Roman;Times;serif"/>
                <w:b w:val="false"/>
                <w:i w:val="false"/>
                <w:caps w:val="false"/>
                <w:smallCaps w:val="false"/>
                <w:sz w:val="20"/>
              </w:rPr>
              <w:t>RSUs granted during the three months ended June 30, 2025, 310,530</w:t>
            </w:r>
            <w:r>
              <w:rPr>
                <w:caps w:val="false"/>
                <w:smallCaps w:val="false"/>
              </w:rPr>
              <w:t xml:space="preserve"> </w:t>
            </w:r>
            <w:r>
              <w:rPr>
                <w:rFonts w:ascii="Times New Roman;Times;serif" w:hAnsi="Times New Roman;Times;serif"/>
                <w:b w:val="false"/>
                <w:i w:val="false"/>
                <w:caps w:val="false"/>
                <w:smallCaps w:val="false"/>
                <w:sz w:val="20"/>
              </w:rPr>
              <w:t>RSUs were granted to consultants with an aggregate fair value of $0.8</w:t>
            </w:r>
            <w:r>
              <w:rPr>
                <w:caps w:val="false"/>
                <w:smallCaps w:val="false"/>
              </w:rPr>
              <w:t xml:space="preserve"> </w:t>
            </w:r>
            <w:r>
              <w:rPr>
                <w:rFonts w:ascii="Times New Roman;Times;serif" w:hAnsi="Times New Roman;Times;serif"/>
                <w:b w:val="false"/>
                <w:i w:val="false"/>
                <w:caps w:val="false"/>
                <w:smallCaps w:val="false"/>
                <w:sz w:val="20"/>
              </w:rPr>
              <w:t>million recorded in general and administrative expenses. The 462,042</w:t>
            </w:r>
            <w:r>
              <w:rPr>
                <w:caps w:val="false"/>
                <w:smallCaps w:val="false"/>
              </w:rPr>
              <w:t xml:space="preserve"> </w:t>
            </w:r>
            <w:r>
              <w:rPr>
                <w:rFonts w:ascii="Times New Roman;Times;serif" w:hAnsi="Times New Roman;Times;serif"/>
                <w:b w:val="false"/>
                <w:i w:val="false"/>
                <w:caps w:val="false"/>
                <w:smallCaps w:val="false"/>
                <w:sz w:val="20"/>
              </w:rPr>
              <w:t>RSUs granted during the three months ended June 30, 2025, also consist of 91,512</w:t>
            </w:r>
            <w:r>
              <w:rPr>
                <w:caps w:val="false"/>
                <w:smallCaps w:val="false"/>
              </w:rPr>
              <w:t xml:space="preserve"> </w:t>
            </w:r>
            <w:r>
              <w:rPr>
                <w:rFonts w:ascii="Times New Roman;Times;serif" w:hAnsi="Times New Roman;Times;serif"/>
                <w:b w:val="false"/>
                <w:i w:val="false"/>
                <w:caps w:val="false"/>
                <w:smallCaps w:val="false"/>
                <w:sz w:val="20"/>
              </w:rPr>
              <w:t>RSUs with an aggregate fair value of $398,075</w:t>
            </w:r>
            <w:r>
              <w:rPr>
                <w:caps w:val="false"/>
                <w:smallCaps w:val="false"/>
              </w:rPr>
              <w:t xml:space="preserve"> </w:t>
            </w:r>
            <w:r>
              <w:rPr>
                <w:rFonts w:ascii="Times New Roman;Times;serif" w:hAnsi="Times New Roman;Times;serif"/>
                <w:b w:val="false"/>
                <w:i w:val="false"/>
                <w:caps w:val="false"/>
                <w:smallCaps w:val="false"/>
                <w:sz w:val="20"/>
              </w:rPr>
              <w:t>issued to the non-employee directors in lieu of the cash portion of their director fees which commenced from the second quarter of 2024 until the end of March 2025. The remaining 60,000</w:t>
            </w:r>
            <w:r>
              <w:rPr>
                <w:caps w:val="false"/>
                <w:smallCaps w:val="false"/>
              </w:rPr>
              <w:t xml:space="preserve"> </w:t>
            </w:r>
            <w:r>
              <w:rPr>
                <w:rFonts w:ascii="Times New Roman;Times;serif" w:hAnsi="Times New Roman;Times;serif"/>
                <w:b w:val="false"/>
                <w:i w:val="false"/>
                <w:caps w:val="false"/>
                <w:smallCaps w:val="false"/>
                <w:sz w:val="20"/>
              </w:rPr>
              <w:t>grants were issued to employees.</w:t>
            </w:r>
          </w:p>
        </w:tc>
      </w:tr>
    </w:tbl>
    <w:tbl>
      <w:tblPr>
        <w:tblW w:w="10205" w:type="dxa"/>
        <w:jc w:val="left"/>
        <w:tblInd w:w="0" w:type="dxa"/>
        <w:tblLayout w:type="fixed"/>
        <w:tblCellMar>
          <w:top w:w="28" w:type="dxa"/>
          <w:left w:w="28" w:type="dxa"/>
          <w:bottom w:w="28" w:type="dxa"/>
          <w:right w:w="28" w:type="dxa"/>
        </w:tblCellMar>
      </w:tblPr>
      <w:tblGrid>
        <w:gridCol w:w="124"/>
        <w:gridCol w:w="277"/>
        <w:gridCol w:w="9804"/>
      </w:tblGrid>
      <w:tr>
        <w:trPr/>
        <w:tc>
          <w:tcPr>
            <w:tcW w:w="124" w:type="dxa"/>
            <w:tcBorders/>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04"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the three months ended June 30, 2026, an aggregate of 99,168</w:t>
            </w:r>
            <w:r>
              <w:rPr>
                <w:caps w:val="false"/>
                <w:smallCaps w:val="false"/>
              </w:rPr>
              <w:t xml:space="preserve"> </w:t>
            </w:r>
            <w:r>
              <w:rPr>
                <w:rFonts w:ascii="Times New Roman;Times;serif" w:hAnsi="Times New Roman;Times;serif"/>
                <w:b w:val="false"/>
                <w:i w:val="false"/>
                <w:caps w:val="false"/>
                <w:smallCaps w:val="false"/>
                <w:sz w:val="20"/>
              </w:rPr>
              <w:t>RSUs were granted to the Company’s non-employee directors under the Company’s Non-employee Director Compensation Policy, which will vest at the Company’s 2027 annual shareholders meeting. The total fair value of units granted as annual grants to non-employee directors amounted to $0.6</w:t>
            </w:r>
            <w:r>
              <w:rPr>
                <w:caps w:val="false"/>
                <w:smallCaps w:val="false"/>
              </w:rPr>
              <w:t xml:space="preserve"> </w:t>
            </w:r>
            <w:r>
              <w:rPr>
                <w:rFonts w:ascii="Times New Roman;Times;serif" w:hAnsi="Times New Roman;Times;serif"/>
                <w:b w:val="false"/>
                <w:i w:val="false"/>
                <w:caps w:val="false"/>
                <w:smallCaps w:val="false"/>
                <w:sz w:val="20"/>
              </w:rPr>
              <w:t>million. During the three months ended June 30, 2025, an aggregate of 134,226</w:t>
            </w:r>
            <w:r>
              <w:rPr>
                <w:caps w:val="false"/>
                <w:smallCaps w:val="false"/>
              </w:rPr>
              <w:t xml:space="preserve"> </w:t>
            </w:r>
            <w:r>
              <w:rPr>
                <w:rFonts w:ascii="Times New Roman;Times;serif" w:hAnsi="Times New Roman;Times;serif"/>
                <w:b w:val="false"/>
                <w:i w:val="false"/>
                <w:caps w:val="false"/>
                <w:smallCaps w:val="false"/>
                <w:sz w:val="20"/>
              </w:rPr>
              <w:t>RSUs were granted to the Company’s non-employee directors under the Company’s Non-employee Director Compensation Policy, which vested at the Company’s 2026 annual shareholders meeting. The total fair value of units granted as annual grants to non-employee directors amounted to $0.6</w:t>
            </w:r>
            <w:r>
              <w:rPr>
                <w:caps w:val="false"/>
                <w:smallCaps w:val="false"/>
              </w:rPr>
              <w:t xml:space="preserve"> </w:t>
            </w:r>
            <w:r>
              <w:rPr>
                <w:rFonts w:ascii="Times New Roman;Times;serif" w:hAnsi="Times New Roman;Times;serif"/>
                <w:b w:val="false"/>
                <w:i w:val="false"/>
                <w:caps w:val="false"/>
                <w:smallCaps w:val="false"/>
                <w:sz w:val="20"/>
              </w:rPr>
              <w:t>million. In the first quarter of 2025, 60,000</w:t>
            </w:r>
            <w:r>
              <w:rPr>
                <w:caps w:val="false"/>
                <w:smallCaps w:val="false"/>
              </w:rPr>
              <w:t xml:space="preserve"> </w:t>
            </w:r>
            <w:r>
              <w:rPr>
                <w:rFonts w:ascii="Times New Roman;Times;serif" w:hAnsi="Times New Roman;Times;serif"/>
                <w:b w:val="false"/>
                <w:i w:val="false"/>
                <w:caps w:val="false"/>
                <w:smallCaps w:val="false"/>
                <w:sz w:val="20"/>
              </w:rPr>
              <w:t>RSUs vesting on July 1, 2025, were issued to a consultant, resulting in $0.1</w:t>
            </w:r>
            <w:r>
              <w:rPr>
                <w:caps w:val="false"/>
                <w:smallCaps w:val="false"/>
              </w:rPr>
              <w:t xml:space="preserve"> </w:t>
            </w:r>
            <w:r>
              <w:rPr>
                <w:rFonts w:ascii="Times New Roman;Times;serif" w:hAnsi="Times New Roman;Times;serif"/>
                <w:b w:val="false"/>
                <w:i w:val="false"/>
                <w:caps w:val="false"/>
                <w:smallCaps w:val="false"/>
                <w:sz w:val="20"/>
              </w:rPr>
              <w:t>million charged as general and administrative expenses.</w:t>
            </w:r>
          </w:p>
        </w:tc>
      </w:tr>
    </w:tbl>
    <w:tbl>
      <w:tblPr>
        <w:tblW w:w="10205" w:type="dxa"/>
        <w:jc w:val="left"/>
        <w:tblInd w:w="0" w:type="dxa"/>
        <w:tblLayout w:type="fixed"/>
        <w:tblCellMar>
          <w:top w:w="28" w:type="dxa"/>
          <w:left w:w="28" w:type="dxa"/>
          <w:bottom w:w="28" w:type="dxa"/>
          <w:right w:w="28" w:type="dxa"/>
        </w:tblCellMar>
      </w:tblPr>
      <w:tblGrid>
        <w:gridCol w:w="124"/>
        <w:gridCol w:w="295"/>
        <w:gridCol w:w="9786"/>
      </w:tblGrid>
      <w:tr>
        <w:trPr/>
        <w:tc>
          <w:tcPr>
            <w:tcW w:w="124" w:type="dxa"/>
            <w:tcBorders/>
            <w:vAlign w:val="center"/>
          </w:tcPr>
          <w:p>
            <w:pPr>
              <w:pStyle w:val="TableContents"/>
              <w:bidi w:val="0"/>
              <w:spacing w:before="0" w:after="283"/>
              <w:jc w:val="left"/>
              <w:rPr>
                <w:sz w:val="4"/>
                <w:szCs w:val="4"/>
              </w:rPr>
            </w:pPr>
            <w:r>
              <w:rPr>
                <w:sz w:val="4"/>
                <w:szCs w:val="4"/>
              </w:rPr>
            </w:r>
          </w:p>
        </w:tc>
        <w:tc>
          <w:tcPr>
            <w:tcW w:w="29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78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granted 5,750,193</w:t>
            </w:r>
            <w:r>
              <w:rPr>
                <w:caps w:val="false"/>
                <w:smallCaps w:val="false"/>
              </w:rPr>
              <w:t xml:space="preserve"> </w:t>
            </w:r>
            <w:r>
              <w:rPr>
                <w:rFonts w:ascii="Times New Roman;Times;serif" w:hAnsi="Times New Roman;Times;serif"/>
                <w:b w:val="false"/>
                <w:i w:val="false"/>
                <w:caps w:val="false"/>
                <w:smallCaps w:val="false"/>
                <w:sz w:val="20"/>
              </w:rPr>
              <w:t>RSUs, as payment for the 2025 LTIP awards (8,818,935</w:t>
            </w:r>
            <w:r>
              <w:rPr>
                <w:caps w:val="false"/>
                <w:smallCaps w:val="false"/>
              </w:rPr>
              <w:t xml:space="preserve"> </w:t>
            </w:r>
            <w:r>
              <w:rPr>
                <w:rFonts w:ascii="Times New Roman;Times;serif" w:hAnsi="Times New Roman;Times;serif"/>
                <w:b w:val="false"/>
                <w:i w:val="false"/>
                <w:caps w:val="false"/>
                <w:smallCaps w:val="false"/>
                <w:sz w:val="20"/>
              </w:rPr>
              <w:t>RSUs were granted as payment 2024 LTIP award during the first quarter of 2025). The Company also granted 70,921</w:t>
            </w:r>
            <w:r>
              <w:rPr>
                <w:caps w:val="false"/>
                <w:smallCaps w:val="false"/>
              </w:rPr>
              <w:t xml:space="preserve"> </w:t>
            </w:r>
            <w:r>
              <w:rPr>
                <w:rFonts w:ascii="Times New Roman;Times;serif" w:hAnsi="Times New Roman;Times;serif"/>
                <w:b w:val="false"/>
                <w:i w:val="false"/>
                <w:caps w:val="false"/>
                <w:smallCaps w:val="false"/>
                <w:sz w:val="20"/>
              </w:rPr>
              <w:t>RSUs as initial awards to employees in the second quarter of 2026.</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grant date fair value of all RSUs granted during the three and six months ended June 30, 2026, is equivalent to the closing share price of the Company’s common shares on the date of grant. During the three and six months ended June 30, 2026, a total of $15.3 million and $35.4 million, respectively was charged to the statement of loss and comprehensive loss as share-based compensation expense for RSUs (three and six months ended June 30, 2025: $6.2 million and $11.6 million, respectively). For the three and six months ended June 30, 2026, a total of $6.4 million and $11.9 million, respectively, was recognized as share-based compensation expense related to exploration and evaluation activities (three and six months ended June 30, 2025 - $3.2 million and $5.1 million, respectively). The amount of share-based compensation expense related to general and administrative matters for three and six months ended June 30, 2026 was $8.9 million and $23.5 million, respectively (three and six months ended June 30, 2025 - $3 million and $6.5 million, respectively). As at June 30, 2026, the total unrecognized share-based compensation expense for RSUs was $83.2 million (December 31, 2025: $91.5 million).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June 30, 2026, an aggregate of 3,400,229 vested RSUs were being processed and due to be converted into common shares (December 31, 2025: 81,198 units).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Employee Stock Purchase Plan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May 31, 2022, TMC’s 2021 Employee Stock Purchase Plan (“ESPP”) was approved at the Company’s 2022 annual shareholders meeting. As at June 30, 2026, there were 18,221,054 common shares reserved for issuance under the ESPP. This included 4,229,663 shares added to the ESPP in January 2025 pursuant to the ESPP’s automatic annual increase provision. Under the ESPP, the number of shares reserved for issuance is subject to an annual increase provision which provides that on the first day of each of the Company’s fiscal years starting from 2022 to 2031, common shares equal to the lesser of (i) 1% of the common shares outstanding on the last day of the immediately preceding fiscal year, or (ii) such lesser number of shares as is determined by the board of directors will be added to the ESPP.</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three and six months ended June 30, 2026, a total of $17 thousand and $30 thousand, respectively, was charged to the statement of loss and comprehensive loss as share-based compensation expense (three and six months ended June 30, 2025: $4 thousand), representing the share price purchase discount offered by the Company. For the three and six months ended June 30, 2026, a total of $9 thousand and $16 thousand, respectively, was recognized as share-based compensation expense related to exploration and evaluation activities (three and six months ended June 30, 2025: $4 thousand). The amount of share-based compensation expense related to general and administrative matters for three and six months ended June 30, 2026 was $8 thousand and $14 thousand, respectively (three and six months ended June 30, 2025: $nil).</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three and six months ended June 30, 2026, the Company issued 25,191 common shares (during the three and six months ended June 30, 2025: 12,533 common shares) to its employees as part of its ESPP program.</w:t>
      </w:r>
    </w:p>
    <w:p>
      <w:pPr>
        <w:pStyle w:val="TextBody"/>
        <w:bidi w:val="0"/>
        <w:spacing w:before="0" w:after="240"/>
        <w:ind w:left="0" w:right="0" w:hanging="0"/>
        <w:jc w:val="left"/>
        <w:rPr>
          <w:rFonts w:ascii="Times New Roman;Times;serif" w:hAnsi="Times New Roman;Times;serif"/>
          <w:b/>
          <w:sz w:val="20"/>
        </w:rPr>
      </w:pPr>
      <w:bookmarkStart w:id="1398" w:name="Tc_qZVe-xnsbUOXpeSIpmiHFw_9_0"/>
      <w:bookmarkStart w:id="1399" w:name="Tc_O7XwDqFfA0KWvv-DqD_zCg_8_0"/>
      <w:bookmarkStart w:id="1400" w:name="Tc_8LiegosGR0KTk2RYeoNg9g_7_0"/>
      <w:bookmarkStart w:id="1401" w:name="Tc_6ZDMnpvNZUyZdjzx9ULKWg_6_0"/>
      <w:bookmarkStart w:id="1402" w:name="Tc_MGIGDZZl-02bo8mXttqbwA_5_0"/>
      <w:bookmarkStart w:id="1403" w:name="Tc_Se2tfLcAKEys6mx3Fn7bQw_4_0"/>
      <w:bookmarkStart w:id="1404" w:name="Tc_-RmuGWspEkSqjhz3I4Is6A_3_4"/>
      <w:bookmarkStart w:id="1405" w:name="Tc_6UcB-hjLUEyDuXD7XP4byA_3_2"/>
      <w:bookmarkStart w:id="1406" w:name="Tc_wzdYljX7Z0aNMjZJ0dmwIQ_2_4"/>
      <w:bookmarkStart w:id="1407" w:name="Tc_YDXJT5RMKEal8MoRnNZrrA_2_2"/>
      <w:bookmarkStart w:id="1408" w:name="Tc_mGMe3GZmIkicSBxLJ-DqSQ_1_4"/>
      <w:bookmarkStart w:id="1409" w:name="Tc_WUPJ9QG2xUGy34OUwLiDZg_1_2"/>
      <w:bookmarkEnd w:id="1398"/>
      <w:bookmarkEnd w:id="1399"/>
      <w:bookmarkEnd w:id="1400"/>
      <w:bookmarkEnd w:id="1401"/>
      <w:bookmarkEnd w:id="1402"/>
      <w:bookmarkEnd w:id="1403"/>
      <w:bookmarkEnd w:id="1404"/>
      <w:bookmarkEnd w:id="1405"/>
      <w:bookmarkEnd w:id="1406"/>
      <w:bookmarkEnd w:id="1407"/>
      <w:bookmarkEnd w:id="1408"/>
      <w:bookmarkEnd w:id="1409"/>
      <w:r>
        <w:rPr>
          <w:rFonts w:ascii="Times New Roman;Times;serif" w:hAnsi="Times New Roman;Times;serif"/>
          <w:b/>
          <w:i w:val="false"/>
          <w:caps w:val="false"/>
          <w:smallCaps w:val="false"/>
          <w:sz w:val="20"/>
        </w:rPr>
        <w:t>14.</w:t>
      </w:r>
      <w:r>
        <w:rPr>
          <w:rFonts w:ascii="Times New Roman;Times;serif" w:hAnsi="Times New Roman;Times;serif"/>
          <w:b/>
          <w:sz w:val="20"/>
        </w:rPr>
        <w:t>Loss per Share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Basic loss per share is computed by dividing the loss by the weighted-average number of common shares of the Company outstanding during the period. Diluted loss per share is computed by giving effect to all common share equivalents of the Company, including outstanding stock options, RSUs, warrants, Special Shares and options to purchase Special Shares, to the extent these are dilutive. Basic and diluted loss per share was the same for each period presented as the inclusion of all common share equivalents would have been anti-dilutive.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Anti-dilutive equivalent common shares were as follows:</w:t>
      </w:r>
    </w:p>
    <w:p>
      <w:pPr>
        <w:pStyle w:val="TextBody"/>
        <w:bidi w:val="0"/>
        <w:spacing w:before="0" w:after="0"/>
        <w:ind w:left="0" w:right="0" w:hanging="0"/>
        <w:jc w:val="left"/>
        <w:rPr/>
      </w:pPr>
      <w:r>
        <w:rPr/>
        <w:t>​</w:t>
      </w:r>
    </w:p>
    <w:tbl>
      <w:tblPr>
        <w:tblW w:w="9080" w:type="dxa"/>
        <w:jc w:val="left"/>
        <w:tblInd w:w="0" w:type="dxa"/>
        <w:tblLayout w:type="fixed"/>
        <w:tblCellMar>
          <w:top w:w="0" w:type="dxa"/>
          <w:left w:w="0" w:type="dxa"/>
          <w:bottom w:w="0" w:type="dxa"/>
          <w:right w:w="0" w:type="dxa"/>
        </w:tblCellMar>
      </w:tblPr>
      <w:tblGrid>
        <w:gridCol w:w="5536"/>
        <w:gridCol w:w="346"/>
        <w:gridCol w:w="1411"/>
        <w:gridCol w:w="346"/>
        <w:gridCol w:w="1441"/>
      </w:tblGrid>
      <w:tr>
        <w:trPr/>
        <w:tc>
          <w:tcPr>
            <w:tcW w:w="5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3515360" cy="175260"/>
                      <wp:effectExtent l="0" t="0" r="0" b="0"/>
                      <wp:wrapNone/>
                      <wp:docPr id="153" name="Frame153"/>
                      <a:graphic xmlns:a="http://schemas.openxmlformats.org/drawingml/2006/main">
                        <a:graphicData uri="http://schemas.microsoft.com/office/word/2010/wordprocessingShape">
                          <wps:wsp>
                            <wps:cNvSpPr txBox="1"/>
                            <wps:spPr>
                              <a:xfrm>
                                <a:off x="0" y="0"/>
                                <a:ext cx="3515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4"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895985" cy="175260"/>
                      <wp:effectExtent l="0" t="0" r="0" b="0"/>
                      <wp:wrapNone/>
                      <wp:docPr id="155" name="Frame155"/>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6"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915035" cy="175260"/>
                      <wp:effectExtent l="0" t="0" r="0" b="0"/>
                      <wp:wrapNone/>
                      <wp:docPr id="157" name="Frame157"/>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41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right"/>
              <w:rPr/>
            </w:pPr>
            <w:r>
              <w:rPr/>
              <w:t>​</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Six months ended </w:t>
            </w:r>
          </w:p>
        </w:tc>
      </w:tr>
      <w:tr>
        <w:trPr/>
        <w:tc>
          <w:tcPr>
            <w:tcW w:w="55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41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right"/>
              <w:rPr/>
            </w:pPr>
            <w:r>
              <w:rPr/>
              <w:t>​</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June 30, </w:t>
            </w:r>
          </w:p>
        </w:tc>
      </w:tr>
      <w:tr>
        <w:trPr/>
        <w:tc>
          <w:tcPr>
            <w:tcW w:w="55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 ​ ​</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right"/>
              <w:rPr/>
            </w:pPr>
            <w:r>
              <w:rPr/>
              <w:t>  ​ ​ ​</w:t>
            </w:r>
          </w:p>
        </w:tc>
        <w:tc>
          <w:tcPr>
            <w:tcW w:w="14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2025</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options to purchase common shares</w:t>
            </w:r>
          </w:p>
        </w:tc>
        <w:tc>
          <w:tcPr>
            <w:tcW w:w="346"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28,332,199</w:t>
            </w:r>
          </w:p>
        </w:tc>
        <w:tc>
          <w:tcPr>
            <w:tcW w:w="34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27,923,325</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RSUs</w:t>
            </w:r>
          </w:p>
        </w:tc>
        <w:tc>
          <w:tcPr>
            <w:tcW w:w="34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46,236,898</w:t>
            </w:r>
          </w:p>
        </w:tc>
        <w:tc>
          <w:tcPr>
            <w:tcW w:w="3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37,072,442</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shares under ESPP</w:t>
            </w:r>
          </w:p>
        </w:tc>
        <w:tc>
          <w:tcPr>
            <w:tcW w:w="346"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4,399</w:t>
            </w:r>
          </w:p>
        </w:tc>
        <w:tc>
          <w:tcPr>
            <w:tcW w:w="34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warrants</w:t>
            </w:r>
          </w:p>
        </w:tc>
        <w:tc>
          <w:tcPr>
            <w:tcW w:w="34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55,850,282</w:t>
            </w:r>
          </w:p>
        </w:tc>
        <w:tc>
          <w:tcPr>
            <w:tcW w:w="34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60,113,552</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Special Shares and options to purchase Special Shares</w:t>
            </w:r>
          </w:p>
        </w:tc>
        <w:tc>
          <w:tcPr>
            <w:tcW w:w="346" w:type="dxa"/>
            <w:tcBorders/>
            <w:shd w:fill="CCEEFF" w:val="clear"/>
            <w:vAlign w:val="center"/>
          </w:tcPr>
          <w:p>
            <w:pPr>
              <w:pStyle w:val="TableContents"/>
              <w:bidi w:val="0"/>
              <w:spacing w:before="0" w:after="0"/>
              <w:ind w:left="0" w:right="0" w:hanging="0"/>
              <w:jc w:val="left"/>
              <w:rPr/>
            </w:pPr>
            <w:r>
              <w:rPr/>
              <w:t>​</w:t>
            </w:r>
          </w:p>
        </w:tc>
        <w:tc>
          <w:tcPr>
            <w:tcW w:w="14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136,004,597</w:t>
            </w:r>
          </w:p>
        </w:tc>
        <w:tc>
          <w:tcPr>
            <w:tcW w:w="346" w:type="dxa"/>
            <w:tcBorders/>
            <w:shd w:fill="CCEEFF" w:val="clear"/>
            <w:vAlign w:val="center"/>
          </w:tcPr>
          <w:p>
            <w:pPr>
              <w:pStyle w:val="TableContents"/>
              <w:bidi w:val="0"/>
              <w:spacing w:before="0" w:after="0"/>
              <w:ind w:left="0" w:right="0" w:hanging="0"/>
              <w:jc w:val="left"/>
              <w:rPr/>
            </w:pPr>
            <w:r>
              <w:rPr/>
              <w:t>​</w:t>
            </w:r>
          </w:p>
        </w:tc>
        <w:tc>
          <w:tcPr>
            <w:tcW w:w="14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136,011,413</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anti-dilutive common equivalent shares</w:t>
            </w:r>
          </w:p>
        </w:tc>
        <w:tc>
          <w:tcPr>
            <w:tcW w:w="346" w:type="dxa"/>
            <w:tcBorders/>
            <w:vAlign w:val="center"/>
          </w:tcPr>
          <w:p>
            <w:pPr>
              <w:pStyle w:val="TableContents"/>
              <w:bidi w:val="0"/>
              <w:spacing w:before="0" w:after="0"/>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266,428,375</w:t>
            </w:r>
          </w:p>
        </w:tc>
        <w:tc>
          <w:tcPr>
            <w:tcW w:w="346" w:type="dxa"/>
            <w:tcBorders/>
            <w:vAlign w:val="center"/>
          </w:tcPr>
          <w:p>
            <w:pPr>
              <w:pStyle w:val="TableContents"/>
              <w:bidi w:val="0"/>
              <w:spacing w:before="0" w:after="0"/>
              <w:ind w:left="0" w:right="0" w:hanging="0"/>
              <w:jc w:val="left"/>
              <w:rPr/>
            </w:pPr>
            <w:r>
              <w:rPr/>
              <w:t>  ​</w:t>
            </w:r>
          </w:p>
        </w:tc>
        <w:tc>
          <w:tcPr>
            <w:tcW w:w="144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261,122,359</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rFonts w:ascii="Times New Roman;Times;serif" w:hAnsi="Times New Roman;Times;serif"/>
          <w:sz w:val="20"/>
        </w:rPr>
      </w:pPr>
      <w:bookmarkStart w:id="1410" w:name="Tc_grVAvzm4TECSgZ4kvYNOYA_14_7"/>
      <w:bookmarkStart w:id="1411" w:name="Tc_UEu_X5Pkn0Svb4ObGmCxIA_14_4"/>
      <w:bookmarkStart w:id="1412" w:name="Tc_A88msNNavEaB-QNnxfXkbg_13_2"/>
      <w:bookmarkStart w:id="1413" w:name="Tc_8-Mw01YWOUaW2oYGRGpDKA_13_0"/>
      <w:bookmarkStart w:id="1414" w:name="Tc_ZmsYU4QTrUeI8ghjgomrcA_12_2"/>
      <w:bookmarkStart w:id="1415" w:name="Tc_juicOWkYnEmnMRr6BZovoA_12_0"/>
      <w:bookmarkStart w:id="1416" w:name="Tc_3XQc5jJiAky42eEUsH336A_11_0"/>
      <w:bookmarkStart w:id="1417" w:name="Tc_uEnzBv_4QkWcfAygan_xwQ_10_7"/>
      <w:bookmarkStart w:id="1418" w:name="Tc_lA6VoYD0VEGVPdQMpJduoQ_10_4"/>
      <w:bookmarkStart w:id="1419" w:name="Tc_NpP7-bnQAkugMx4KFa9YOA_10_2"/>
      <w:bookmarkStart w:id="1420" w:name="Tc_0pRg1HCnYEqIg50xsS9oJA_10_0"/>
      <w:bookmarkStart w:id="1421" w:name="Tc_mwAPutM6Q0ekpep3e98yCw_9_0"/>
      <w:bookmarkStart w:id="1422" w:name="Tc_Yf78NIkF6U2shHw08ZKZmw_8_0"/>
      <w:bookmarkStart w:id="1423" w:name="Tc_bUHisHWooU61YPPVHJ28VQ_7_7"/>
      <w:bookmarkStart w:id="1424" w:name="Tc_fGvjSyIUWUWnTLzGuxpB4Q_7_4"/>
      <w:bookmarkStart w:id="1425" w:name="Tc_jP4w4r0AXU6V6o21MH_IgA_6_2"/>
      <w:bookmarkStart w:id="1426" w:name="Tc_PGUM7MDCGEmZ91qMUfnLnA_6_0"/>
      <w:bookmarkStart w:id="1427" w:name="Tc_cZ1fXu03XkeXoZwipf1LlQ_5_7"/>
      <w:bookmarkStart w:id="1428" w:name="Tc_xKmUB2DPoU2wiOHbCu30dQ_5_4"/>
      <w:bookmarkStart w:id="1429" w:name="Tc_R6S9Jaek50WBlLvLEi8M4Q_5_2"/>
      <w:bookmarkStart w:id="1430" w:name="Tc__sLuLPtZBUO8kEJ1LmTLHA_5_0"/>
      <w:bookmarkStart w:id="1431" w:name="Tc_DCZYRkDPiU2YGbvwcqqG2w_4_0"/>
      <w:bookmarkStart w:id="1432" w:name="Tc_SWZB0iZJd06rrfZaIKUjjA_3_0"/>
      <w:bookmarkStart w:id="1433" w:name="Tc__c3RSApN9kWDbNvFt8Xv0g_2_7"/>
      <w:bookmarkStart w:id="1434" w:name="Tc_IamVR8e8p0ysjAx7fiegbQ_2_4"/>
      <w:bookmarkStart w:id="1435" w:name="Tc_FI3eQnzkQEehvdU76t0kgQ_2_2"/>
      <w:bookmarkStart w:id="1436" w:name="Tc_JQUTa0cC3EmX0hDAb0k0gg_2_0"/>
      <w:bookmarkStart w:id="1437" w:name="Tc_d3cgTiU4mEyCAhzjDYKa7A_1_7"/>
      <w:bookmarkStart w:id="1438" w:name="Tc_ShuYrwWpN0qao5kIwkyN6g_1_4"/>
      <w:bookmarkStart w:id="1439" w:name="Tc_E9IcuMOni0KUz_K3Pf1lbA_1_2"/>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r>
        <w:rPr>
          <w:rFonts w:ascii="Times New Roman;Times;serif" w:hAnsi="Times New Roman;Times;serif"/>
          <w:b/>
          <w:i w:val="false"/>
          <w:caps w:val="false"/>
          <w:smallCaps w:val="false"/>
          <w:sz w:val="20"/>
        </w:rPr>
        <w:t>15.</w:t>
      </w:r>
      <w:r>
        <w:rPr>
          <w:rFonts w:ascii="Times New Roman;Times;serif" w:hAnsi="Times New Roman;Times;serif"/>
          <w:b/>
          <w:sz w:val="20"/>
        </w:rPr>
        <w:t>Financial Instruments</w:t>
      </w:r>
    </w:p>
    <w:p>
      <w:pPr>
        <w:pStyle w:val="TextBody"/>
        <w:bidi w:val="0"/>
        <w:spacing w:before="0" w:after="0"/>
        <w:ind w:left="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following table presents the Company’s financial instruments, including those measured at fair value on a recurring basis and their classification within the fair value hierarchy.</w:t>
      </w:r>
    </w:p>
    <w:p>
      <w:pPr>
        <w:pStyle w:val="TextBody"/>
        <w:bidi w:val="0"/>
        <w:spacing w:before="0" w:after="0"/>
        <w:ind w:left="0" w:right="0" w:hanging="0"/>
        <w:jc w:val="left"/>
        <w:rPr/>
      </w:pPr>
      <w:r>
        <w:rPr/>
        <w:t>​</w:t>
      </w:r>
    </w:p>
    <w:tbl>
      <w:tblPr>
        <w:tblW w:w="8332" w:type="dxa"/>
        <w:jc w:val="left"/>
        <w:tblInd w:w="0" w:type="dxa"/>
        <w:tblLayout w:type="fixed"/>
        <w:tblCellMar>
          <w:top w:w="0" w:type="dxa"/>
          <w:left w:w="0" w:type="dxa"/>
          <w:bottom w:w="0" w:type="dxa"/>
          <w:right w:w="0" w:type="dxa"/>
        </w:tblCellMar>
      </w:tblPr>
      <w:tblGrid>
        <w:gridCol w:w="4231"/>
        <w:gridCol w:w="346"/>
        <w:gridCol w:w="886"/>
        <w:gridCol w:w="346"/>
        <w:gridCol w:w="211"/>
        <w:gridCol w:w="781"/>
        <w:gridCol w:w="346"/>
        <w:gridCol w:w="228"/>
        <w:gridCol w:w="957"/>
      </w:tblGrid>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686685" cy="175260"/>
                      <wp:effectExtent l="0" t="0" r="0" b="0"/>
                      <wp:wrapNone/>
                      <wp:docPr id="158" name="Frame158"/>
                      <a:graphic xmlns:a="http://schemas.openxmlformats.org/drawingml/2006/main">
                        <a:graphicData uri="http://schemas.microsoft.com/office/word/2010/wordprocessingShape">
                          <wps:wsp>
                            <wps:cNvSpPr txBox="1"/>
                            <wps:spPr>
                              <a:xfrm>
                                <a:off x="0" y="0"/>
                                <a:ext cx="268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62610" cy="175260"/>
                      <wp:effectExtent l="0" t="0" r="0" b="0"/>
                      <wp:wrapNone/>
                      <wp:docPr id="160" name="Frame16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1"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2"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95935" cy="175260"/>
                      <wp:effectExtent l="0" t="0" r="0" b="0"/>
                      <wp:wrapNone/>
                      <wp:docPr id="163" name="Frame16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44780" cy="175260"/>
                      <wp:effectExtent l="0" t="0" r="0" b="0"/>
                      <wp:wrapNone/>
                      <wp:docPr id="165" name="Frame165"/>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07695" cy="175260"/>
                      <wp:effectExtent l="0" t="0" r="0" b="0"/>
                      <wp:wrapNone/>
                      <wp:docPr id="166" name="Frame166"/>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  ​ ​ ​</w:t>
            </w:r>
          </w:p>
        </w:tc>
        <w:tc>
          <w:tcPr>
            <w:tcW w:w="1185"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 </w:t>
            </w:r>
          </w:p>
        </w:tc>
      </w:tr>
      <w:tr>
        <w:trPr/>
        <w:tc>
          <w:tcPr>
            <w:tcW w:w="42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Categories of Financial Instruments</w:t>
            </w:r>
          </w:p>
        </w:tc>
        <w:tc>
          <w:tcPr>
            <w:tcW w:w="34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Hierarchy</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Amortized cost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left"/>
              <w:rPr/>
            </w:pPr>
            <w:r>
              <w:rPr/>
              <w:t>  ​</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98,655</w:t>
            </w:r>
          </w:p>
        </w:tc>
        <w:tc>
          <w:tcPr>
            <w:tcW w:w="346"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117,633</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Commodity taxes and other receivables </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638</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r>
      <w:tr>
        <w:trPr/>
        <w:tc>
          <w:tcPr>
            <w:tcW w:w="42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99,293</w:t>
            </w:r>
          </w:p>
        </w:tc>
        <w:tc>
          <w:tcPr>
            <w:tcW w:w="346" w:type="dxa"/>
            <w:tcBorders/>
            <w:shd w:fill="CCEEFF" w:val="clear"/>
            <w:vAlign w:val="center"/>
          </w:tcPr>
          <w:p>
            <w:pPr>
              <w:pStyle w:val="TableContents"/>
              <w:bidi w:val="0"/>
              <w:spacing w:before="0" w:after="0"/>
              <w:ind w:left="0" w:right="0" w:hanging="0"/>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118,297</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liabilities</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Amortized cost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 (Note 11)</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52,096</w:t>
            </w:r>
          </w:p>
        </w:tc>
        <w:tc>
          <w:tcPr>
            <w:tcW w:w="3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46,048</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through profit or loss</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Royalty liability (Note 8)</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Level 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145,000</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145,000</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liability (Note 12)</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Level 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527</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13,351</w:t>
            </w:r>
          </w:p>
        </w:tc>
      </w:tr>
      <w:tr>
        <w:trPr/>
        <w:tc>
          <w:tcPr>
            <w:tcW w:w="4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197,623</w:t>
            </w:r>
          </w:p>
        </w:tc>
        <w:tc>
          <w:tcPr>
            <w:tcW w:w="346" w:type="dxa"/>
            <w:tcBorders/>
            <w:vAlign w:val="center"/>
          </w:tcPr>
          <w:p>
            <w:pPr>
              <w:pStyle w:val="TableContents"/>
              <w:bidi w:val="0"/>
              <w:spacing w:before="0" w:after="0"/>
              <w:ind w:left="0" w:right="0" w:hanging="0"/>
              <w:jc w:val="left"/>
              <w:rPr/>
            </w:pPr>
            <w:r>
              <w:rPr/>
              <w:t> </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204,399</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16.</w:t>
      </w:r>
      <w:r>
        <w:rPr>
          <w:rFonts w:ascii="Times New Roman;Times;serif" w:hAnsi="Times New Roman;Times;serif"/>
          <w:b/>
          <w:sz w:val="20"/>
        </w:rPr>
        <w:t>Related Party Transactions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On March 22, 2024, the Company entered into an Unsecured Credit Facility (the “2024 Credit Facility”) with Gerard Barron, the Company’s Chief Executive Officer and Chairman, and ERAS Capital LLC, the family fund of one of the Company’s directors (collectively, the “2024 Lenders”), pursuant to which, the Company may borrow from the 2024 Lenders up to $20 million in the aggregate ($10 million from each of the </w:t>
      </w:r>
      <w:r>
        <w:rPr>
          <w:rFonts w:ascii="Times New Roman;Times;serif" w:hAnsi="Times New Roman;Times;serif"/>
          <w:b w:val="false"/>
          <w:i w:val="false"/>
          <w:caps w:val="false"/>
          <w:smallCaps w:val="false"/>
          <w:sz w:val="20"/>
        </w:rPr>
        <w:t>2024</w:t>
      </w:r>
      <w:r>
        <w:rPr>
          <w:rFonts w:ascii="Times New Roman;Times;serif" w:hAnsi="Times New Roman;Times;serif"/>
          <w:sz w:val="20"/>
        </w:rPr>
        <w:t xml:space="preserve"> Lenders), from time to time, subject to certain conditions. All amounts drawn under the 2024 Credit Facility will bear interest at the 6-month Secured Overnight Funding Rate (SOFR), 180-day average plus 4.0% per annum payable in cash semi - annually (or plus 5% if paid - in - kind at maturity, at our election) on the first business day of each of June and January. The Company will pay an underutilization fee equal to 4.0% per annum payable semi-annually for any amounts that remain undrawn under the 2024 Credit Facility. The 2024 Credit Facility also contains customary events of default. On August 13, 2024, the Company entered into the First Amendment to the 2024 Credit Facility with the 2024 Lenders, to increase the borrowing limit of the 2024 Credit Facility to $25 million in the aggregate ($12.5 million from each of the </w:t>
      </w:r>
      <w:r>
        <w:rPr>
          <w:rFonts w:ascii="Times New Roman;Times;serif" w:hAnsi="Times New Roman;Times;serif"/>
          <w:b w:val="false"/>
          <w:i w:val="false"/>
          <w:caps w:val="false"/>
          <w:smallCaps w:val="false"/>
          <w:sz w:val="20"/>
        </w:rPr>
        <w:t>2024</w:t>
      </w:r>
      <w:r>
        <w:rPr>
          <w:rFonts w:ascii="Times New Roman;Times;serif" w:hAnsi="Times New Roman;Times;serif"/>
          <w:sz w:val="20"/>
        </w:rPr>
        <w:t xml:space="preserve"> Lenders). On November 14, 2024, the Company entered into the Second Amendment to the 2024 Credit Facility with the 2024 Lenders, to increase the borrowing limit to $38 million in the aggregate ($19 million from each of the </w:t>
      </w:r>
      <w:r>
        <w:rPr>
          <w:rFonts w:ascii="Times New Roman;Times;serif" w:hAnsi="Times New Roman;Times;serif"/>
          <w:b w:val="false"/>
          <w:i w:val="false"/>
          <w:caps w:val="false"/>
          <w:smallCaps w:val="false"/>
          <w:sz w:val="20"/>
        </w:rPr>
        <w:t>2024</w:t>
      </w:r>
      <w:r>
        <w:rPr>
          <w:rFonts w:ascii="Times New Roman;Times;serif" w:hAnsi="Times New Roman;Times;serif"/>
          <w:sz w:val="20"/>
        </w:rPr>
        <w:t xml:space="preserve"> Lenders) and to extend the maturity of the 2024 Credit Facility to December 31, 2025. As per the Second Amendment, the rate of underutilization fee was retroactively increased from March 22, 2024, to 6.5% on any undrawn amounts under the 2024 Credit Facility. On March 26, 2025, the Company entered into the Third Amendment to the 2024 Credit Facility with the 2024 Lenders, to, among other things, increase the borrowing limit to $44 million in the aggregate ($22 million from each of the </w:t>
      </w:r>
      <w:r>
        <w:rPr>
          <w:rFonts w:ascii="Times New Roman;Times;serif" w:hAnsi="Times New Roman;Times;serif"/>
          <w:b w:val="false"/>
          <w:i w:val="false"/>
          <w:caps w:val="false"/>
          <w:smallCaps w:val="false"/>
          <w:sz w:val="20"/>
        </w:rPr>
        <w:t>2024</w:t>
      </w:r>
      <w:r>
        <w:rPr>
          <w:rFonts w:ascii="Times New Roman;Times;serif" w:hAnsi="Times New Roman;Times;serif"/>
          <w:sz w:val="20"/>
        </w:rPr>
        <w:t xml:space="preserve"> Lenders) and extend the maturity of the 2024 Credit Facility to June 30, 2026 with the 2024 Lenders having an option to extend the maturity date by up to two additional one-year periods. As per the Third Amendment to the 2024 Credit Facility, the underutilization fees are to be paid quarterly in cash or shares at the 2024 Lenders election and the 2024 Lenders have an option to terminate the credit facility upon certain financing events. On March 25, 2026, the 2024 Lenders extended the maturity date of the 2024 Credit Facility by one year, expiring on June 30, 2027, subject to further extension to June 30, 2028 at the election of the 2024 Lenders.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Under the terms of the 2024 Credit Facility, amounts repaid are not available for reborrowing and permanently reduce the borrowing capacity under the facility. During the third quarter of 2025, the Company repaid the entire outstanding balance of $2.4 million, reducing the borrowing limit from $22.0 million to $19.6 million. On March 26, 2026, the borrowing limit of the credit facility from ERAS Capital LLC was reset to $22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three and six months ended June 30, 2026, the Company did not repay or draw from the 2024 Credit Facility (during the three and six months ended June 30, 2025, the Company repaid $nil and $1.8 million respectively of the drawn amount and did not draw from the 2024 Credit Facility) and as at June 30, 2026, did not have any outstanding drawn amounts. During the three and six months ended June 30, 2026, the Company incurred $nil as interest expense, while for those same periods, it incurred $0.7 million and $1.3 million respectively, as underutilization fees (during the three and six months ended June 30, 2025, the Company incurred $0.1 million as interest expense, while for those same periods, it incurred $0.7 million and $1.2 million, respectively, as underutilization fees). The interest repaid during the three and six months ended June 30, 2026, was $nil (during the three and six months ended June 30, 2025, the Company repaid interest amounting to $0.1 and $0.2 million respectively). For three and six months ended June 30, 2026, the Company repaid underutilization fees amounting to $0.7 million and $1.3 million, respectively (during the three and six months ended June 30, 2025, the Company repaid underutilization fees amounting to $0.9 million).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three and six months ended June 30, 2026, the Company’s consulting fees amounting to $0.2 million and $0.5 million respectively, were provided by immediate family members of management, which are included in general and administrative expenses (during the three and six months ended June 30, 2025, consulting fees amounted to $0.1 million). As at June 30, 2026, consulting fees payable to immediate family members of management were $63 thousand (December 31, 2025: $57 thousand).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Apart from the above-mentioned transactions, the Company had transactions with Allseas and The Metals Royalty Company which are detailed in Notes 6 and 7.</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17.</w:t>
      </w:r>
      <w:r>
        <w:rPr>
          <w:rFonts w:ascii="Times New Roman;Times;serif" w:hAnsi="Times New Roman;Times;serif"/>
          <w:b/>
          <w:sz w:val="20"/>
        </w:rPr>
        <w:t>Contingent Liabilities</w:t>
      </w:r>
    </w:p>
    <w:p>
      <w:pPr>
        <w:pStyle w:val="TextBody"/>
        <w:bidi w:val="0"/>
        <w:spacing w:before="0" w:after="240"/>
        <w:ind w:left="360" w:right="0" w:hanging="0"/>
        <w:jc w:val="both"/>
        <w:rPr>
          <w:rFonts w:ascii="Times New Roman;Times;serif" w:hAnsi="Times New Roman;Times;serif"/>
          <w:b w:val="false"/>
          <w:sz w:val="20"/>
        </w:rPr>
      </w:pPr>
      <w:r>
        <w:rPr>
          <w:rFonts w:ascii="Times New Roman;Times;serif" w:hAnsi="Times New Roman;Times;serif"/>
          <w:b w:val="false"/>
          <w:sz w:val="20"/>
        </w:rPr>
        <w:t>On January 23, 2023, investors in the 2021 private placement from the Business Combination filed a lawsuit against the Company in the Commercial Division of New York Supreme Court, New York County, captioned Atalaya Special Purpose Investment Fund II LP et al. v. Sustainable Opportunities Acquisition Corp. n/k/a TMC The Metals Company Inc., Index No. 650449/2023 (N.Y. Sup. Ct.). The Company filed a motion to dismiss on March 31, 2023, after which the plaintiffs filed an amended complaint on June 5, 2023. The amended complaint alleges that the Company breached the representations and warranties in the plaintiffs’ private placement Subscription Agreements and breached the covenant of good faith and fair dealing. The Plaintiffs are seeking to recover compensable damages caused by the alleged wrongdoings. The Company denies any allegations of wrongdoing and filed a motion to dismiss the amended complaint on July 28, 2023. On December 7, 2023, the Court granted the Company’s motion to dismiss the claim for breach of the covenant of good faith and fair dealing and denied the Company’s motion to dismiss the breach of the Subscription Agreement claim. The Company filed a notice of appeal regarding the Court’s denial of the Company’s motion to dismiss the breach of the Subscription Agreement claim. The appeal was heard on November 8, 2024. The NY Appellate Division upheld the lower court’s ruling in December 2024, moving the case into the discovery phase. Discovery closed following the plaintiffs’ filing of a note of issue on April 27, 2026. On June 26, 2026, the Company and the plaintiffs cross-moved for summary judgment, and that briefing is ongoing, with the parties’ opposition briefs due July 31, 2026 and reply briefs due August 25, 2026. There is no assurance that the Company will be successful in its defense of this lawsuit or that insurance will be available or adequate to fund any settlement or judgment or the litigation costs of this action. Such losses or range of possible losses cannot be reliably estimated.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January 16, 2026, American Metal Inc. and American Metal Resources LLC filed a civil claim against TMC The Metals Company Inc. and The Metals Company USA LLC in the Supreme Court of British Columbia, Vancouver Registry, captioned American Metal Inc. and American Metal Resources LLC v. TMC The Metals Company Inc. and The Metals Company USA LLC, No. S260335. The complaint alleged, among other things, breach of contract, breach of confidence and related claims arising from discussions between the parties regarding potential collaboration and the submission of applications for deep seabed mineral exploration licenses to NOAA. On March 3, 2026, the Company filed a response denying the material allegations and asserting a counterclaim against Robert Heydon and the plaintiffs alleging, among other things, breach of contract, breach of confidence and breach of fiduciary duty in connection with the alleged misuse of the Company’s confidential information. In June 2026, without any admission of liability by any party, the Company entered into a settlement deed with American Metal Inc., American Metal Resources LLC, Robert Heydon and certain of his affiliated parties resolving this action, pursuant to which the parties agreed to the consent dismissal, without costs to any party, of the civil claim and our counterclaim, together with mutual releases of related claims. This matter is now concluded.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360" w:right="0" w:firstLine="360"/>
        <w:jc w:val="both"/>
        <w:rPr>
          <w:rFonts w:ascii="Times New Roman;Times;serif" w:hAnsi="Times New Roman;Times;serif"/>
          <w:sz w:val="20"/>
        </w:rPr>
      </w:pPr>
      <w:r>
        <w:rPr>
          <w:rFonts w:ascii="Times New Roman;Times;serif" w:hAnsi="Times New Roman;Times;serif"/>
          <w:sz w:val="20"/>
        </w:rPr>
        <w:t>On May 18, 2026, NORI and TOML each issued a Notice of Dispute to the International Seabed Authority (the “ISA”) concerning the ISA’s inquiries into their possible non-compliance with their Exploration Contracts, dated July 22, 2011 and January 11, 2012, respectively. By Applications filed with the Registry on June 5, 2026, NORI and TOML each instituted proceedings, together with a request for provisional measures, before the Seabed Disputes Chamber (the “Chamber”) of the International Tribunal for the Law of the Sea (“ITLOS”), captioned Nauru Ocean Resources Inc. v. International Seabed Authority, Case No. 34, and Tonga Offshore Mining Ltd. v. International Seabed Authority, Case No. 35. The Applications allege that the ISA failed to afford due process, transparency and fairness in its Council-mandated inquiries and, in NORI’s case, in the ISA’s separate consideration of NORI’s application to extend its Exploration Contract. Following a hearing on July 2–3, 2026, the Chamber issued parallel orders on July 18, 2026 prescribing provisional measures requiring the ISA to act in accordance with the relevant legal framework, including rules of due process, in the pending inquiries (and, for NORI, in the Exploration Contract extension procedure), to provide NORI and TOML the information they need to respond meaningfully, and to cooperate with NORI and TOML and refrain from aggravating the dispute. The Chamber did not order the suspension of the inquiries that NORI and TOML had requested, and each party bears its own costs of that phase. NORI, TOML and the ISA are each required to submit an initial compliance report to the Chamber by August 31, 2026. The orders do not prejudge the Chamber’s jurisdiction over the merits, which remain to be briefed and heard. The ISA requested an extension of the deadline to file its defense on the merits until March 30, 2027, which was granted by the Chamber. The relief sought by NORI and TOML is declaratory and injunctive rather than monetary, and no damages have been claimed or awarded in either proceeding. On July 20, 2026, the Council of the ISA approved a five-year extension of NORI’s Exploration Contract, effective July 22, 2026 and expiring July 21, 2031, without prejudice to any findings or recommendations arising from the inquiry. On July 10, 2026, TOML applied to the ISA for a five-year extension of its Exploration Contract, which is due to expire on January 11, 2027. The application is scheduled to be considered in February and March 2027, and TOML expects its Exploration Contract to continue in force in the interim under the ISA’s extension procedures. Neither NORI nor TOML had received the information contemplated by the orders as of the date of this Quarterly Report on Form 10-Q. No amounts have been recognized in these unaudited condensed consolidated interim financial statements in respect of these proceedings, and related legal costs are expensed as incurred.</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440" w:name="Tc_oMu5fkMY7UyqO5aP4Wx2Cg_4_5"/>
      <w:bookmarkStart w:id="1441" w:name="Tc_daa4tERL8UWCTmy47yl-Rg_4_2"/>
      <w:bookmarkStart w:id="1442" w:name="Tc_Tv1GvsbLi0S-K5dtEEihQA_4_0"/>
      <w:bookmarkStart w:id="1443" w:name="Tc_TErOwcLY-Ua0to0-n5UeKg_3_0"/>
      <w:bookmarkStart w:id="1444" w:name="Tc_q1AUFrk6i0quneDf922_EQ_2_5"/>
      <w:bookmarkStart w:id="1445" w:name="Tc_BeKA4Y-qck-tKpcVqEREJw_2_2"/>
      <w:bookmarkStart w:id="1446" w:name="Tc_ukphV4uRmUyyMTNXz8sgpA_2_0"/>
      <w:bookmarkStart w:id="1447" w:name="Tc_C8XH0B64LE2SZpoEiXvpXQ_1_5"/>
      <w:bookmarkStart w:id="1448" w:name="Tc_iLUo0DdQXkSH5qKblsbFFw_1_2"/>
      <w:bookmarkStart w:id="1449" w:name="_50f9859f_b6fd_47ae_9ede_ec1bd2f8b0fa"/>
      <w:bookmarkStart w:id="1450" w:name="Tc_zoRasJwbNEigi7yXehaWIg_4_5"/>
      <w:bookmarkStart w:id="1451" w:name="Tc_UIgL03kpP0-755aWXLxpnw_4_2"/>
      <w:bookmarkStart w:id="1452" w:name="Tc_IlEFM1SJHkKTaeyaZ-JiFQ_4_0"/>
      <w:bookmarkStart w:id="1453" w:name="Tc_6laRjpu1FUm0dXmnLoOTsQ_3_5"/>
      <w:bookmarkStart w:id="1454" w:name="Tc_3hAcPd2TuE6RXhBTpwyqdQ_3_2"/>
      <w:bookmarkStart w:id="1455" w:name="Tc_6E6Dgh4r8EO-aU69MxtJgw_3_0"/>
      <w:bookmarkStart w:id="1456" w:name="Tc_fyqIjtkSA0Goo7wpBnHedg_2_5"/>
      <w:bookmarkStart w:id="1457" w:name="Tc_GWwmNmIPh0yY3Zm7gSVo_w_2_2"/>
      <w:bookmarkStart w:id="1458" w:name="Tc_NG8T16cKPUqxveRzGZwV6A_2_0"/>
      <w:bookmarkStart w:id="1459" w:name="Tc_cQbOV0xMZkKRAMZXtblBKg_1_5"/>
      <w:bookmarkStart w:id="1460" w:name="Tc_-4a01DQj3EKG6Lnduhmj4w_1_2"/>
      <w:bookmarkStart w:id="1461" w:name="_cbc1b7c6_debe_4323_beb6_3a26fa2d127b"/>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r>
        <w:rPr>
          <w:rFonts w:ascii="Times New Roman;Times;serif" w:hAnsi="Times New Roman;Times;serif"/>
          <w:b/>
          <w:i w:val="false"/>
          <w:caps w:val="false"/>
          <w:smallCaps w:val="false"/>
          <w:sz w:val="20"/>
        </w:rPr>
        <w:t>18.</w:t>
      </w:r>
      <w:r>
        <w:rPr>
          <w:rFonts w:ascii="Times New Roman;Times;serif" w:hAnsi="Times New Roman;Times;serif"/>
          <w:b/>
          <w:sz w:val="20"/>
        </w:rPr>
        <w:t>Segmented Information</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 xml:space="preserve">The Company’s Chief Executive Officer is the chief operating decision maker (“CODM”) and reviews financial information on a consolidated basis to allocate resources and assess performance. Accordingly, the Company operates as a </w:t>
      </w:r>
      <w:r>
        <w:rPr>
          <w:rFonts w:ascii="Times New Roman;Times;serif" w:hAnsi="Times New Roman;Times;serif"/>
          <w:b w:val="false"/>
          <w:i w:val="false"/>
          <w:caps w:val="false"/>
          <w:smallCaps w:val="false"/>
          <w:sz w:val="20"/>
        </w:rPr>
        <w:t>single</w:t>
      </w:r>
      <w:r>
        <w:rPr>
          <w:rFonts w:ascii="Times New Roman;Times;serif" w:hAnsi="Times New Roman;Times;serif"/>
          <w:sz w:val="20"/>
        </w:rPr>
        <w:t xml:space="preserve"> operating and reportable segment, namely exploration of seafloor polymetallic nodules, which includes the development of a metallurgical process to treat such seafloor polymetallic nodules. Details on the geographical segmentation of the Company’s long-lived assets based on where each legal entity is domiciled are as follows:</w:t>
      </w:r>
    </w:p>
    <w:p>
      <w:pPr>
        <w:pStyle w:val="TextBody"/>
        <w:bidi w:val="0"/>
        <w:spacing w:before="0" w:after="240"/>
        <w:ind w:left="0" w:right="0" w:hanging="0"/>
        <w:jc w:val="both"/>
        <w:rPr/>
      </w:pPr>
      <w:r>
        <w:rPr/>
        <w:t>​</w:t>
      </w:r>
    </w:p>
    <w:tbl>
      <w:tblPr>
        <w:tblW w:w="3543" w:type="dxa"/>
        <w:jc w:val="left"/>
        <w:tblInd w:w="0" w:type="dxa"/>
        <w:tblLayout w:type="fixed"/>
        <w:tblCellMar>
          <w:top w:w="0" w:type="dxa"/>
          <w:left w:w="0" w:type="dxa"/>
          <w:bottom w:w="0" w:type="dxa"/>
          <w:right w:w="0" w:type="dxa"/>
        </w:tblCellMar>
      </w:tblPr>
      <w:tblGrid>
        <w:gridCol w:w="901"/>
        <w:gridCol w:w="346"/>
        <w:gridCol w:w="254"/>
        <w:gridCol w:w="511"/>
        <w:gridCol w:w="346"/>
        <w:gridCol w:w="338"/>
        <w:gridCol w:w="847"/>
      </w:tblGrid>
      <w:tr>
        <w:trPr/>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72135" cy="175260"/>
                      <wp:effectExtent l="0" t="0" r="0" b="0"/>
                      <wp:wrapNone/>
                      <wp:docPr id="167" name="Frame16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8"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61290" cy="175260"/>
                      <wp:effectExtent l="0" t="0" r="0" b="0"/>
                      <wp:wrapNone/>
                      <wp:docPr id="169" name="Frame169"/>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324485" cy="175260"/>
                      <wp:effectExtent l="0" t="0" r="0" b="0"/>
                      <wp:wrapNone/>
                      <wp:docPr id="170" name="Frame17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4630" cy="175260"/>
                      <wp:effectExtent l="0" t="0" r="0" b="0"/>
                      <wp:wrapNone/>
                      <wp:docPr id="172" name="Frame172"/>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37845" cy="175260"/>
                      <wp:effectExtent l="0" t="0" r="0" b="0"/>
                      <wp:wrapNone/>
                      <wp:docPr id="173" name="Frame173"/>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65"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December 31, </w:t>
            </w:r>
          </w:p>
        </w:tc>
      </w:tr>
      <w:tr>
        <w:trPr/>
        <w:tc>
          <w:tcPr>
            <w:tcW w:w="9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Equipment</w:t>
            </w:r>
          </w:p>
        </w:tc>
        <w:tc>
          <w:tcPr>
            <w:tcW w:w="346" w:type="dxa"/>
            <w:tcBorders/>
            <w:vAlign w:val="center"/>
          </w:tcPr>
          <w:p>
            <w:pPr>
              <w:pStyle w:val="TableContents"/>
              <w:bidi w:val="0"/>
              <w:spacing w:before="0" w:after="1"/>
              <w:ind w:left="0" w:right="0" w:hanging="0"/>
              <w:jc w:val="left"/>
              <w:rPr/>
            </w:pPr>
            <w:r>
              <w:rPr/>
              <w:t>​</w:t>
            </w:r>
          </w:p>
        </w:tc>
        <w:tc>
          <w:tcPr>
            <w:tcW w:w="765"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Naoero</w:t>
            </w:r>
          </w:p>
        </w:tc>
        <w:tc>
          <w:tcPr>
            <w:tcW w:w="346" w:type="dxa"/>
            <w:tcBorders/>
            <w:shd w:fill="CCEEFF" w:val="clear"/>
            <w:vAlign w:val="center"/>
          </w:tcPr>
          <w:p>
            <w:pPr>
              <w:pStyle w:val="TableContents"/>
              <w:bidi w:val="0"/>
              <w:spacing w:before="0" w:after="1"/>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441</w:t>
            </w:r>
          </w:p>
        </w:tc>
        <w:tc>
          <w:tcPr>
            <w:tcW w:w="346" w:type="dxa"/>
            <w:tcBorders/>
            <w:shd w:fill="CCEEFF" w:val="clear"/>
            <w:vAlign w:val="center"/>
          </w:tcPr>
          <w:p>
            <w:pPr>
              <w:pStyle w:val="TableContents"/>
              <w:bidi w:val="0"/>
              <w:spacing w:before="0" w:after="1"/>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519</w:t>
            </w:r>
          </w:p>
        </w:tc>
      </w:tr>
      <w:tr>
        <w:trPr/>
        <w:tc>
          <w:tcPr>
            <w:tcW w:w="90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1"/>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441</w:t>
            </w:r>
          </w:p>
        </w:tc>
        <w:tc>
          <w:tcPr>
            <w:tcW w:w="346" w:type="dxa"/>
            <w:tcBorders/>
            <w:vAlign w:val="center"/>
          </w:tcPr>
          <w:p>
            <w:pPr>
              <w:pStyle w:val="TableContents"/>
              <w:bidi w:val="0"/>
              <w:spacing w:before="0" w:after="1"/>
              <w:ind w:left="0" w:right="0" w:hanging="0"/>
              <w:jc w:val="left"/>
              <w:rPr/>
            </w:pPr>
            <w:r>
              <w:rPr/>
              <w:t>​</w:t>
            </w:r>
          </w:p>
        </w:tc>
        <w:tc>
          <w:tcPr>
            <w:tcW w:w="33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519</w:t>
            </w:r>
          </w:p>
        </w:tc>
      </w:tr>
    </w:tbl>
    <w:p>
      <w:pPr>
        <w:pStyle w:val="TextBody"/>
        <w:bidi w:val="0"/>
        <w:spacing w:before="0" w:after="240"/>
        <w:ind w:left="0" w:right="0" w:hanging="0"/>
        <w:jc w:val="both"/>
        <w:rPr/>
      </w:pPr>
      <w:r>
        <w:rPr/>
        <w:t>​</w:t>
      </w:r>
    </w:p>
    <w:tbl>
      <w:tblPr>
        <w:tblW w:w="3605" w:type="dxa"/>
        <w:jc w:val="left"/>
        <w:tblInd w:w="0" w:type="dxa"/>
        <w:tblLayout w:type="fixed"/>
        <w:tblCellMar>
          <w:top w:w="0" w:type="dxa"/>
          <w:left w:w="0" w:type="dxa"/>
          <w:bottom w:w="0" w:type="dxa"/>
          <w:right w:w="0" w:type="dxa"/>
        </w:tblCellMar>
      </w:tblPr>
      <w:tblGrid>
        <w:gridCol w:w="946"/>
        <w:gridCol w:w="346"/>
        <w:gridCol w:w="211"/>
        <w:gridCol w:w="571"/>
        <w:gridCol w:w="346"/>
        <w:gridCol w:w="281"/>
        <w:gridCol w:w="904"/>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00710" cy="175260"/>
                      <wp:effectExtent l="0" t="0" r="0" b="0"/>
                      <wp:wrapNone/>
                      <wp:docPr id="174" name="Frame17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76"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362585" cy="175260"/>
                      <wp:effectExtent l="0" t="0" r="0" b="0"/>
                      <wp:wrapNone/>
                      <wp:docPr id="177" name="Frame17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78435" cy="175260"/>
                      <wp:effectExtent l="0" t="0" r="0" b="0"/>
                      <wp:wrapNone/>
                      <wp:docPr id="179" name="Frame179"/>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74040" cy="175260"/>
                      <wp:effectExtent l="0" t="0" r="0" b="0"/>
                      <wp:wrapNone/>
                      <wp:docPr id="180" name="Frame180"/>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 </w:t>
            </w:r>
          </w:p>
        </w:tc>
      </w:tr>
      <w:tr>
        <w:trPr/>
        <w:tc>
          <w:tcPr>
            <w:tcW w:w="9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Software</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Singapore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2,267</w:t>
            </w:r>
          </w:p>
        </w:tc>
        <w:tc>
          <w:tcPr>
            <w:tcW w:w="346" w:type="dxa"/>
            <w:tcBorders/>
            <w:shd w:fill="CCEEFF" w:val="clear"/>
            <w:vAlign w:val="center"/>
          </w:tcPr>
          <w:p>
            <w:pPr>
              <w:pStyle w:val="TableContents"/>
              <w:bidi w:val="0"/>
              <w:spacing w:before="0" w:after="0"/>
              <w:ind w:left="0" w:right="0" w:hanging="0"/>
              <w:jc w:val="left"/>
              <w:rPr/>
            </w:pPr>
            <w:r>
              <w:rPr/>
              <w:t> </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2,125</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2,267</w:t>
            </w:r>
          </w:p>
        </w:tc>
        <w:tc>
          <w:tcPr>
            <w:tcW w:w="346" w:type="dxa"/>
            <w:tcBorders/>
            <w:vAlign w:val="center"/>
          </w:tcPr>
          <w:p>
            <w:pPr>
              <w:pStyle w:val="TableContents"/>
              <w:bidi w:val="0"/>
              <w:spacing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2,125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19.</w:t>
      </w:r>
      <w:r>
        <w:rPr>
          <w:rFonts w:ascii="Times New Roman;Times;serif" w:hAnsi="Times New Roman;Times;serif"/>
          <w:b/>
          <w:sz w:val="20"/>
        </w:rPr>
        <w:t>Subsequent Events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July 2, 2026, the Company issued 7,305,567 common shares to Allseas Group S.A. in settlement of the equity-settled portion of the amounts owing under the Agreement, as described in Note 6.</w:t>
      </w:r>
    </w:p>
    <w:p>
      <w:pPr>
        <w:pStyle w:val="TextBody"/>
        <w:bidi w:val="0"/>
        <w:spacing w:before="0" w:after="0"/>
        <w:ind w:left="360" w:right="0" w:firstLine="360"/>
        <w:jc w:val="both"/>
        <w:rPr>
          <w:rFonts w:ascii="Times New Roman;Times;serif" w:hAnsi="Times New Roman;Times;serif"/>
          <w:sz w:val="20"/>
        </w:rPr>
      </w:pPr>
      <w:r>
        <w:rPr>
          <w:rFonts w:ascii="Times New Roman;Times;serif" w:hAnsi="Times New Roman;Times;serif"/>
          <w:sz w:val="20"/>
        </w:rPr>
        <w:t>In July 2026, the Seabed Disputes Chamber prescribed provisional measures in the proceedings brought by NORI and TOML against the ISA, the Council of the ISA approved a five-year extension of NORI’s exploration contract and TOML applied for a five-year extension of its own. These matters are described in Note 17.</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720"/>
        <w:jc w:val="both"/>
        <w:rPr>
          <w:rFonts w:ascii="Times New Roman;Times;serif" w:hAnsi="Times New Roman;Times;serif"/>
          <w:b/>
          <w:sz w:val="20"/>
        </w:rPr>
      </w:pPr>
      <w:bookmarkStart w:id="1462" w:name="Item2ManagementsDiscussionandAnalysisofF"/>
      <w:bookmarkStart w:id="1463" w:name="_6b690842_fbd3_45fb_a422_1ff860974ab0"/>
      <w:bookmarkEnd w:id="1462"/>
      <w:bookmarkEnd w:id="1463"/>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The following discussion and analysis provide information that management believes is relevant to an assessment and understanding of our interim condensed consolidated results of operations and financial condition. The discussion should be read in conjunction with the unaudited condensed interim consolidated financial statements and notes thereto contained in this Quarterly Report on Form 10-Q and the consolidated financial statements and notes thereto for the year ended December 31, 2025 contained in our 2025 Annual Report on Form 10-K. This discussion contains forward-looking statements and involves numerous risks and uncertainties, including, but not limited to, those described in “Risk Factors” in Item 1A of Part I of the 2025 Annual Report on Form 10-K, as updated and/or supplemented in subsequent filings with the SEC, including our Quarterly Report on Form 10-Q for the quarter ended March 31, 2026 and this Quarterly Report on Form 10-Q. Actual results may differ materially from those contained in any forward-looking statements. Unless the context otherwise requires, references to “we”, “us”, “our”, </w:t>
      </w:r>
      <w:r>
        <w:rPr>
          <w:rFonts w:ascii="Times New Roman;Times;serif" w:hAnsi="Times New Roman;Times;serif"/>
          <w:sz w:val="20"/>
        </w:rPr>
        <w:t>“</w:t>
      </w:r>
      <w:r>
        <w:rPr>
          <w:rFonts w:ascii="Times New Roman;Times;serif" w:hAnsi="Times New Roman;Times;serif"/>
          <w:i/>
          <w:sz w:val="20"/>
        </w:rPr>
        <w:t>TMC” and “the Company” are intended to mean the business and operations of TMC the metals company Inc. and its consolidated subsidiaries. The unaudited condensed consolidated interim financial statements for the three and six months ended June 30, 2026 and 2025, respectively, present the financial position and results of operations of TMC the metals company Inc. and its consolidated subsidiaries.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deep seabed minerals developer focused on the collection, processing and refining of polymetallic nodules found on the seafloor in international waters of the Clarion Clipperton Zone (“CCZ”). The CCZ is a geological submarine fracture zone of abyssal plains and other formations in the Eastern Pacific Ocean, with a length of around 7,240 kilometers (4,500 miles) that spans approximately 4,500,000 square kilometers (1,737,000 square miles). Polymetallic nodules are discrete rocks that sit unattached to the seafloor, occur in significant quantities in the CCZ and have high concentrations of nickel, copper, cobalt and manganese, alongside meaningful concentrations of rare earth elements (“REEs”) in a single rock.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mission is to build a carefully managed shared stock of metal (a “metal commons”) that can be used, recovered and reused for generations to come. We believe significant quantities of newly mined metal are required because existing metal stocks are insufficient to meet rapidly rising demand.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four base metals and REEs contained in the polymetallic nodules are on the U.S. Department of Interior’s “2025 List of Critical Minerals”, with end-uses in strategic sectors including semiconductors and AI data centers, steel manufacturing, the defense and marine industrial base. Nickel was included on the list of 13 minerals selected by the U.S. Department of War in March 2026 for targeted procurement efforts through the Defense Industrial Base Consortium. Our resource definition work to date shows that nodules in our contract areas represent the world’s largest undeveloped resource of several of these critical metals. If we are able to collect polymetallic nodules from the seafloor on a commercial scale, we plan to use such nodules to initially produce nickel, cobalt and copper-bearing intermediate and high-purity refined metal products as well as a manganese silicate product of approximately 40% manganese comparable to medium-grade manganese ore. Once in production, we may explore expanding into other product formats including silicomanganese alloy, battery-grade sulfates and precursor Cathode Active Materials (“pCAM”), as well as extracting REEs contained in nodules.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are now in the development stage following the release of the results of a pre-feasibility study on one of our development areas in a report titled </w:t>
      </w:r>
      <w:r>
        <w:rPr>
          <w:rFonts w:ascii="Times New Roman;Times;serif" w:hAnsi="Times New Roman;Times;serif"/>
          <w:i/>
          <w:sz w:val="20"/>
        </w:rPr>
        <w:t>S-K 1300 Technical Report Summary - Prefeasibility Study for NORI Area D</w:t>
      </w:r>
      <w:r>
        <w:rPr>
          <w:rFonts w:ascii="Times New Roman;Times;serif" w:hAnsi="Times New Roman;Times;serif"/>
          <w:sz w:val="20"/>
        </w:rPr>
        <w:t xml:space="preserve">, dated August 4, 2025, prepared by AMC Consultants Pty Ltd. and other qualified persons (the “NORI-D PFS”), which declared the world’s first mineral reserves for a seafloor polymetallic nodule project demonstrating the project’s economic viability. On the same date, we also recently released an initial assessment of certain of our other resource areas in a report titled </w:t>
      </w:r>
      <w:r>
        <w:rPr>
          <w:rFonts w:ascii="Times New Roman;Times;serif" w:hAnsi="Times New Roman;Times;serif"/>
          <w:i/>
          <w:sz w:val="20"/>
        </w:rPr>
        <w:t>S-K 1300 Technical Report Summary—Initial Assessment of TOML and NORI Properties</w:t>
      </w:r>
      <w:r>
        <w:rPr>
          <w:rFonts w:ascii="Times New Roman;Times;serif" w:hAnsi="Times New Roman;Times;serif"/>
          <w:sz w:val="20"/>
        </w:rPr>
        <w:t>, Clarion-Clipperton Zone, dated August 4, 2025, prepared by AMC Consultants Pty Lt. and other qualified persons (the “TOML and NORI IA” together with the NORI-D PFS, the “Technical Reports”). We have yet to obtain a commercial recovery permit or other related offshore and onshore permits from the regulators. Additionally, we do not yet hold the environmental or other permits required to construct and operate commercial-scale polymetallic nodule processing and refining facilities on land.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Two parallel regulatory regimes exist to regulate deep seabed exploration and extraction activities in the high seas. The United States adopted the Deep Seabed Hard Mineral Resources Act of 1980 (“DSHMRA”), a U.S. domestic statute administered by the U.S. Department of Commerce through the National Oceanic and Atmospheric Administration (“NOAA”) to regulate deep-sea mining activities of its citizens in the high seas. NOAA implemented regulations for exploration licenses in 1981 and for commercial recovery permits in 1989 and amended these regulations introducing a consolidated exploration license and commercial recovery permit application process in 2026. In parallel, the International Seabed Authority (“ISA”), which today comprises of 171 Member States and the European Union was established in 1994, pursuant to the United Nations Convention on the Law of the Sea (“UNCLOS”) to regulate deep seabed exploration and exploitation activities of the nationals of Member States. The ISA adopted exploration regulations in 2000 (amended in 2013 and 2014) and issued 19 polymetallic nodule exploration contracts (17 of which are located in the CCZ) but has not completed its adoption of the exploitation regulations, standards and guidelines despite initiating work in 2014, and despite being under an obligation to do so by July 2023. Almost 30 countries, including the United States, have not ratified UNCLOS and are not Member States of the ISA. The United States has remained a persistent objector to Part XI of UNCLOS which governs seabed mining in the Area.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DSHMRA provides a viable and robust regulatory path to commercial production, distinct from the ISA regime under UNCLOS, which despite expectations to the contrary, has repeatedly failed to adopt the regulations and standards and guidelines for the exploitation of mineral resources in the Area. On April 24, 2025, the Executive Order 14825, titled “Unleashing America’s Offshore Critical Minerals and Resources” directed the Secretary of Commerce to implement an expedited process for reviewing and issuing seabed mineral exploration licenses and commercial recovery permits under DSHMRA. In addition to directing the International Development Finance Corporation, Export-Import Bank and Trade and Development Agency to identify tools to support this new industry, the Executive Order instructed the Departments of War and Energy to assess the use of the National Defense Stockpile for nodule-derived materials and entering into offtake agreements for these minerals. These departments were also directed to review and support domestic processing capabilities for seabed mineral resources.</w:t>
      </w:r>
    </w:p>
    <w:p>
      <w:pPr>
        <w:pStyle w:val="TextBody"/>
        <w:bidi w:val="0"/>
        <w:spacing w:lineRule="auto" w:line="240" w:before="0" w:after="240"/>
        <w:ind w:left="0" w:right="0" w:firstLine="360"/>
        <w:jc w:val="left"/>
        <w:rPr>
          <w:rFonts w:ascii="Times New Roman;Times;serif" w:hAnsi="Times New Roman;Times;serif"/>
          <w:sz w:val="20"/>
        </w:rPr>
      </w:pPr>
      <w:r>
        <w:rPr>
          <w:rFonts w:ascii="Times New Roman;Times;serif" w:hAnsi="Times New Roman;Times;serif"/>
          <w:sz w:val="20"/>
        </w:rPr>
        <w:t>We continue focusing on advancing our commercial production strategy under the DSHMRA regime. In April 2025, our wholly owned subsidiary, The Metals Company USA, LLC (“TMC USA”), submitted two exploration license applications (covering 187,017 square kilometers in the CCZ referred to as TMC USA-A and TMC USA-B) and one commercial recovery permit application (covering 25,160 square kilometers in the CCZ referred to as TMC USA-A) to NOAA. Following the introduction of the consolidated application process by NOAA in January 2026, TMC USA submitted a consolidated exploration license and commercial recovery permit application covering approximately 65,000 km², representing a significant expansion from the approximately 25,160 km² commercial recovery area in the initial April 2025 application, with an estimated resource of 619 million wet tonnes (Mt) of polymetallic nodules with additional potential exploration upside. On April 28, 2026, NOAA determined that the consolidated application is in full compliance with the applicable requirements under DSHMRA, and the application has advanced to the certification review stage. Final permit issuance remains subject to the completion of the certification stage</w:t>
      </w:r>
      <w:r>
        <w:rPr>
          <w:rFonts w:ascii="Times New Roman;Times;serif" w:hAnsi="Times New Roman;Times;serif"/>
          <w:sz w:val="15"/>
        </w:rPr>
        <w:t>1</w:t>
      </w:r>
      <w:r>
        <w:rPr>
          <w:rFonts w:ascii="Times New Roman;Times;serif" w:hAnsi="Times New Roman;Times;serif"/>
          <w:sz w:val="20"/>
        </w:rPr>
        <w:t xml:space="preserve"> (including interagency consultation) and an environmental review, including preparation of an Environmental Impact Statement. The application areas in total, including the TMC USA-A and TMC USA-B exploration license areas, are estimated to hold approximately 1.639 billion wet tonnes of measured, indicated and inferred mineral resources. Together, the mineral resources are estimated to contain approximately 15.5 million tonnes of nickel, 12.8 million tonnes of copper, 2.0 million tonnes of cobalt, and 345 million tonnes of manganese .</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While TMC USA pursues the U.S. regulatory pathway, our wholly owned subsidiaries, Nauru Ocean Resources Inc. (“NORI”) and Tonga Offshore Mining Limited (“TOML”), continue to maintain their ISA contracts and comply with all of their contractual obligations under the ISA system. The ISA has an ongoing inquiry into the possible non-compliance of NORI and TOML with their exploration contracts, which they dispute. See “Legal Proceedings” in Item 1 of Part II of this Quarterly Report on Form 10-Q. While the ISA does not have jurisdiction over activities conducted by U.S. citizens under the regulatory authority of the United States, NORI and TOML maintain two ISA exploration contracts in the CCZ. NORI is sponsored by the Republic of Naoero, formerly known as the Republic of Nauru (“Naoero” or “Nauru”)</w:t>
      </w:r>
      <w:r>
        <w:rPr>
          <w:rFonts w:ascii="Times New Roman;Times;serif" w:hAnsi="Times New Roman;Times;serif"/>
          <w:sz w:val="15"/>
        </w:rPr>
        <w:t>2</w:t>
      </w:r>
      <w:r>
        <w:rPr>
          <w:rFonts w:ascii="Times New Roman;Times;serif" w:hAnsi="Times New Roman;Times;serif"/>
          <w:sz w:val="20"/>
        </w:rPr>
        <w:t>, and TOML is sponsored by the Kingdom of Tonga (“Tonga”). Operations of NORI and TOML in the CCZ are being conducted under their ISA exploration contracts.</w:t>
      </w:r>
    </w:p>
    <w:p>
      <w:pPr>
        <w:pStyle w:val="TextBody"/>
        <w:bidi w:val="0"/>
        <w:spacing w:lineRule="auto" w:line="240" w:before="0" w:after="240"/>
        <w:ind w:left="0" w:right="0" w:hanging="0"/>
        <w:jc w:val="both"/>
        <w:rPr>
          <w:rFonts w:ascii="Times New Roman;Times;serif" w:hAnsi="Times New Roman;Times;serif"/>
          <w:sz w:val="16"/>
        </w:rPr>
      </w:pPr>
      <w:r>
        <w:rPr>
          <w:rFonts w:ascii="Times New Roman;Times;serif" w:hAnsi="Times New Roman;Times;serif"/>
          <w:sz w:val="12"/>
        </w:rPr>
        <w:t>1</w:t>
      </w:r>
      <w:r>
        <w:rPr>
          <w:rFonts w:ascii="Times New Roman;Times;serif" w:hAnsi="Times New Roman;Times;serif"/>
          <w:sz w:val="16"/>
        </w:rPr>
        <w:t xml:space="preserve"> Certification under DSHMRA and its implementing regulations is an intermediate determination by the NOAA Administrator confirming an applicant’s eligibility (based on financial responsibility, technological capability, prior obligations, and plan adequacy) for an exploration license or commercial recovery permit, but it is not the final issuance of that license or permit.</w:t>
      </w:r>
    </w:p>
    <w:p>
      <w:pPr>
        <w:pStyle w:val="TextBody"/>
        <w:bidi w:val="0"/>
        <w:spacing w:lineRule="auto" w:line="240" w:before="0" w:after="240"/>
        <w:ind w:left="0" w:right="0" w:hanging="0"/>
        <w:jc w:val="both"/>
        <w:rPr>
          <w:rFonts w:ascii="Times New Roman;Times;serif" w:hAnsi="Times New Roman;Times;serif"/>
          <w:sz w:val="16"/>
        </w:rPr>
      </w:pPr>
      <w:r>
        <w:rPr>
          <w:rFonts w:ascii="Times New Roman;Times;serif" w:hAnsi="Times New Roman;Times;serif"/>
          <w:sz w:val="12"/>
        </w:rPr>
        <w:t>2</w:t>
      </w:r>
      <w:r>
        <w:rPr>
          <w:rFonts w:ascii="Times New Roman;Times;serif" w:hAnsi="Times New Roman;Times;serif"/>
          <w:sz w:val="16"/>
        </w:rPr>
        <w:t xml:space="preserve"> In July 2026, the Republic of Nauru officially changed its name to the Republic of Naoero, restoring the country’s traditional Indigenous name to more faithfully reflect its heritage, language and national identity.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have key strategic partnerships with (i) Allseas, a leading global offshore engineering contractor, which developed and tested a pilot collection system, and is now modifying it into the first commercial production system, (ii) Pacific Metals Co. Ltd. (“PAMCO”), an experienced Japanese ferronickel producer, which has completed pre-feasibility and feasibility studies on nodule processing at their smelting facilities in Hachinohe, Japan, (iii) Korea Zinc, a world leader in non-ferrous metal refining and precursor Cathode Active Material (“pCAM”) technology, partnering to advance development in the U.S., (iv) Mariana Minerals, an American software-first mineral developer and operator working as part of TMC USA’s owners’ team to accelerate the development of potential domestic onshore processing and refining facilities (“Mariana”) and (v) Glencore International AG (“Glencore”) which holds offtake rights to 50% of the NORI nickel and copper production if produced from a TMC-owned or controlled facility. In addition, we are working with engineering firm Hatch Ltd. (“Hatch”) and consultants Kingston Process Metallurgy Inc. (“KPM”) to develop, test and engineer a near-zero solid waste flowsheet. The primary processing stages of the flowsheet from nodule to NiCuCo matte intermediate were demonstrated as part of our pilot plant program at FLSmidth facilities in Pennsylvania, USA and XPS’ (Glencore subsidiary) facilities in Ontario, Canada; and later at industrial scale at PAMCO’s facilities in Hachinohe, Japan. The matte refining stages have been tested at an SGS facility in Lakefield Canada with positive results. The near-zero solid waste flowsheet provides a design that is expected to serve as the basis for our onshore processing facilities. In addition to the flowsheet scope, Hatch was engaged to conduct a PFS refresh for our potential onshore processing and refining in the United States. </w:t>
      </w:r>
      <w:r>
        <w:rPr>
          <w:rFonts w:ascii="Times New Roman;Times;serif" w:hAnsi="Times New Roman;Times;serif"/>
          <w:color w:val="0A0A0A"/>
          <w:sz w:val="20"/>
        </w:rPr>
        <w:t>On March 19, 2026, we signed a Strategic Partnership Agreement with Mariana focusing on the potential development of a nodule processing and refining facility in the Port of Brownsville, Texas as part of our owner’s team.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reach our objective and initiate commercial production, we are working to: (i) further refine our project economics, (ii) completed the development and commission a commercial offshore nodule collection system, (iii) continue to assess the environmental, social and cultural impacts of offshore nodule collection, and (iv) secure existing foreign and/or develop new domestic U.S. onshore facilities to process collected polymetallic nodules into a manganese silicate product, an intermediate nickel-copper-cobalt matte product and end-products of nickel, cobalt and copper metal.</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Developments in the Second Quarter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Below are some of the major developments that occurred in the second quarter of 2026:</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NOAA Certifies TMC USA’s USA-B Exploration License Application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28, 2026, NOAA formally certified the USA-B exploration license application submitted by our U.S. subsidiary, TMC USA, representing another key milestone in the regulatory approval process. Following certification, NOAA will begin preparation of an Environmental Impact Statement (EIS) for TMC USA’s planned exploration activities in the USA-B area. The USA-B application area covers ~122,000 km2 of seafloor and hosts an estimated 1.02 billion tonnes of polymetallic nodules based upon TMC’s Technical Report Summary for the Initial Assessment published in August 2025.</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TMC and Allseas Sign Commercial Agreement for the First Offshore Nodule Recovery Operation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11, 2026, we announced that we had signed a Contract for Development Work and Commercial Production with our strategic partner and investor Allseas, a global leader in offshore pipeline installation, heavy lift and subsea construction, for the development, commissioning and operation of the first commercial polymetallic nodule collection system. The agreement establishes the commercial framework for advancing offshore nodule recovery operations and builds on the successful pilot collection test completed in 2022. The commercial system is expected to have a nameplate production capacity of 3.0 million wet tonnes of nodules per annum, with commissioning targeted to begin in the fourth quarter of 2027, subject to regulatory approvals.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NOAA Determines TMC USA’s Consolidated Deep-Seabed Mining Application for USA-A Area is in Full Compliance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April 28, 2026, NOAA determined that the consolidated application by our subsidiary, TMC USA, for an exploration license and commercial recovery permit for the USA-A area under DSHMRA is in full compliance with the requirements of the Act and its implementing regulations, marking a key step in the U.S. regulatory and permitting process. The news follows the earlier determination of substantial compliance on March 6, 2026, and represents another step along the path of regulatory milestones.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TMC Subsidiaries Submit Massive Deep-Sea Dataset to Public Database as Company Launches Video Series on Findings of Environmental Research</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April 15, 2026, we announced that our subsidiaries, NORI and TOML, had submitted extensive environmental datasets to the ISA’s DeepData database, covering a decade of exploration activities in the Clarion Clipperton Zone (CCZ). The submission includes data from 777 equipment deployments and more than 4,800 distinct environmental samples, generating approximately 76,000 biological records and 69,185 geochemical data points across the full water column and seafloor environment. Key findings are showcased in a new video series demonstrating how the data addresses environmental concerns and how innovation has reduced the impact footprint of TMC’s collection system versus legacy technology.</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The Metals Royalty Co. (Nasdaq: TMCR) Begins Public Trading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April 8, 2026, The Metals Royalty Co. began public trading (Nasdaq: TMCR). TMCR has a 2.0% Gross Overriding Royalty (GORR) on the NORI area from a 2023 transaction which was previously announced. As part of the agreement, TMC was granted an equity stake in TMCR, which at that time represented approximately 25% of TMCR’s outstanding equity. TMC retains the right to repurchase up to 75% of the NORI Royalty at an agreed capped return, exercisable in two transactions, between the second and the tenth anniversary of the agreement. If both repurchase transactions are executed, TMCR’s remaining gross overriding royalty on the NORI project revenue will be 0.5%.</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Developments Subsequent to June 30, 2026</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International Tribunal for the Law of the Sea Unanimously Orders ISA to Respect NORI and TOML’s Due Process Rights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July 18, 2026, the Seabed Disputes Chamber of the International Tribunal for the Law of the Sea prescribed provisional measures in the proceedings brought by our subsidiaries NORI and TOML against the ISA. In the first contentious case ever decided by the Chamber under Part XI of UNCLOS, the Chamber unanimously found that it has jurisdiction on a prima facie basis, that the rights asserted by NORI and TOML to due process and fair treatment are plausible, and that those rights are at real and imminent risk of irreparable prejudice. The measures require the ISA to act in accordance with the applicable legal framework, including rules of due process, and to provide NORI and TOML the information they need to respond meaningfully. The Chamber did not order the suspension of the inquiries that NORI and TOML had requested. The orders do not prejudge the merits which remain to be determined. For a description of these proceedings, see Note 17 to our unaudited condensed consolidated interim financial statements and “Legal Proceedings” in Item 1 of Part II of this Quarterly Report on Form 10-Q.</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NORI Obtains Exploration Contract Extension from the ISA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July 20, 2026, the Council of the ISA approved a five-year extension of NORI’s exploration contract, effective July 22, 2026 and expiring July 21, 2031.</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approval is without prejudice to any findings or recommendations arising from the ISA’s inquiry into possible non-compliance.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TOML Applies to the ISA for an Extension of its Exploration Contract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July 10, 2026, TOML applied to the ISA for a five-year extension of its exploration contract, which is due to expire on January 11, 2027. The ISA’s Legal and Technical Commission (“LTC”) is scheduled to consider the application in February and March 2027. Because that is after the contract’s expiry date, TOML expects the contract to be deemed extended from January 12, 2027 under the transitional provision of the ISA’s extension procedures until the Council is able to act on the Commission’s recommendation.</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TMC USA Executes a Master Services Agreement with Mariana Minerals Co.</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July 21, 2026, TMC USA entered into a Master Services Agreement (“MSA”) with Mariana Minerals Co. for project development services for a phased program commencing with mobilization and concept development, for the proposed development of a U.S.-based polymetallic nodule processing and refining industry park. The parties are finalizing the first work release under this MSA for the technical design activities required to establish plant feasibility, design basis and a tradeoff and opportunity assessment program for Phase 1, Stage 1 of the proposed onshore nodule processing facility in the Port of Brownsville, Texas.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 of Mining of Deep-Sea Polymetallic Nodules by the United States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Deep Seabed Hard Mineral Resources Act of 1980 (“DSHMRA”)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DSHMRA establishes a domestic legal regime for U.S. citizens to explore for and commercially recover hard mineral resources from the seabed in areas beyond U.S. national jurisdiction. DSHMRA affirms that deep-sea mining is a lawful exercise of the freedoms of the high seas, subject to a duty of reasonable regard to the interests of other states in their exercise of those and other freedoms recognized by the general principles of international law, and provides a regulatory structure administered by NOAA, an agency under the U.S. Department of Commerce. DSHMRA’s implementing regulations detail the criteria and conditions for NOAA’s issuance of deep seabed exploration licenses and commercial recovery permits to U.S. citizens, including any individual, corporation, or other entity organized under the laws of a U.S. state or territory.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purpose of DSHMRA is to promote the development of seabed minerals by U.S. citizens while ensuring environmental protection, avoidance of conflict with other high seas uses, and consistency with international law. Before any license or permit is issued, NOAA must determine that the proposed activities meet a series of statutory requirements, including that the activity: (i) will not unreasonably interfere with the lawful use of the high seas by other states; (ii) is consistent with U.S. foreign policy and international obligations; (iii) does not create a risk to international peace and security; (iv) is not expected to result in significant adverse environmental effects; and (v) does not pose undue risk to the safety of life or property at sea. These findings reflect NOAA’s mandate of advancing U.S. commercial interests in seabed minerals while minimizing environmental, diplomatic and safety risks.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NOAA has historically adopted a cautious and science-based regulatory approach under DSHMRA, coordinating with other U.S. federal agencies and supporting environmental studies to inform future decisions. In the 1980s and 1990s, the United States entered into reciprocal recognition arrangements with other nations with similar domestic seabed mining laws, in order to avoid overlapping claims prior to the establishment of the ISA. Once the ISA became operational in the 1990s, most reciprocating states transitioned to the UNCLOS/ISA regime. The United States, however, remains outside that framework.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Exploration licenses under DSHMRA grant exclusive rights to conduct technical studies in a defined area and are issued for ten-year terms, subject to extension. Commercial recovery permits authorize full-scale extraction for a period of 20 years subject to extension and enhanced environmental and operational requirements. To date, NOAA has issued exploration licenses over four areas.  Two of these licenses (USA-1 and USA-4) remain active and are currently held by Lockheed Martin. These licenses have been renewed until 2027 in accordance with DSHMRA’s statutory provisions, which require NOAA to grant extensions if the licensee has substantially complied with license terms.  NOAA has not issued any commercial recovery permits under DSHMRA as no U.S. citizen had applied for a commercial recovery permit prior to TMC USA.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review process under DSHMRA involves three stages: (i) a determination that the application is in compliance with applicable requirements; (ii) certification of the applicant and the proposed program; and (iii) an environmental review and determination of terms and conditions. The certification process includes an interagency consultation with other U.S. government departments (including the Department of State, the Department of War, and the Environmental Protection Agency). Following certification, an Environmental Impact Statement, or EIS, is expected to be prepared, and a public comment period, including a public hearing, will be provided. Following the public comment period, NOAA will determine whether to issue the requested licenses and permit, and if so, under what terms and conditions. All licenses and permits issued under DSHMRA are subject to oversight, periodic reporting, and potential suspension or revocation for noncompliance.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DSHMRA and its implementing regulations do not include a statutory deadline for application review. However, the Executive Order signed by President Trump on April 24, 2025, directs the Secretary of Commerce to implement an expedited process for reviewing and issuing licenses and permits under DSHMRA.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DSHMRA’s implementing regulations for commercial recovery permits requires that all mining vessels and at least one transport vessel be U.S.-flagged (15 C.F.R. § 971.205). TMC USA will ensure all vessels contracted for commercial recovery comply with relevant laws pertaining to vessel standards and crew safety. DSHMRA’s implementing regulations for commercial recovery permits also require that recovered minerals be processed in the United States unless a waiver is granted, in which case the permittee is required to provide assurances that processed materials are returned to the United States (15 C.F.R. § 971.209). We are currently evaluating U.S.-based vessel and processing options to satisfy this requirement as well as working with Japan and South Korea-based supply chains to ensure processed materials can be returned to the United States in the event the permit to process outside the United States is granted for an initial period. If necessary, we expect to seek a waiver based on the statutory criteria and applicable regulations.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expect to become subject to additional U.S. laws and regulations as development progresses and are in the early stages of analyzing their applicability and potential impact on our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Existing ISA Exploration Contracts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NORI and TOML currently hold exploration rights to certain polymetallic nodule areas in the CCZ, sponsored by the Republic of Naoero and the Kingdom of Tonga,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NORI, our wholly-owned subsidiary, holds exploration rights to four blocks (NORI Area A, B, C, and D, the “NORI Contract Area”) covering 74,830 square kilometers in the CCZ that were granted by the ISA in July 2011. That contract was concluded on July 22, 2011 for an initial term of 15 years and, following Council approval on July 20, 2026, has been extended to July 21, 2031. NORI is sponsored by Naoero pursuant to a certificate of sponsorship signed by the Government of Naoero on April 11, 2011. In September 2017, Naoero and NORI entered into a sponsorship agreement formalizing certain obligations of the parties in relation to NORI’s exploration and potential collection of nodules in the NORI Contract Area, which was revised in May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TOML, our wholly-owned subsidiary which we acquired in March 2020, holds exploration rights to an area covering 74,713 square kilometers in the CCZ that were granted by the ISA in January 2012 (the “TOML Contract Area”). That contract was concluded on January 11, 2012 for an initial term of 15 years and is due to expire on January 11, 2027. TOML has applied for a five-year extension, which the ISA’s LTC is scheduled to consider in February and March 2027. On March 8, 2008, Tonga and TOML entered into a sponsorship agreement formalizing certain obligations of the parties in relation to TOML’s exploration and potential collection of nodules in the TOML Contract Area, which was most recently revised in August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ISA has an ongoing inquiry into the possible non-compliance of NORI and TOML with their respective exploration contracts. NORI and TOML maintain that they have complied and have commenced proceedings before the Seabed Disputes Chamber challenging the process of that inquiry. An adverse outcome could affect their exploration contracts and their ability to obtain contracts for exploitation from the ISA. See Note 17 to our unaudited condensed consolidated interim financial statements and “Risk Factors” in Item 1A of Part II of this Quarterly Report on Form 10-Q.</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Key Trends, Opportunities and Uncertainties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currently a pre-revenue company, and we do not anticipate earning revenues (other than potential service revenue) until one of our wholly-owned subsidiaries receives an exploitation contract or commercial recovery permit and we are able to successfully collect and process polymetallic nodules into saleable products on a commercial scale. We believe that our performance and future success are subject to risks and challenges, including those related to the final issuance of a commercial recovery permit by NOAA, development of environmental terms, conditions and restrictions associated with our application and development of our technologies to collect and process polymetallic nodules. While NOAA has determined that our consolidated application is in full compliance with the applicable requirements under DSHMRA (a procedural milestone that advances the application to the certification review stage), this determination does not constitute, and should not be construed as, a grant or approval of the requested licenses or commercial recovery permit. The permit issuance remains subject to the successful completion of all remaining review stages under DSHMRA, including certification (with interagency consultation), preparation of an Environmental Impact Statement, a public comment period, and NOAA’s final determination as to whether to issue the licenses and permit and, if so, under what terms and conditions. The timing of NOAA’s final decision remains uncertain and is outside the Company’s control. Actual timelines for certification, environmental review and potential issuance of licenses or permits may differ materially from management’s current expectations.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an adverse outcome in the ISA’s inquiry into NORI’s and TOML’s possible non-compliance with their exploration contracts, or a failure by the ISA to extend TOML’s exploration contract, could adversely affect our rights under the ISA regime. These risks, as well as other risks, are discussed in the section entitled “</w:t>
      </w:r>
      <w:r>
        <w:rPr>
          <w:rFonts w:ascii="Times New Roman;Times;serif" w:hAnsi="Times New Roman;Times;serif"/>
          <w:i/>
          <w:sz w:val="20"/>
        </w:rPr>
        <w:t>Risk Factors</w:t>
      </w:r>
      <w:r>
        <w:rPr>
          <w:rFonts w:ascii="Times New Roman;Times;serif" w:hAnsi="Times New Roman;Times;serif"/>
          <w:sz w:val="20"/>
        </w:rPr>
        <w:t>” in Item 1A of Part I of the 2025 Annual Report on Form 10-K, as filed with the SEC, and in Item 1A of Part II of this Quarterly Report on Form 10-Q.</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currently conduct our business through one operating segment. As a pre-revenue company with no commercial operations, our activities to date have been limited. Our results are reported under Generally Accepted Accounting Principles in the United States (“U.S. GAAP”) and in U.S. dollars.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Components of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in the development stage with no revenue to date and a net loss of $60.1 million and $80.7 million for the three and six months ended June 30, 2026, compared to a net loss of $74.3 million and $94.9 million in the same periods of 2025. We have an accumulated deficit of approximately $1,032 million from inception through June 30,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align our operating expenses based on activity performed by our personnel, which allocates these costs under Exploration and Evaluation expenses and General and Administrative expenses. This alignment is adjusted throughout the year to reflect changes in business activities.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date, we have not generated any revenue. We expect to generate revenue once we receive a commercial recovery permit and we are able to successfully collect and process polymetallic nodules into saleable products on a commercial scale. Any revenue from initial production is difficult to predict.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Exploration and Evaluation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expense as incurred all costs relating to exploration and development of mineral claims. Such exploration and development costs include, but are not limited to, regulatory approvals, exploration mineral title management, geological, geochemical and geophysical studies, environmental baseline studies and process development activities. Our exploration expenses are impacted by the amount of exploration work conducted during each period. The acquisition cost of polymetallic nodule mineral title will be charged to operations as amortization expense on a unit-of-production method based on proven and probable reserves should commercial production commence in the future.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(“G&amp;A”) expenses consist primarily of compensation for employees, consultants and directors, including wages and salaries, share-based compensation, consulting fees, investor relations expenses, expenses related to advertising and marketing functions, insurance costs, office and sundry expenses, professional fees (including legal, audit and tax fees), travel expenses and transfer and filing fees.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Share-based compensation costs from the issuance of stock options and restricted share units (“RSUs”) are measured at the grant date based on the fair value of the award and are recognized over the related service period. Share-based compensation costs are charged to exploration expenses and general and administrative expenses depending on the function fulfilled by the holder of the award. In instances where an award is issued for financing related services, the costs are included within equity as part of the financing costs. We recognize forfeiture of any awards as they occur.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Income/Expense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income consists primarily of interest earned on our cash balance.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Fees and Interest on Borrowings and Credit Facilities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Fees and interest on borrowings and credit facilities represent interest charged on our short-term debt and interest and underutilization fees associated with our credit facilities.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Foreign Exchange Loss/Gain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foreign exchange income or loss for the periods reported primarily relates to unrealized gain or loss due to revaluation of foreign-denominated accounts payable and accrued liabilities.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 in Fair Value of Warrant Liability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change in fair value of warrant liability primarily consists of the change in the fair value of the 9,500,000 Private Warrants issued to Sustainable Opportunities Holdings LLC concurrently with Sustainable Opportunities Acquisition Corp.’s (“SOAC”) initial public offering (the “Private Warrants”). For accounting purposes, we were considered to have issued the Private Warrants as part of the Business Combination, and we are required to re-measure the fair value of our Private Warrants at the end of each reporting period.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is a discussion of our results of operations for the three and six months ended June 30, 2026 and 2025. Our accounting policies are described in Note 3 “Significant Accounting Policies” in our financial statements filed as part of the 2025 Annual Report on Form 10-K.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Three and Six Ended June 30, 2026 and 2025</w:t>
      </w:r>
    </w:p>
    <w:tbl>
      <w:tblPr>
        <w:tblW w:w="10205" w:type="dxa"/>
        <w:jc w:val="left"/>
        <w:tblInd w:w="0" w:type="dxa"/>
        <w:tblLayout w:type="fixed"/>
        <w:tblCellMar>
          <w:top w:w="0" w:type="dxa"/>
          <w:left w:w="0" w:type="dxa"/>
          <w:bottom w:w="0" w:type="dxa"/>
          <w:right w:w="0" w:type="dxa"/>
        </w:tblCellMar>
      </w:tblPr>
      <w:tblGrid>
        <w:gridCol w:w="2367"/>
        <w:gridCol w:w="346"/>
        <w:gridCol w:w="211"/>
        <w:gridCol w:w="753"/>
        <w:gridCol w:w="346"/>
        <w:gridCol w:w="211"/>
        <w:gridCol w:w="676"/>
        <w:gridCol w:w="346"/>
        <w:gridCol w:w="871"/>
        <w:gridCol w:w="346"/>
        <w:gridCol w:w="211"/>
        <w:gridCol w:w="753"/>
        <w:gridCol w:w="346"/>
        <w:gridCol w:w="211"/>
        <w:gridCol w:w="676"/>
        <w:gridCol w:w="346"/>
        <w:gridCol w:w="871"/>
        <w:gridCol w:w="318"/>
      </w:tblGrid>
      <w:tr>
        <w:trPr/>
        <w:tc>
          <w:tcPr>
            <w:tcW w:w="236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78155" cy="175260"/>
                      <wp:effectExtent l="0" t="0" r="0" b="0"/>
                      <wp:wrapNone/>
                      <wp:docPr id="183" name="Frame183"/>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4"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5"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29260" cy="175260"/>
                      <wp:effectExtent l="0" t="0" r="0" b="0"/>
                      <wp:wrapNone/>
                      <wp:docPr id="186" name="Frame18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7"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53085" cy="175260"/>
                      <wp:effectExtent l="0" t="0" r="0" b="0"/>
                      <wp:wrapNone/>
                      <wp:docPr id="188" name="Frame188"/>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9"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3985" cy="175260"/>
                      <wp:effectExtent l="0" t="0" r="0" b="0"/>
                      <wp:wrapNone/>
                      <wp:docPr id="190" name="Frame1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78155" cy="175260"/>
                      <wp:effectExtent l="0" t="0" r="0" b="0"/>
                      <wp:wrapNone/>
                      <wp:docPr id="191" name="Frame191"/>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92"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3"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29260" cy="175260"/>
                      <wp:effectExtent l="0" t="0" r="0" b="0"/>
                      <wp:wrapNone/>
                      <wp:docPr id="194" name="Frame19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5"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53085" cy="175260"/>
                      <wp:effectExtent l="0" t="0" r="0" b="0"/>
                      <wp:wrapNone/>
                      <wp:docPr id="196" name="Frame19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1930" cy="175260"/>
                      <wp:effectExtent l="0" t="0" r="0" b="0"/>
                      <wp:wrapNone/>
                      <wp:docPr id="197" name="Frame197"/>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6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14"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center"/>
              <w:rPr/>
            </w:pPr>
            <w:r>
              <w:rPr/>
              <w:t>​</w:t>
            </w:r>
          </w:p>
        </w:tc>
        <w:tc>
          <w:tcPr>
            <w:tcW w:w="3414"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18" w:type="dxa"/>
            <w:tcBorders/>
            <w:vAlign w:val="center"/>
          </w:tcPr>
          <w:p>
            <w:pPr>
              <w:pStyle w:val="TableContents"/>
              <w:bidi w:val="0"/>
              <w:spacing w:before="0" w:after="0"/>
              <w:ind w:left="0" w:right="0" w:hanging="0"/>
              <w:jc w:val="left"/>
              <w:rPr/>
            </w:pPr>
            <w:r>
              <w:rPr/>
              <w:t>​</w:t>
            </w:r>
          </w:p>
        </w:tc>
      </w:tr>
      <w:tr>
        <w:trPr/>
        <w:tc>
          <w:tcPr>
            <w:tcW w:w="236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14"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3414"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18" w:type="dxa"/>
            <w:tcBorders/>
            <w:vAlign w:val="center"/>
          </w:tcPr>
          <w:p>
            <w:pPr>
              <w:pStyle w:val="TableContents"/>
              <w:bidi w:val="0"/>
              <w:spacing w:before="0" w:after="0"/>
              <w:ind w:left="0" w:right="0" w:hanging="0"/>
              <w:jc w:val="left"/>
              <w:rPr/>
            </w:pPr>
            <w:r>
              <w:rPr/>
              <w:t>​</w:t>
            </w:r>
          </w:p>
        </w:tc>
      </w:tr>
      <w:tr>
        <w:trPr/>
        <w:tc>
          <w:tcPr>
            <w:tcW w:w="2367"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 amounts in thousands, except as noted)</w:t>
            </w:r>
          </w:p>
        </w:tc>
        <w:tc>
          <w:tcPr>
            <w:tcW w:w="346" w:type="dxa"/>
            <w:tcBorders/>
            <w:vAlign w:val="center"/>
          </w:tcPr>
          <w:p>
            <w:pPr>
              <w:pStyle w:val="TableContents"/>
              <w:bidi w:val="0"/>
              <w:spacing w:before="0" w:after="0"/>
              <w:ind w:left="0" w:right="0" w:hanging="0"/>
              <w:jc w:val="center"/>
              <w:rPr/>
            </w:pPr>
            <w:r>
              <w:rPr/>
              <w:t>  ​ ​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Change</w:t>
            </w:r>
          </w:p>
        </w:tc>
        <w:tc>
          <w:tcPr>
            <w:tcW w:w="346" w:type="dxa"/>
            <w:tcBorders/>
            <w:vAlign w:val="center"/>
          </w:tcPr>
          <w:p>
            <w:pPr>
              <w:pStyle w:val="TableContents"/>
              <w:bidi w:val="0"/>
              <w:spacing w:before="0" w:after="0"/>
              <w:ind w:left="0" w:right="0" w:hanging="0"/>
              <w:jc w:val="center"/>
              <w:rPr/>
            </w:pPr>
            <w:r>
              <w:rPr/>
              <w:t>  ​ ​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Change</w:t>
            </w:r>
          </w:p>
        </w:tc>
        <w:tc>
          <w:tcPr>
            <w:tcW w:w="318" w:type="dxa"/>
            <w:tcBorders/>
            <w:vAlign w:val="center"/>
          </w:tcPr>
          <w:p>
            <w:pPr>
              <w:pStyle w:val="TableContents"/>
              <w:bidi w:val="0"/>
              <w:spacing w:before="0" w:after="0"/>
              <w:ind w:left="0" w:right="0" w:hanging="0"/>
              <w:jc w:val="left"/>
              <w:rPr/>
            </w:pPr>
            <w:r>
              <w:rPr/>
              <w:t>​</w:t>
            </w:r>
          </w:p>
        </w:tc>
      </w:tr>
      <w:tr>
        <w:trPr/>
        <w:tc>
          <w:tcPr>
            <w:tcW w:w="23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Exploration and evaluation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56,088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10,496</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69,345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20,011</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15,629</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11,479</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36,354</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19,979</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Nauru warrant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33,079</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33,079</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 on Allseas settlement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7,868</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7,868</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Equity-accounted investment loss (income)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8,476</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Gain on dilution of investment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(18,469)</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(23,071)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16,229</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16,670</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loss (gain)</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2,461</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3,556</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Fees and interest on borrowings and credit facilities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1,379</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for the period after tax</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74,341</w:t>
            </w:r>
          </w:p>
        </w:tc>
        <w:tc>
          <w:tcPr>
            <w:tcW w:w="34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80,722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94,929</w:t>
            </w:r>
          </w:p>
        </w:tc>
        <w:tc>
          <w:tcPr>
            <w:tcW w:w="34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2"/>
        </w:rPr>
        <w:t xml:space="preserve">Three Months ended </w:t>
      </w:r>
      <w:r>
        <w:rPr>
          <w:rFonts w:ascii="Times New Roman;Times;serif" w:hAnsi="Times New Roman;Times;serif"/>
          <w:b/>
          <w:i/>
          <w:sz w:val="20"/>
        </w:rPr>
        <w:t>June 30, 2026</w:t>
      </w:r>
      <w:r>
        <w:rPr>
          <w:rFonts w:ascii="Times New Roman;Times;serif" w:hAnsi="Times New Roman;Times;serif"/>
          <w:sz w:val="20"/>
        </w:rPr>
        <w:t xml:space="preserve"> </w:t>
      </w:r>
      <w:r>
        <w:rPr>
          <w:rFonts w:ascii="Times New Roman;Times;serif" w:hAnsi="Times New Roman;Times;serif"/>
          <w:b/>
          <w:i/>
          <w:sz w:val="22"/>
        </w:rPr>
        <w:t xml:space="preserve">compared to Three Months ended </w:t>
      </w:r>
      <w:r>
        <w:rPr>
          <w:rFonts w:ascii="Times New Roman;Times;serif" w:hAnsi="Times New Roman;Times;serif"/>
          <w:b/>
          <w:i/>
          <w:sz w:val="20"/>
        </w:rPr>
        <w:t>June 30,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reported a net loss of approximately $60.1 million in the second quarter of 2026, compared to a net loss of $74.3 million in the same period of 2025.  The following explains the major reasons for the decrease in the net loss in the second quarter of 2026.</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Exploration and Evaluation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Exploration and evaluation expenses for the three months ended June 30, 2026 were $56.1 million, compared to $10.5 million for the same period in 2025. The increase of $45.6 million includes a total of $37.2 million for charges owed to Allseas recorded in the second quarter of 2026 following the signing of a development and operating agreement, which consists of $32.8 million for the settlement of initial costs and $4.4 million for other negotiated costs. The increase also reflects $3.9 million of higher ongoing development and operating costs to recognize the full charge of ongoing development, operating and vessel costs as compared to the same period in 2025. The remaining $4.5 million increase is due primarily to higher share-based compensation expense of $3.0 million due to the amortization of the fair value of RSUs granted to the officers in the third quarter of 2025 and an increase of $1.8 million in prefeasibility study costs related to the expanded scope of the prefeasibility study refresh. The increase was partially offset by lower environmental costs, as the scope of activities related to Campaign 8 was completed in the prior year.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G&amp;A expenses for the three months ended June 30, 2026 were $15.6 million compared to $11.5 million for the same period in 2025. The increase of $4.1 million in G&amp;A expenses was mainly due to the result of an increase in share-based compensation of $5.9 million due to the amortization of the fair value of RSUs granted to the directors and officers in the third quarter of 2025, higher amortization of the grant-date fair value of LTIP awards granted in 2026 and an increase in payroll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Nauru Warrant cost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three months ended June 30, 2025 and as part of the signing of a revised Sponsorship Agreement with the Government of the Republic of Naoero on May 29, 2025, we issued 9,146,268 warrants to the Republic to purchase common shares of the Company. We recorded the fair value of the Nauru Warrants, calculated using a Black-Scholes valuation model, which valued each warrant at $3.62 for a total value of $33.1 million. For further details on this non-recurring item, refer to Note 12 in the Company’s second quarter 2025 interim financial statements.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Charge on Allseas settlement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three months ended June 30, 2026 and as a result of the execution of the Agreement with Allseas (Note 6), we remeasured the share-settled obligation based on the contractual pricing mechanism, resulting in a $7.9 million charge representing the difference between the carrying amount of the obligation and the remeasured share-settled obligation.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Gain on Dilution of Investment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months ended June 30, 2026, The Metals Royalty Company issued a total of approximately 7 million common shares in relation to a financing offering, compensation expenses and a royalty purchase. The Company participated in the offering, acquiring 77,889 shares, resulting in a net decrease of its ownership interest from 27.2% to 22.4% (December 31, 2025: 27.2%). As the shares were issued at a price higher than The Metals Royalty Company’s book value per share, the Company recorded a non-operating, non-cash dilution gain of $18.5 million.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 in Fair Value of Warrant Liability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fair value of the 9,500,000 Private Warrants liability at June 30, 2026 of $0.5 million, represents a decrease of $2.2 million in the second quarter of 2026, results from the decrease in the price of the Company’s shares and the price of our public warrants over this same period (-24% and -57% respectively). Refer to Note 12 in the Company’s second quarter of 2026 interim financial statements for further details on this non-operating, non-cash decrease.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Fees and Interest on Borrowings and Credit Facilities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There were no outstanding drawn amounts under the Company’s credit facilities during the three months ended June 30, 2026, and no interest expense was incurred compared to $0.1 million interest expense in the same period of 2025. Underutilization fees on these facilities were $0.7 million for the second quarter of 2026, remaining unchanged from the same period in 2025. The second quarter of 2025 also included interest of $0.1 million on the Company’s short-term debt borrowings which were terminated in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operating loss was offset by interest income of $1.0 million reflecting higher cash balances beginning in the second quarter of 2025.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Six Months ended June 30, 2026 compared to Six Months ended June 30,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reported a net loss of $80.7 million in the first half of 2026, compared to a net loss of $94.9 million in the same period of 2025. The following explains the major reasons for the decrease in the net loss in the first half of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Exploration and Evaluation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Exploration and evaluation expenses for the six months ended June 30, 2026 were $69.3 million, compared to $20.0 million for the same period in 2025. The increase of $49.3 million includes a total of $37.2 million for charges owed to Allseas recorded in the second quarter of 2026 following the signing of a development and operating agreement, and an increase of $2.1 million to recognize the full charge of ongoing development, operating and vessel costs as compared to the comparative period in 2025. The remaining $10.0 million increase is due primarily to higher share-based compensation expense of $6.6 million due to the amortization of the fair value of RSUs granted to the officers in the third quarter of 2025, higher amortization of the grant-date fair value of LTIP awards granted in 2026, reflecting their higher grant-date fair value compared to LTIP awards granted during the same period in 2025, an increase of $3.7 million in prefeasibility study costs related to the expanded scope of the prefeasibility study refresh and higher payroll cost, partially offset by a decrease of $2.4 million on environmental studies as the scope of activities related to Campaign 8 were completed in the prior year and, accordingly, the associated costs did not recur in the current period.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G&amp;A expenses for the six months ended June 30, 2026, were $36.3 million, compared to $19.9 million for the same period in 2025. The increase of $16.4 million in G&amp;A expenses in the first half of 2026 was mainly the result of an increase in share-based compensation of $17.1 million due to amortization of the fair value of RSUs and options granted to the directors and officers in the third quarter of 2025, higher amortization of the grant-date fair value of LTIP awards granted in 2026, reflecting their higher grant-date fair value compared to LTIP awards granted during the same period in 2025 and an increase in payroll costs, partially offset by a decrease in professional and consulting costs of $1.8 million.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Nauru Warrant cost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first six months ended June 30, 2025, we recorded $33.1 million representing the fair value of common shares issued to the Government of the Republic of Naoero, as part of the signing of a revised Sponsorship Agreement on May 29, 2025. For further details on this non-recurring item, refer to Note 12 in the Company’s second quarter 2025 interim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Charge on Allseas settlement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first six months ended June 30, 2026 and as a result of the execution of the Agreement with Allseas (Note 6), we remeasured the share-settled obligation based on the contractual pricing mechanism, resulting in a $7.9 million charge representing the difference between the carrying amount of the obligation and the remeasured share-settled obligation.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Gain on Dilution of Investment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six months ended June 30, 2026, The Metals Royalty Company issued a total of approximately 11.1 million common shares primarily related to a financing offering, compensation expenses and a royalty purchase in the second quarter of 2026. The Company’s limited participation in the second quarter 2026 offering, resulted in a net decrease in its ownership interest from 27.2% to 22.4% (December 31, 2025: 27.2%) and the recording of a non-operating, non-cash dilution gain of $23.1 million, as the shares were issued at a price higher than The Metals Royalty Company’s book value per share.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 in Fair Value of Warrant Liability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significant movements in the fair value of the 9,500,000 Private Warrants liability in the first half of 2026 (decrease of $12.8 million) and 2025 (increase of $16.7 million), results from the significant movements in the price of the Company’s shares and the price of our public warrants, mainly over the same periods. Refer to Note 12 in the Company’s second quarter 2026 interim financial statements for further details on this non-operating, non-cash increase.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Interest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recorded interest income of $2.2 million in the first half of 2026 reflecting higher cash balances beginning in the second quarter of 2025. In the same period of 2025, interest income of $0.2 million was recorded.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primary sources of financing have come from private placements and public offerings of Common Shares and warrants, and the issuance of convertible debentures. As of June 30, 2026, we had cash on hand of $98.7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decrease in our cash balance of $21.0 million in the second quarter of 2026 included $9 million of withholdings related to equity awards collected at the end of March 2026 and remitted in early April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an exploitation contract for the NORI Area D and then the applications of exploration licenses and commercial recovery permits with NOAA under DSHMRA, and by negotiating the settlement of program expenditures with our equity whenever possible, and by utilizing existing assets for offshore and onshore production.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yet to generate any revenue from our business operations. We are a development company and the recovery of our investment in mineral exploration contracts and attainment of profitable operations are dependent upon many factors including, among other things, the development of a commercial production system for collecting polymetallic nodules from the seafloor as well as the development of our processing technology for the metallurgical treatment of such nodules, the establishment of additional mineable reserves, the demonstration of commercial and technical feasibility of seafloor polymetallic nodule collection and processing systems, metal prices, and securing approvals under the U.S. regulatory regime or ISA exploitation contracts or provisional approvals. While we have obtained financing in the past, there is no assurance that such financing will continue to be available on favorable terms, in sufficient amounts, or at all.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expect to incur significant expenses and operating losses for the foreseeable future, particularly as we advance our application to NOAA for a commercial recovery permit and prepare for potential commercialization. Based on our cash balance and availability of borrowing under our credit facility with ERAS Capital LLC and Gerard Barron, when compared with our forecasted cash expenditures, we believe we will have sufficient funds to meet our obligations that become due within the next twelve months. Our forecasted cash expenditures include amounts payable to Allseas under the Agreement, under which we are required to reimburse 50% of eligible development work costs as they are incurred, payable within ten business days of receipt of an invoice for amounts we have approved, with the remaining 50% deferred and repaid based on future production volumes. The Agreement permits us to defer or withhold approval of a work plan and budget to the extent we do not have sufficient financing or liquidity to fund the relevant work, in which case the affected work is treated as a permissible suspension under the Agreement. Our estimates used in reaching this conclusion are based on information available as at the date of filing this Quarterly Report. Accordingly, actual results could differ from these estimates and resulting variances may result in our need for additional funding in an amount greater or earlier than expected, due to changes in business conditions or other developments, including, but not limited to, deferral of approvals, capital and operating cost escalation, currently unrecognized technical and development challenges, our ability to pay certain vendors or suppliers in our Common Shares or changes in the external business environment.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will, however, need and are seeking additional financing to fund our continued operations over time. These financings could include additional public or private equity, debt financings, equity-linked financings or other sources of financing, including through government-based funding, non-dilutive asset, royalty or project-based and/or asset-based financings. If these or other financing sources are not available, or if the terms of financing are less desirable than we expect, or are available only in insufficient amounts, we may be forced to delay our exploration and/or exploitation activities or further scale back our operations, which could have a material adverse impact on our business and financial prospects.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September 16, 2022, we filed a registration statement on Form S-3 with the SEC, which the SEC declared effective on October 14, 2022, to sell up to $100 million of securities. In addition, on November 30, 2023, we filed an additional registration statement on Form S-3 with the SEC, which the SEC declared effective on December 8, 2023, to sell up to an additional $100 million of securities. As previously disclosed in 2025, remaining capacity on the two previously filed Form S-3s has been nearly extinguished following various equity and warrant transactions. We filed a new registration statement on Form S-3 on March 31, 2026, following the filing of our 2025 Annual Report. Securities that may be sold under the registration statements include common shares, preferred shares, debt securities, warrants and units. Any such offering, if it does occur, may happen in one or more transactions. Specific terms of any securities to be sold will be described in supplemental filings with the SEC.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December 22, 2022, we entered into an At-the-Market Equity Distribution Agreement (the “Sales Agreement”) with Stifel, Nicolaus &amp; Company, Incorporated (“Stifel”) and Wedbush Securities Inc., as sales agents, allowing us, from time to time, to issue and sell common shares with an aggregate offering price of up to $30 million. In 2025, we issued 7,542,996 common shares at an average share price of $2.02, for net proceeds of $14.8 million under the Sales Agreement. The Sales Agreement expired in October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22, 2023, we entered into the 2023 Credit Facility with Argentum Cedit Virtuti GCV, the parent of Allseas Investments S.A. and an affiliate of Allseas, which was amended on July 31, 2023 and March 22, 2024, pursuant to which we were able to borrow from the Lender up to $25 million in the aggregate, from time to time, subject to certain conditions. All amounts drawn under the 2023 Credit Facility bore interest at the 6-month SOFR, 180-day average plus 4.0% per annum payable in cash semi-annually (or plus 5% if paid-in-kind at maturity, our election) on the first business day of each of June and January. We agreed to pay an underutilization fee equal to 4.0% per annum payable semi-annually for any amounts that remain undrawn under the 2023 Credit Facility. We had the right to pre-pay the entire amount outstanding under the 2023 Credit Facility at any time, before the 2023 Credit Facility’s stated maturity of August 31, 2025. The 2023 Credit Facility also contained customary events of default. No amounts had been drawn under the 2023 Credit Facility. Pursuant to the Letter Agreement we entered into on March 24, 2025, we and Argentum Cedit Virtuti GCV agreed to cancel the 2023 Credit Facility with no outstanding amounts remaining, other than our obligation to pay the underutilization fee thereunder.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March 22, 2024, we entered into an Unsecured Credit Facility (the “2024 Credit Facility”) with Gerard Barron, the Company’s Chief Executive Officer and Chairman, and ERAS Capital LLC, the family fund of one of the Company’s directors, (collectively, the ”2024 Lenders”), pursuant to which we may borrow from the 2024 Lenders up to $20 million in the aggregate ($10 million from each of the 2024 Lenders), from time to time, subject to certain conditions. All amounts drawn under the 2024 Credit Facility will bear interest at the 6-month Secured Overnight Funding Rate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the 2024 Credit Facility. The 2024 Credit Facility also contains customary events of default. On August 13, 2024, we entered into the First Amendment to the 2024 Credit Facility with the 2024 Lenders, to increase the borrowing limit of the 2024 Credit Facility to $25 million in the aggregate ($12.5 million from each of the 2024 Lenders). On November 14, 2024, we entered into the Second Amendment to the 2024 Credit Facility with the 2024 Lenders, to increase the borrowing limit to $38 million in the aggregate ($19 million from each of the 2024 Lenders) and to extend the maturity of the 2024 Credit Facility to December 31, 2025. As per the Second Amendment, the rate of underutilization fee was retroactively increased from March 22, 2024, to 6.5% on any undrawn amounts under the 2024 Credit Facility. On March 26, 2025, we entered into the Third Amendment to the 2024 Credit Facility with the 2024 Lenders, to, among other things, increase the borrowing limit to $44 million in the aggregate ($22 million from each of the 2024 Lenders) and extend the maturity of the 2024 Credit Facility to June 30, 2026 with the 2024 Lenders having an option to extend the maturity date by up to two additional one year periods. As per the Third Amendment to the 2024 Credit Facility, the underutilization fees are to be paid quarterly in cash or shares at the 2024 Lenders election and the 2024 Lenders have an option to terminate the credit facility upon certain financing events. On March 25, 2026, the 2024 Lenders extended the maturity date of the 2024 Credit Facility by one year, expiring on June 30, 2027, subject to further extension to June 30, 2028 at the election of the 2024 Lenders.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September 9, 2024, we entered into a Working Capital Loan Agreement with Allseas Investments, a company related to Allseas. In accordance with the Working Capital Loan Agreement, Allseas Investments provided a loan to us amounting to $5 million (the “Working Capital Loan”) on September 10, 2024, to be used towards general corporate purposes and the repayment of all outstanding amounts under the short-term loan between us and the Lender. The Working Capital Loan was payable to the Lender on or before the earlier of (i) the occurrence of certain financing events and (ii) April 1, 2025 (the “Repayment Date”). The Working Capital Loan bore interest based on the 6-month Secured Overnight Financing Rate, 180-day average plus a margin of 4.0% per annum payable in two installments on January 2, 2025, and the Repayment Date (or plus a margin of 5.0% if we deferred all interest payments to the Repayment Date). On October 18, 2024, we entered into the First Amendment to the Working Capital Loan Agreement with Allseas Investments, resulting in a further draw of $2.5 million by us and a total Working Capital Loan drawn amount of $7.5 million. On March 24, 2025, we entered into the Letter Agreement with Allseas Investments and Argentum Cedit Virtuti GCV, pursuant to which the repayment date under the Working Capital Loan Agreement was extended to September 30, 2025. In the second quarter of 2025, the entire Working Capital Loan amount along with the interest payable was repaid and the facility was cancelled.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14, 2024, we entered into a securities purchase agreement (the “2024 Purchase Agreement”) with certain new and existing institutional investors for the sale of an aggregate of 17,500,000 common shares (the “Shares”) and accompanying Class B warrants (the “Class B Warrants”), in a registered direct offering. The offering price was $1.00 per common share, with each common share including an accompanying Class B Warrant to purchase 0.5 common shares. The Class B Warrants are exercisable immediately upon issuance at a price of $2.00 per share and expire five years from issuance. On November 26, 2024, we entered into the First Amendment to the 2024 Purchase Agreement, pursuant to which we agreed to sell and issue an additional 2,400,000 common shares and accompanying Class B Warrants to purchase 1,200,000 common shares to new investors on the same terms and conditions as initially offered. Including the First Amendment to the 2024 Purchase Agreement, we agreed to sell and issue in aggregate 19,900,000 common shares and Class B Warrants to purchase 9,950,000 common shares. We received gross proceeds in the offering, exclusive of warrant exercises, of $19.9 million (net proceeds of $14.2 million, after offering expenses), of which $5 million was received on February 6,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12, 2025, we entered into a securities purchase agreement with certain new and existing investors, including an existing strategic investor, for the sale of an aggregate of 12,333,333 common shares and accompanying Class C Warrants, in a registered direct offering, for gross proceeds, exclusive of warrant exercises, of $37 million (net proceeds of $36.7 million, after offering expenses). The offering price was $3.00 per common share, with each common share including an accompanying Class C Warrant to purchase one common share. The Class C Warrants are exercisable immediately upon issuance at a price of $4.50 per share and expire three years from issuance.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June 16, 2025, we entered into a Securities Purchase Agreement with Korea Zinc, pursuant to which in consideration of gross cash receipt of $85.2 million, we agreed to issue and sell to Korea Zinc 19,623,376 of our common shares and accompanying warrants to purchase an aggregate of 6,868,181 common shares. The purchase price per share and accompanying warrant was set at $4.34. The Korea Zinc Warrant is exercisable at an exercise price of $7.00 per share and expires on June 25, 2028. Pursuant to this Securities Purchase Agreement, subject to certain exceptions, Korea Zinc will have a right to participate in any public offering or private placement of any of our common shares or common share equivalents primarily for capital raising purposes (each a “Proposed Offering”) up to such amount of securities to maintain its percentage ownership at the time of such Proposed Offering. Such right to participate in future financings will expire upon the earlier to occur of (i) June 16, 2030, (ii) the date on which Korea Zinc owns less than all of the common shares it purchased and subscribed pursuant to this Securities Purchase Agreement and (iii) immediately after a closing of a Proposed Offering where Korea Zinc does not exercise its participation right in full. The funds raised under this Securities Purchase Agreement are to be used for general corporate purposes.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may receive up to approximately $432.5 million in aggregate gross proceeds from cash exercises of the Public Warrants, the Private Warrants, the Class A Warrants, the Class B Warrants, Class C Warrants, and Warrants issued to Korea Zinc, Naoero and Tonga based on the per share exercise price of such warrants. However, the exercise price for the outstanding Public Warrants and Private Warrants is $11.50 per common share and there can be no assurance that such warrants will be in the money prior to their expiration, and as such, such warrants may expire in September 2026 worthless. In certain circumstances, the Public Warrants and Private Warrants, Class A Warrants, Class B Warrants and Class C Warrants may be exercised on a cashless basis and the proceeds from the exercise of such warrants will decrease. Furthermore, even if the warrants are in the money, the holders of the warrants are not obligated to exercise their warrants, and we cannot predict whether holders of the warrants will choose to exercise all or any of their warrants. The warrants issued to the Republic of Naoero and Kingdom of Tonga can only be exercised after the commercial recovery permit is received and commercial production commences and there can be no assurance that the exercise conditions will be met prior to their expiration.  In addition, the exercise price to purchase one common share under the outstanding Class A Warrants and Class B Warrants is $2.00 each, Class C Warrants is $4.5, warrants issued to Korea Zinc is $7.00, warrants issued to Republic of Naoero is $4.72 and warrants issued to Tonga is $5.87 (subject to customary adjustments) and there can be no assurance that such warrants will be exercised prior to their expiration, and as such, such warrants may expire, and we will not receive any proceeds from the exercise thereof.</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Flows Summary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Presented below is a summary of our operating, investing and financing cash flows:</w:t>
      </w:r>
    </w:p>
    <w:tbl>
      <w:tblPr>
        <w:tblW w:w="9553" w:type="dxa"/>
        <w:jc w:val="left"/>
        <w:tblInd w:w="0" w:type="dxa"/>
        <w:tblLayout w:type="fixed"/>
        <w:tblCellMar>
          <w:top w:w="0" w:type="dxa"/>
          <w:left w:w="0" w:type="dxa"/>
          <w:bottom w:w="0" w:type="dxa"/>
          <w:right w:w="0" w:type="dxa"/>
        </w:tblCellMar>
      </w:tblPr>
      <w:tblGrid>
        <w:gridCol w:w="4051"/>
        <w:gridCol w:w="346"/>
        <w:gridCol w:w="211"/>
        <w:gridCol w:w="796"/>
        <w:gridCol w:w="346"/>
        <w:gridCol w:w="211"/>
        <w:gridCol w:w="796"/>
        <w:gridCol w:w="346"/>
        <w:gridCol w:w="211"/>
        <w:gridCol w:w="796"/>
        <w:gridCol w:w="346"/>
        <w:gridCol w:w="211"/>
        <w:gridCol w:w="886"/>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572385" cy="175260"/>
                      <wp:effectExtent l="0" t="0" r="0" b="0"/>
                      <wp:wrapNone/>
                      <wp:docPr id="198" name="Frame198"/>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9"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200" name="Frame2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05460" cy="175260"/>
                      <wp:effectExtent l="0" t="0" r="0" b="0"/>
                      <wp:wrapNone/>
                      <wp:docPr id="201" name="Frame20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3" name="Frame2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05460" cy="175260"/>
                      <wp:effectExtent l="0" t="0" r="0" b="0"/>
                      <wp:wrapNone/>
                      <wp:docPr id="204" name="Frame20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5"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6" name="Frame2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05460" cy="175260"/>
                      <wp:effectExtent l="0" t="0" r="0" b="0"/>
                      <wp:wrapNone/>
                      <wp:docPr id="207" name="Frame20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562610" cy="175260"/>
                      <wp:effectExtent l="0" t="0" r="0" b="0"/>
                      <wp:wrapNone/>
                      <wp:docPr id="210" name="Frame21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center"/>
              <w:rPr/>
            </w:pPr>
            <w:r>
              <w:rPr/>
              <w:t> </w:t>
            </w:r>
          </w:p>
        </w:tc>
        <w:tc>
          <w:tcPr>
            <w:tcW w:w="24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4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3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  ​ ​ ​</w:t>
            </w:r>
          </w:p>
        </w:tc>
        <w:tc>
          <w:tcPr>
            <w:tcW w:w="24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0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(thousands)</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(20,009)</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cash generated (used in) investing activities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123,776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132,069</w:t>
            </w:r>
          </w:p>
        </w:tc>
      </w:tr>
      <w:tr>
        <w:trPr/>
        <w:tc>
          <w:tcPr>
            <w:tcW w:w="405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(Decrease) increase in cash </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113,410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(18,856)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112,286</w:t>
            </w:r>
          </w:p>
        </w:tc>
      </w:tr>
    </w:tbl>
    <w:tbl>
      <w:tblPr>
        <w:tblW w:w="3227" w:type="dxa"/>
        <w:jc w:val="left"/>
        <w:tblInd w:w="0" w:type="dxa"/>
        <w:tblLayout w:type="fixed"/>
        <w:tblCellMar>
          <w:top w:w="0" w:type="dxa"/>
          <w:left w:w="0" w:type="dxa"/>
          <w:bottom w:w="0" w:type="dxa"/>
          <w:right w:w="0" w:type="dxa"/>
        </w:tblCellMar>
      </w:tblPr>
      <w:tblGrid>
        <w:gridCol w:w="271"/>
        <w:gridCol w:w="295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29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Excluding foreign exchange movement.</w:t>
            </w:r>
          </w:p>
        </w:tc>
      </w:tr>
    </w:tbl>
    <w:p>
      <w:pPr>
        <w:pStyle w:val="TextBody"/>
        <w:bidi w:val="0"/>
        <w:spacing w:before="0" w:after="240"/>
        <w:ind w:left="0" w:right="0" w:hanging="0"/>
        <w:jc w:val="both"/>
        <w:rPr>
          <w:rFonts w:ascii="Times New Roman;Times;serif" w:hAnsi="Times New Roman;Times;serif"/>
          <w:b/>
          <w:i/>
          <w:sz w:val="22"/>
        </w:rPr>
      </w:pPr>
      <w:r>
        <w:rPr>
          <w:rFonts w:ascii="Times New Roman;Times;serif" w:hAnsi="Times New Roman;Times;serif"/>
          <w:b/>
          <w:i/>
          <w:sz w:val="22"/>
        </w:rPr>
        <w:t>Six Months ended June 30, 2026 compared to Six Months ended June 30,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flows used in Operating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six months ended June 30, 2026, major operating activities included initial work on pre-feasibility studies update and work to advance our permit applications, resulting in net cash used in operating activities of $20.7 million. This consisted of $7.8 million on payroll costs, $3.5 million on legal and consulting fees, $3.3 million on prefeasibility studies,  $2 million on stakeholder engagement, $2.3 million on business development, communications, investor relations and IT costs,  $1.4 million on various environmental work, $1.2 million on underutilization fees paid to the lenders of the 2024 Credit Facility, $0.3 million on mining, technological and process development costs, and an additional $1.1 million for various expenses. The outflow was offset by receipt of interest income of $2.2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Cash used in operating activities in the second quarter of 2026 of $20.1 million included $9 million of withholdings related to equity awards that were collected at the end of March 2026 and remitted in early April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six months ended June 30, 2025, major operating activities over this period included advanced work on pre-feasibility studies and work to advance our permit applications, resulting in net cash used in operating activities of $20 million.  This consisted of $5.4 million on payroll costs, $4.9 million on various environmental work, $2.1 million on stakeholder engagement, $2.1 million on legal and consulting fees, $2 million on business development, investor relations and communications, $1.7 million in interest paid on 2024 credit facilities and working capital loan, and $1.8 million for various expenses.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flows used in Investing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used in investing activities for the six months ended June 30, 2026 of $0.9 million includes the investment of $1.0 million to purchase shares in the Company’s equity investment in TMCR (refer to Note 7 in the Company’s second quarter 2026 interim financial statements) and the purchase of equipment and software development. A total of $0.2 million was spent on the development of software in the comparative period of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flows provided by Financing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cash provided by financing activities for the six months ended June 30, 2026 was $2.8 million, which consisted of proceeds from the exercise of stock options.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provided by financing activities for the six months ended June 30, 2025 was $132.1 million, which consisted of net cash proceeds received from the Korea Zinc investment of $85.2 million, net proceeds from the 2025 Registered Direct Offerings of $30.0 million, the remaining net proceeds from the 2024 Registered Direct Offerings of $4.5 million, proceeds from shares issued from ATM of $14.8 million and proceeds from exercise of stock options and warrants of $6.9 million. This increase was partially offset by repayments totaling $9.3 million on our credit facilities and on the Allseas Working Capital loan.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NORI Exploration Contract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part of the NORI Exploration Contract with the ISA, NORI submitted a periodic review report to the ISA which included a five-year plan covering 2022 to 2026. NORI is currently implementing its approved five-year plan. NORI submitted an application to the ISA on January 19, 2026 for a five-year extension of the contract, which the Council of the ISA approved on July 20, 2026: the extended contract expires July 21, 2031. The application included a programme of activities and anticipated annual expenditures for the extension period. Work plans are reviewed annually by NORI, agreed with the ISA and may be subject to change depending on their progress to date.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TOML Exploration Contract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part of the TOML Exploration Contract with the ISA, TOML submitted a periodic review report to the ISA which included a five-year plan covering 2022 to 2026. TOML is currently implementing its approved plan, which included an estimated five-year expenditure of up to $44 million. The five-year estimated expenditure is indicative and subject to change, TOML will review the program regularly and TOML will inform the ISA of any changes through its annual reports. TOML’s exploration contract is due to expire on January 11, 2027. On July 10, 2026, TOML applied to the ISA to extend its exploration contract for a further five years. The ISA’s LTC is scheduled to consider the application in February and March 2027, and TOML expects the contract to be deemed extended from January 12, 2027 under the transitional provision of the ISA’s extension procedures until the Council is able to act on the Commission’s recommendation.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Regulatory Obligations Relating to Exploration Contracts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Both TOML and NORI require sponsorship from their host sponsoring States, Tonga and Naoero, respectively. Each company has been registered and incorporated within the applicable host State’s jurisdiction. The ISA requires that a contractor must obtain and maintain sponsorship by a host state that is a member of the ISA, and such state must maintain effective supervision and regulatory control over such sponsored contractor. Each of TOML and NORI is subject to the registration and incorporation requirements of these nations. In the event the sponsorship is otherwise terminated, such subsidiary will be required to obtain new sponsorship from another state that is a member of the ISA. Failure to obtain such new sponsorship would have a material impact on the operations of such subsidiary and us.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Sponsorship Agreements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NORI is sponsored by Naoero pursuant to a certificate of sponsorship signed by the Government of Naoero on April 11, 2011. NORI is a Naoeroan incorporated entity and is subject to applicable Naoeroan legislation and regulations. In 2015, the Naoeroan government established the Nauru Seabed Minerals Authority to regulate activities carried out by companies sponsored by Naoero.</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Throughout the period of the NORI Exploration Contract, NORI must be sponsored by a State that is party to UNCLOS. If the nationality or control of NORI changes or NORI’s sponsoring State, as defined in the ISA Regulations, terminates its sponsorship, NORI must promptly notify the ISA. In either event, if NORI does not obtain another sponsor meeting the requirements prescribed in the ISA Regulations and fails to submit to the ISA a certificate of sponsorship for NORI in the prescribed form within six months, the NORI Exploration Contract will terminate.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July 5, 2017, Naoero, the Nauru Seabed Minerals Authority and NORI entered into a sponsorship agreement (the “NORI Sponsorship Agreement”) formalizing certain obligations of the parties in relation to NORI’s exploration and potential collection of nodules within the NORI Contract Area of the CCZ. On May 29, 2025 the Republic of Naoero and NORI signed a revised Sponsorship Agreement, updating the terms of the Agreement signed between the parties in 2017.</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revised Sponsorship Agreement will remain in force unless terminated by mutual agreement of the parties or earlier terminated in accordance with its terms, including in the event of a material breach by either party or upon the assignment of NORI’s rights and the transfer of sponsorship to another sponsoring State. Under the agreement, NORI will pay Naoero a seabed mineral recovery payment of $2 per tonne of polymetallic nodules recovered under an ISA contract, subject to annual inflation adjustment. In addition, NORI will pay an annual administration fee, initially set at $500,000, which may increase by 5% annually, to support Naoero’s administration of its sponsorship and regulatory oversight. The agreement also provides for potential continuity payments to Naoero if a subsidiary other than NORI develops nodules in the NORI Contract Area under the U.S. regulatory regime with the applicable payment amounts and schedule to be determined in accordance with the terms of the agreement. During any period in which such continuity payments are made, NORI has agreed to maintain an office in Naoero and make annual investments in local presence, community initiatives and training and capacity-building programs for Naoeroan nationals. In connection with the Sponsorship Agreement, Naoero holds warrants to purchase 9,146,268 of our common shares at an exercise price of $4.72. In connection with the revised Sponsorship Agreement, we also executed a Deed of Guarantee and Indemnity in favor of Naoero, under which we guarantee certain financial obligations of NORI under Naoeroan law and the Sponsorship Agreement and provide limited indemnification.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8, 2008, Tonga and TOML entered into the TOML Sponsorship Agreement formalizing certain obligations of the parties in relation to TOML’s exploration and potential exploitation of a proposed application to the ISA (subsequently granted) known as the TOML Area. TOML updated the sponsorship agreement with Tonga in September 2021 and again on August 4,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revised Sponsorship Agreement between Tonga and TOML will remain in force unless terminated by mutual agreement of the parties or earlier terminated in accordance with its terms, including in the event of a material breach by either party. Under the agreement, Tonga will continue to sponsor TOML’s seabed mineral activities in the ISA contract area. Upon commencement of commercial recovery of polymetallic nodules under an ISA contract, TOML will pay the Tonga Seabed Minerals Authority a commercial recovery payment of $2 per tonne of polymetallic nodules recovered from the contract area, subject to annual inflation adjustment. In addition, TOML will pay an annual administration fee of $90,000, which may increase by up to 5% annually, to support the administration of Tonga’s sponsorship and regulatory oversight. The agreement also provides for potential continuity benefit payments to Tonga if a subsidiary other than TOML develops nodules in the TOML Contract Area under the U.S. regulatory regime. The applicable payment amounts and schedule will be determined in accordance with the terms of the agreement. During any period in which such continuity benefits are provided, TOML has agreed to maintain an office in Tonga and make annual investments in local presence, community initiatives and training and capacity-building programs for Tongan nationals. In connection with the Sponsorship Agreement, Tonga holds warrants to purchase 1,000,000 of our common shares at an exercise price of $5.87. In connection with the revised Sponsorship Agreement, we also executed a Deed of Guarantee and Indemnity in favor of Tonga, under which we guarantee certain financial obligations of TOML under Tongan law and the Sponsorship Agreement and provide limited indemnification.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Allseas Agreements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29, 2019, we entered into a strategic alliance agreement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which arrangement has been superseded by the Agreement described below. In furtherance of this agreement, on July 8, 2019, we entered into a Pilot Mining Test Agreement with Allseas (“PMTA”), which was amended on five occasions through February 2023, to develop and deploy a PMTS, successful completion of which is a prerequisite for our application for an exploitation contract with the ISA. Under the PMTA, Allseas agreed to cover the development cost of the project in exchange for a payment from us upon successful completion of the pilot trial of the PMTS in NORI Area 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16, 2022, NORI and Allseas entered into a non-binding term sheet for the development and operation of a commercial nodule collection system, which has been superseded by the Agreement described below. The pilot nodule collection system developed and tested by Allseas is expected to be upgraded to a commercial system with an expanded targeted production capacity of up to an estimated 3.0 million tonnes of wet nodules per year, to be delivered in stepped increments.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Through December 31, 2025, we have made the following payments to Allseas under the PMTA: (a) $10 million in cash in February 2020, (b) $10 million through the issuance of 3.2 million Common Shares valued at $3.11 per share in February 2020, (c) issued Allseas a warrant to purchase 11.6 million Common Shares at a nominal exercise price per share in March 2021, (d) $10 million in cash in October 2021, following the closing of the Business Combination and meeting certain progress targets on the PMTS and (e) on February 23, 2023 issued 10.85 million Common Shares to Allseas. On August 9, 2023, 11,578,620 common shares were issued to Allseas upon the exercise of the warrant that was granted to Allseas in March 2021, and receipt of the exercise fee of $115.8 thousand. The warrant vested and became exercisable on successful completion of the PMTS in November 2022.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11, 2022, our board of directors approved the successful completion and testing of the PMTS in the NORI Area D and payment of the third milestone amounting to $10 million and additional costs owed to Allseas under the PMTA by issuing 10.85 million Common Shares to Allseas priced at $1.00 per share on February 23,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1, 2023, we entered into an Exclusive Vessel Use Agreement with Allseas pursuant to which Allseas will give us exclusive use of the vessel (“</w:t>
      </w:r>
      <w:r>
        <w:rPr>
          <w:rFonts w:ascii="Times New Roman;Times;serif" w:hAnsi="Times New Roman;Times;serif"/>
          <w:i/>
          <w:sz w:val="20"/>
        </w:rPr>
        <w:t>Hidden Gem</w:t>
      </w:r>
      <w:r>
        <w:rPr>
          <w:rFonts w:ascii="Times New Roman;Times;serif" w:hAnsi="Times New Roman;Times;serif"/>
          <w:sz w:val="20"/>
        </w:rPr>
        <w:t>”) in support of the development of the Project Zero Offshore Nodule Collection System until the system is completed or December 31, 2026, whichever is earlier. In consideration of the exclusivity term, on August 14, 2023, we issued 4.15 million Common Shares to Allseas.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11, 2026, we entered into a Contract for Development Work and Commercial Production (the “Agreement”) with Allseas Deepsea Marine Contractors, a wholly owned subsidiary of Allseas, for the design, development, build, testing, commissioning and operation of an integrated offshore polymetallic nodule collection and production system in our license area. The commercial system is designed for a nameplate production capacity of 3.0 million wet tonnes of nodules per annum, with commissioning targeted to begin in the fourth quarter of 2027. The commencement of commercial production is subject to, among other matters, receipt of a commercial recovery permit from NOAA, completion and acceptance of the collection system and approval of the applicable work plan and budget. Under the Agreement, we are required to reimburse Allseas for eligible costs incurred in performing the development work in accordance with approved work plans and budgets, with 50% of such costs payable as incurred and the remaining 50% deferred and repaid based on future commercial production volumes. The Deferred Amounts remain payable regardless of whether commercial production commences and would become payable upon expiration or termination of the Agreement. The Agreement has an initial term ending five years following the commencement of commercial production and may be extended by mutual agreement (refer to Note 6 of these Interim Condensed Consolidated Financial Statements). The Agreement supersedes the strategic alliance agreement entered into on March 29, 2019 and the non-binding term sheet entered into on March 16,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Offtake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25, 2012, DGE and Glencore entered into a copper offtake agreement and a nickel offtake agreement. DGE has agreed to deliver to Glencore 50% of the annual quantity of copper and nickel produced by a DGE-owned facility from nodules derived from the NORI Area at London Metal Exchange referenced market pricing with allowances for product quality and delivery location. Either party may terminate the agreement upon a material breach or insolvency of the other party. Glencore may also terminate the agreement by giving twelve months’ notice.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Borrowing with Company Related to Allseas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2023 Credit Facility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22, 2023, we entered into the 2023 Credit Facility with Argentum Cedit Virtuti GCV, an affiliate of Allseas, under which we may borrow up to $25.0 million pursuant to the terms and conditions of the 2023 Credit Facility, as amended. Pursuant to the Letter Agreement entered into on March 24, 2025, we agreed to cancel the 2023 Credit Facility with no outstanding amounts remaining, other than our obligation to pay Argentum Cedit Virtuti GCV the underutilization fee thereunder.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2024 Short-Term Loan and Working Capital Loan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27, 2024, we entered into a short-term loan agreement with Argentum Cedit Virtuti GCV whereby we borrowed $2 million (the “Loan”) on May 30, 2024. The Loan matured on September 10, 2024 (maturity date) and accrued interest at a rate of 8% per annum. On the maturity date, we repaid the entire Loan amounting to $2 million and the accrued interest.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September 9, 2024, we entered into a working capital loan agreement (the “Working Capital Loan Agreement”) with Allseas Investments, a company related to Allseas. In accordance with the Working Capital Loan Agreement, Allseas Investments provided a loan to us amounting to $5 million (the “Working Capital Loan”) on September 10, 2024, to be used towards general corporate purposes and the repayment of all outstanding amounts under the Short-Term Loan between us and the Lender. On October 18, 2024, we entered into the First Amendment to the Working Capital Loan Agreement with Allseas Investments, resulting in a further draw of $2.5 million by us and a total Working Capital Loan drawn amount of $7.5 million. On March 24, 2025, we entered into a Letter Agreement with Allseas Investments and Argentum Cedit Virtuti GCV, pursuant to which the Original Repayment Date under the Working Capital Loan Agreement was extended to September 30, 2025, with principal and interest repayable on that date. During the second quarter of 2025, we repaid the entire outstanding loan and interest, amounting to $7.5 million and $0.5 million, respectively, and cancelled the Working Capital Loan Agreement.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2024 Credit Facility with ERAS Capital LLC and Gerard Barron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2024 Credit Facility with ERAS Capital LLC and Gerard Barron we may borrow up to $44 million in aggregate ($22 million from each of the 2024 Lenders). On March 25, 2026, the 2024 Lenders extended the Maturity Date by one year for any borrowings under the 2024 Credit Facility, expiring on June 30, 2027. See above for a further description of the 2024 Credit Facility. As of June 30, 2026, we had no borrowing under the 2024 Credit Facility and are only incurring the underutilization fee.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not party to any off-balance sheet arrangements.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Critical Accounting Policies and Significant Judgments and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condensed consolidated interim financial statements have been prepared in accordance with U.S. GAAP. In the preparation of these financial statements, we are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Except as described in Note 3 to our condensed consolidated interim financial statements included in this Quarterly Report on Form 10-Q, there have been no material changes to our critical accounting policies and estimates as compared to the critical accounting policies and estimates disclosed in our 2025 Annual Report on Form 10-K.</w:t>
      </w:r>
    </w:p>
    <w:p>
      <w:pPr>
        <w:pStyle w:val="TextBody"/>
        <w:bidi w:val="0"/>
        <w:spacing w:before="0" w:after="0"/>
        <w:ind w:left="0" w:right="0" w:firstLine="360"/>
        <w:jc w:val="both"/>
        <w:rPr/>
      </w:pPr>
      <w:r>
        <w:rPr/>
        <w:t>​</w:t>
      </w:r>
    </w:p>
    <w:p>
      <w:pPr>
        <w:pStyle w:val="TextBody"/>
        <w:pBdr/>
        <w:bidi w:val="0"/>
        <w:spacing w:before="0" w:after="240"/>
        <w:ind w:left="0" w:right="0" w:hanging="720"/>
        <w:jc w:val="both"/>
        <w:rPr>
          <w:rFonts w:ascii="Times New Roman;Times;serif" w:hAnsi="Times New Roman;Times;serif"/>
          <w:b/>
          <w:sz w:val="20"/>
        </w:rPr>
      </w:pPr>
      <w:bookmarkStart w:id="1464" w:name="Item3QuantitativeandQualitativeDisclosur"/>
      <w:bookmarkStart w:id="1465" w:name="_2aba28ad_43ad_4e99_9767_53d3678ca73b"/>
      <w:bookmarkEnd w:id="1464"/>
      <w:bookmarkEnd w:id="1465"/>
      <w:r>
        <w:rPr>
          <w:rFonts w:ascii="Times New Roman;Times;serif" w:hAnsi="Times New Roman;Times;serif"/>
          <w:b/>
          <w:sz w:val="20"/>
        </w:rPr>
        <w:t>Item 3.    Quantitative and Qualitative Disclosures About Market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exposed to a variety of markets and other risks including the effects of changes in interest rates, inflation and foreign currency translation and transaction risks as well as risks to the availability of funding sources, hazard events, specific asset risks, regulatory risks, public policy risks and technology risks. We also expect to be exposed to commodity risks if and when we commence commercial production.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Rate Risk and Credit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rate risk is the risk that the fair value of our future cash flows and our financial instruments will fluctuate because of changes in market interest rates.</w:t>
      </w:r>
    </w:p>
    <w:p>
      <w:pPr>
        <w:pStyle w:val="TextBody"/>
        <w:bidi w:val="0"/>
        <w:spacing w:before="0" w:after="240"/>
        <w:ind w:left="0" w:right="0" w:firstLine="324"/>
        <w:jc w:val="both"/>
        <w:rPr>
          <w:rFonts w:ascii="Times New Roman;Times;serif" w:hAnsi="Times New Roman;Times;serif"/>
          <w:sz w:val="20"/>
        </w:rPr>
      </w:pPr>
      <w:r>
        <w:rPr>
          <w:rFonts w:ascii="Times New Roman;Times;serif" w:hAnsi="Times New Roman;Times;serif"/>
          <w:sz w:val="20"/>
        </w:rPr>
        <w:t>Our current practice is to invest excess cash in investment-grade short-term deposit certificates issued by reputable financial institutions with which we keep our bank accounts and management believes the risk of loss to be remote. We periodically monitor the investments we make and are satisfied with the credit ratings of our banks. Due to the current high cash needs of our operating plan, we have kept our funds readily available, placed in secure, highly liquid interest-bearing investments, as at June 30,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Credit risk is a risk of loss that may arise on outstanding financial instruments should a counter party default on its obligation. Our receivables consist primarily of general sales tax due from the Federal Government of Canada and as a result, the risk of default is considered to be low. Once we commence commercial production, we expect our credit risk to rise with our increased customer base.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Regulatory Risk</w:t>
      </w:r>
    </w:p>
    <w:p>
      <w:pPr>
        <w:pStyle w:val="TextBody"/>
        <w:bidi w:val="0"/>
        <w:spacing w:before="0" w:after="240"/>
        <w:ind w:left="0" w:right="0" w:firstLine="324"/>
        <w:jc w:val="both"/>
        <w:rPr>
          <w:rFonts w:ascii="Times New Roman;Times;serif" w:hAnsi="Times New Roman;Times;serif"/>
          <w:sz w:val="20"/>
        </w:rPr>
      </w:pPr>
      <w:r>
        <w:rPr>
          <w:rFonts w:ascii="Times New Roman;Times;serif" w:hAnsi="Times New Roman;Times;serif"/>
          <w:sz w:val="20"/>
        </w:rPr>
        <w:t>Regulations related to emissions limits, such as cap-and-trade schemes and carbon taxes, would likely increase our future cost of operations, energy purchase, and equipment selection in addition to costs associated with potential carbon tax and/or purchase of carbon offsets. It is difficult to estimate the impact of potential future regulations on future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working on a plan for continuous reduction of emissions and aiming to develop operations with near zero emissions. When selecting the location of our onshore plant, one of our requirements is access to renewable energy as our metallurgical process will be the most energy-intensive step in our operations. In addition, we are seeking to replace metallurgical coal used as reductant during calcining of nodules and have tested potential renewable alternatives. We are also identifying the best approach for decarbonizing our offshore operations. To date, we have not experienced any material impact on our business related to potential regulations but will continue to evaluate and monitor future developments.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Risks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exposed to a variety of markets and other risks including the effects of inflation and foreign currency translation, commodity pricing risks and transaction risks as well as risks to the availability of funding sources, hazard events, specific asset risks, regulatory risks, public policy risks and technology risks. We also expect to be exposed to commodity risks if and when we commence commercial production.</w:t>
      </w:r>
    </w:p>
    <w:p>
      <w:pPr>
        <w:pStyle w:val="TextBody"/>
        <w:bidi w:val="0"/>
        <w:spacing w:before="0" w:after="0"/>
        <w:ind w:left="0" w:right="0" w:hanging="0"/>
        <w:jc w:val="both"/>
        <w:rPr/>
      </w:pPr>
      <w:r>
        <w:rPr/>
        <w:t>​</w:t>
      </w:r>
    </w:p>
    <w:p>
      <w:pPr>
        <w:pStyle w:val="TextBody"/>
        <w:pBdr/>
        <w:bidi w:val="0"/>
        <w:spacing w:before="0" w:after="240"/>
        <w:ind w:left="0" w:right="0" w:hanging="720"/>
        <w:jc w:val="both"/>
        <w:rPr>
          <w:rFonts w:ascii="Times New Roman;Times;serif" w:hAnsi="Times New Roman;Times;serif"/>
          <w:b/>
          <w:sz w:val="20"/>
        </w:rPr>
      </w:pPr>
      <w:bookmarkStart w:id="1466" w:name="Item4ControlsandProcedures_279483"/>
      <w:bookmarkStart w:id="1467" w:name="_a2475191_d3fc_4cb8_9d79_510390ce7db5"/>
      <w:bookmarkEnd w:id="1466"/>
      <w:bookmarkEnd w:id="1467"/>
      <w:r>
        <w:rPr>
          <w:rFonts w:ascii="Times New Roman;Times;serif" w:hAnsi="Times New Roman;Times;serif"/>
          <w:b/>
          <w:sz w:val="20"/>
        </w:rPr>
        <w:t>Item 4.    Controls and Procedures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Based on this evaluation, our Chief Executive Officer and Chief Financial Officer concluded that our disclosure controls and procedures were effective as of June 30,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months ended June 30, 2026, we completed the implementation of a new financial close and reporting system. The implementation resulted in a change to the Company’s internal control over financial reporting by replacing certain manual financial close and reporting processes with automated processes and controls. A continuous review of our internal controls post-implementation will result in additional changes to our processes and procedures which, in turn, will result in changes to our internal control over financial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adopted its Incentive-Based Compensation Recovery Policy (the “Clawback Policy”) in accordance with SEC Rule 10D-1 and Nasdaq listing standards. The Clawback Policy was in effect during the second quarter of 2026 reporting period and provides for the mandatory recoupment of erroneously awarded incentive-based compensation from current and former executive officers in the event of an accounting restatement. No recoupment was triggered or required during the three months ended June 30, 2026. The Company maintains a Cybersecurity Risk Management framework that is integrated into its overall enterprise risk management program. The framework is designed to identify, assess, and manage material risks from cybersecurity threats that could affect the Company’s business, operations, and financial reporting. During the three months ended June 30, 2026, there were no cybersecurity incidents that materially affected, or were reasonably likely to materially affect, the Company’s operations or financial reporting.</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Limitations on the Effectiveness of 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468" w:name="PARTIIOTHERINFORMATION_322011"/>
      <w:bookmarkStart w:id="1469" w:name="_d6620ddf_2750_422b_9e13_af71653390a4"/>
      <w:bookmarkEnd w:id="1468"/>
      <w:bookmarkEnd w:id="1469"/>
      <w:r>
        <w:rPr>
          <w:rFonts w:ascii="Times New Roman;Times;serif" w:hAnsi="Times New Roman;Times;serif"/>
          <w:b/>
          <w:sz w:val="20"/>
        </w:rPr>
        <w:t>PART II – OTHER INFORMATION</w:t>
      </w:r>
    </w:p>
    <w:p>
      <w:pPr>
        <w:pStyle w:val="TextBody"/>
        <w:bidi w:val="0"/>
        <w:spacing w:before="0" w:after="240"/>
        <w:ind w:left="0" w:right="0" w:hanging="0"/>
        <w:jc w:val="both"/>
        <w:rPr>
          <w:rFonts w:ascii="Times New Roman;Times;serif" w:hAnsi="Times New Roman;Times;serif"/>
          <w:b/>
          <w:sz w:val="20"/>
        </w:rPr>
      </w:pPr>
      <w:bookmarkStart w:id="1470" w:name="ITEM1LEGALPROCEEDINGS_208283"/>
      <w:bookmarkEnd w:id="1470"/>
      <w:r>
        <w:rPr>
          <w:rFonts w:ascii="Times New Roman;Times;serif" w:hAnsi="Times New Roman;Times;serif"/>
          <w:b/>
          <w:sz w:val="20"/>
        </w:rPr>
        <w:t>ITEM 1.    LEGAL PROCEEDINGS.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Except as set forth below, we are not currently a party to any material legal proceedings.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23, 2023, investors in the 2021 private placement from the Business Combination filed a lawsuit against us in the Commercial Division of New York Supreme Court, New York County, captioned Atalaya Special Purpose Investment Fund II LP et al. v. Sustainable Opportunities Acquisition Corp. n/k/a TMC The Metals Company Inc., Index No. 650449/2023 (N.Y. Sup. Ct.). We filed a motion to dismiss on March 31, 2023, after which the plaintiffs filed an amended complaint on June 5, 2023. The amended complaint alleges that we breached the representations and warranties in the plaintiffs’ private placement Subscription Agreements and breached the covenant of good faith and fair dealing. The Plaintiffs are seeking to recover compensable damages caused by the alleged wrongdoings. We deny any allegations of wrongdoing and filed a motion to dismiss the amended complaint on July 28, 2023. On December 7, 2023, the Court granted our motion to dismiss the claim for breach of the covenant of good faith and fair dealing and denied our motion to dismiss the breach of the Subscription Agreement claim. We filed a notice of appeal regarding the Court’s denial of our motion to dismiss the breach of the Subscription Agreement claim. The appeal was heard on November 8, 2024. The NY Appellate Division upheld the lower court’s ruling in December 2024, moving the case into the discovery phase. Discovery closed following the plaintiffs’ filing of a note of issue on April 27, 2026. On June 26, 2026, TMC and the plaintiffs cross-moved for summary judgment, and that briefing is ongoing, with the parties’ opposition briefs due July 31, 2026 and reply briefs due August 25, 2026. There is no assurance that we will be successful in our defense of this lawsuit or that insurance will be available or adequate to fund any settlement or judgment or the litigation costs of this action. Such losses or range of possible losses cannot be reliably estimated.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16, 2026, American Metal Inc. and American Metal Resources LLC filed a civil claim in the Supreme Court of British Columbia, Vancouver Registry, captioned American Metal Inc. and American Metal Resources LLC v. TMC The Metals Company Inc. and The Metals Company USA LLC, No. S260335. The notice of civil claim alleged various causes of action, including tortious intimidation, breach of contract, breach of confidence and breach of the duty of honest performance, arising from discussions between the parties regarding potential collaboration and the submission of applications for deep seabed mineral exploration licenses to the United States NOAA. The plaintiffs sought damages and other relief, including a declaration and constructive trust in respect of any exploration licenses awarded to TMC USA. On March 3, 2026, we filed a response to civil claim denying the material allegations in the notice of civil claim, together with a counterclaim against Robert Heydon, American Metal Inc. and American Metal Resources LLC alleging, among other things, breach of contract, breach of confidence, breach of fiduciary duty, inducement of breach of contract and related claims arising from the alleged misuse of the Company’s confidential information in connection with competing license applications. In June 2026, without any admission of liability by any party, we entered into a settlement deed with American Metal Inc., American Metal Resources LLC, Robert Heydon and certain of his affiliated parties resolving this action, pursuant to which the parties agreed to the consent dismissal, without costs to any party, of the civil claim and our counterclaim, together with mutual releases of related claims. This matter is now concluded.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May 18, 2026, NORI and TOML each issued a Notice of Dispute to the ISA concerning the ISA’s inquiries into their possible non-compliance with their exploration contracts. By Applications filed on June 5, 2026, each instituted proceedings against the ISA, together with a request for provisional measures, before the Seabed Disputes Chamber of the International Tribunal for the Law of the Sea, captioned Nauru Ocean Resources Inc. v. International Seabed Authority, Case No. 34, and Tonga Offshore Mining Ltd. v. International Seabed Authority, Case No. 35. On July 18, 2026, the Chamber prescribed provisional measures in both proceedings; the merits remain to be briefed and heard. The relief sought is declaratory and injunctive rather than monetary, and no damages have been claimed or awarded. For a description of these proceedings and of related developments concerning NORI’s and TOML’s exploration contracts, see Note 17 to our unaudited condensed consolidated interim financial statements included in Part I, Item 1 of this Quarterly Report on Form 10-Q, which description is incorporated into this Item 1 by reference.</w:t>
      </w:r>
    </w:p>
    <w:p>
      <w:pPr>
        <w:pStyle w:val="TextBody"/>
        <w:bidi w:val="0"/>
        <w:spacing w:before="0" w:after="0"/>
        <w:ind w:left="0" w:right="0" w:firstLine="426"/>
        <w:jc w:val="both"/>
        <w:rPr/>
      </w:pPr>
      <w:r>
        <w:rPr/>
        <w:t>​</w:t>
      </w:r>
    </w:p>
    <w:p>
      <w:pPr>
        <w:pStyle w:val="TextBody"/>
        <w:pBdr/>
        <w:bidi w:val="0"/>
        <w:spacing w:before="0" w:after="240"/>
        <w:ind w:left="0" w:right="0" w:hanging="907"/>
        <w:jc w:val="both"/>
        <w:rPr>
          <w:rFonts w:ascii="Times New Roman;Times;serif" w:hAnsi="Times New Roman;Times;serif"/>
          <w:b/>
          <w:sz w:val="20"/>
        </w:rPr>
      </w:pPr>
      <w:bookmarkStart w:id="1471" w:name="ITEM1ARISKFACTORS_765069"/>
      <w:bookmarkStart w:id="1472" w:name="_0cb7f789_a9b1_49f4_bd59_e23acb5c20d9"/>
      <w:bookmarkEnd w:id="1471"/>
      <w:bookmarkEnd w:id="1472"/>
      <w:r>
        <w:rPr>
          <w:rFonts w:ascii="Times New Roman;Times;serif" w:hAnsi="Times New Roman;Times;serif"/>
          <w:b/>
          <w:sz w:val="20"/>
        </w:rPr>
        <w:t>ITEM 1A.  RISK FACTORS.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You should carefully review and consider the information regarding certain factors that could materially affect our business, consolidated financial condition or results of operations set forth under Item 1A. Risk Factors in our 2025 Annual Report on Form 10-K and our Quarterly Report on Form 10-Q for the quarter ended March 31, 2026. Except as set forth below, there have been no material changes from or additions to the risk factors disclosed in those reports. We may disclose changes to risk factors or additional factors from time to time in our future filings with the SEC.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 ISA’s inquiry into the possible non-compliance of NORI and TOML with their exploration contracts, and the related proceedings before the Seabed Disputes Chamber, could adversely affect our rights under the ISA regime.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March 2026, the ISA identified our subsidiaries NORI and TOML as contractors requiring specific attention for possible non-compliance with their exploration contracts. NORI and TOML maintain that they have complied with their contractual obligations and have each instituted proceedings against the ISA before the Seabed Disputes Chamber challenging the process by which the inquiry is being conducted.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July 18, 2026, the Chamber prescribed provisional measures in both proceedings. Those orders are interim, do not prejudge the merits, and did not suspend the inquiries, which the ISA remains able to continue in accordance with the applicable legal framework, including rules of due process. There is no assurance that the Chamber will find in favor of NORI or TOML on the merits, that the ISA will comply with the provisional measures, or that a final decision would afford effective relief.</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timing of the merits phase is uncertain and may extend well beyond our current expectations. The ISA has asked the Chamber to defer its defense on the merits to March 30, 2027 and, if that request is granted, the merits would not be heard before the second half of 2027 at the earliest. We expect to continue to incur legal costs while the proceedings continue, and prolonged uncertainty may adversely affect our relationships with the ISA, our sponsoring States and our commercial partners.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 adverse outcome in the inquiry could result in findings of non-compliance and in remedial measures, sanctions or other action by the ISA in respect of the exploration contracts, including, in certain circumstances, their suspension or termination. The Council of the ISA’s approval of a five-year extension of NORI’s exploration contract is stated to be without prejudice to any findings arising from the inquiry. An adverse outcome could also affect the extension of TOML’s exploration contract and our ability to obtain a contract for exploitation from the ISA.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TOML’s exploration contract is due to expire on January 11, 2027, before the LTC is scheduled to consider its extension application, and TOML expects the contract to be deemed extended from January 12, 2027 under the transitional provision of the ISA’s extension procedures. If the ISA were to take a different view of the application of that provision, or if either extension were denied or delayed, our exploration rights could lapse or be interrupted, which could adversely affect our sponsorship arrangements with Naoero and Tonga and have a material adverse effect on our business, financial condition and prospects.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If we are unable to implement and maintain effective internal controls over financial reporting under Section 404 of the Sarbanes-Oxley Act, investors may lose confidence in the accuracy and completeness of our financial reports and we may face litigation.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public company, we are subject to the requirements of Section 404 of the Sarbanes-Oxley Act, and are required to implement and maintain internal controls over financial reporting and to report any material weaknesses in such internal controls. Under Section 404(a) of the Sarbanes-Oxley Act, our management is required to report on the effectiveness of our internal controls over financial reporting in our Annual Report on Form 10-K for each fiscal year. Based on our capitalization and share price as of June 30, 2026, we expect to transition to “large-accelerated filer” status for the year ending December 31, 2026. As a result, we expect to be subject to Section 404(b) of the Sarbanes-Oxley Act, which will require that our independent registered public accounting firm provide an attestation report on the effectiveness of our internal control over financial reporting for the first time in the Annual Report on Form 10-K for the year ending December 31, 2026, among other additional requirements. Compliance with Section 404(b) of the Sarbanes-Oxley Act will result in increased costs and expenses and will divert management resources from other matters. If we are unable to assert that our internal control over financial reporting is effective, or, if required, our independent registered public accounting firm is unable to express an opinion as to the effectiveness of our internal control over financial reporting, investors may lose confidence in the accuracy and completeness of our financial reports and the valuation of our common shares could be adversely affected. In addition, any misstatement in our financial information caused by a material weakness could lead to shareholder litigation that could have a material adverse effect on our business or financial condition. For example, we have previously identified and remediated material weaknesses in our internal control over financial reporting. Certain of these material weaknesses caused us to restate financial information and resulted in shareholder litigation against us. There is no guarantee we will be able to maintain effective internal controls in the future.</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473" w:name="ITEM2UNREGISTEREDSALESOFEQUITYSECURITIES"/>
      <w:bookmarkStart w:id="1474" w:name="_ab4c1b9b_ee9e_43fd_81ed_94a858616cd5"/>
      <w:bookmarkEnd w:id="1473"/>
      <w:bookmarkEnd w:id="1474"/>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Issuer Purchases of Equity Securities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did not repurchase any of our equity securities during the three months ended June 30, 2026.</w:t>
      </w:r>
    </w:p>
    <w:p>
      <w:pPr>
        <w:pStyle w:val="TextBody"/>
        <w:bidi w:val="0"/>
        <w:spacing w:before="0" w:after="0"/>
        <w:ind w:left="0" w:right="0" w:firstLine="426"/>
        <w:jc w:val="both"/>
        <w:rPr/>
      </w:pPr>
      <w:r>
        <w:rPr/>
        <w:t>​</w:t>
      </w:r>
    </w:p>
    <w:p>
      <w:pPr>
        <w:pStyle w:val="TextBody"/>
        <w:bidi w:val="0"/>
        <w:spacing w:before="0" w:after="240"/>
        <w:ind w:left="0" w:right="0" w:hanging="0"/>
        <w:jc w:val="both"/>
        <w:rPr>
          <w:rFonts w:ascii="Times New Roman;Times;serif" w:hAnsi="Times New Roman;Times;serif"/>
          <w:b/>
          <w:sz w:val="20"/>
        </w:rPr>
      </w:pPr>
      <w:bookmarkStart w:id="1475" w:name="ITEM3DEFAULTSUPONSENIORSECURITIES_440018"/>
      <w:bookmarkStart w:id="1476" w:name="_e3510bfd_5e1f_4a78_bac6_8fb95a2032f0"/>
      <w:bookmarkEnd w:id="1475"/>
      <w:bookmarkEnd w:id="1476"/>
      <w:r>
        <w:rPr>
          <w:rFonts w:ascii="Times New Roman;Times;serif" w:hAnsi="Times New Roman;Times;serif"/>
          <w:b/>
          <w:sz w:val="20"/>
        </w:rPr>
        <w:t>ITEM 3.    DEFAULTS UPON SENIOR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rFonts w:ascii="Times New Roman;Times;serif" w:hAnsi="Times New Roman;Times;serif"/>
          <w:b/>
          <w:sz w:val="20"/>
        </w:rPr>
      </w:pPr>
      <w:bookmarkStart w:id="1477" w:name="ITEM4MINESAFETYDISCLOSURES_620629"/>
      <w:bookmarkStart w:id="1478" w:name="_47078fb0_b647_47d7_b954_be91a27904fa"/>
      <w:bookmarkEnd w:id="1477"/>
      <w:bookmarkEnd w:id="1478"/>
      <w:r>
        <w:rPr>
          <w:rFonts w:ascii="Times New Roman;Times;serif" w:hAnsi="Times New Roman;Times;serif"/>
          <w:b/>
          <w:sz w:val="20"/>
        </w:rPr>
        <w:t>ITEM 4.    MINE SAFETY DISCLOSURES.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rFonts w:ascii="Times New Roman;Times;serif" w:hAnsi="Times New Roman;Times;serif"/>
          <w:b/>
          <w:sz w:val="20"/>
        </w:rPr>
      </w:pPr>
      <w:bookmarkStart w:id="1479" w:name="ITEM5OTHERINFORMATION_798310"/>
      <w:bookmarkStart w:id="1480" w:name="_d6fb85eb_f61a_407b_a1e8_6aec31e43f23"/>
      <w:bookmarkEnd w:id="1479"/>
      <w:bookmarkEnd w:id="1480"/>
      <w:r>
        <w:rPr>
          <w:rFonts w:ascii="Times New Roman;Times;serif" w:hAnsi="Times New Roman;Times;serif"/>
          <w:b/>
          <w:sz w:val="20"/>
        </w:rPr>
        <w:t>ITEM 5.    OTHER INFORMATION.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10b5-1 Trading Arrangements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months ended June 30, 2026, none of our directors or officers (as defined in Section 16 of the Securities Exchange Act of 1934, as amended) adopted, modified or terminated any contract, instruction or written plan for the purchase or sale of our securities that was intended to satisfy the affirmative defense conditions of Rule 10b5-1(c) or any “non-Rule 10b5-1 trading arrangement,” as defined in Item 408(a) of Regulation S-K.</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Issuance of Common Shares to Allseas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11, 2026, the Company entered into the Contract for Development Work and Commercial Production (the “Agreement”) with Allseas Deepsea Marine Contractors, a subsidiary of Allseas.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Agreement, on July 2, 2026 the Company issued to Allseas Group S.A. at the direction of Allseas Deepsea Marine Contractors as the counterparty under the Agreement, 7,305,567 common shares (the “Shares”) in settlement of the March 31, 2026 amount owing of $32.8 million for development work previously performed by Allseas Group S.A. and its affiliates in connection with the nodule collection system, $7.9 million on the remeasurement of initial costs to be settled in equity and an additional $2.5 million of initial costs as negotiated. A final share settlement of additional costs up to the date of this Agreement is to be completed in accordance with the terms of the Agreement. The final Share Settlement Amount and corresponding number of Shares are subject to determination in accordance with the terms of the Agreement and have not been finally determined as of the date of this Quarterly Report. As prescribed in the Agreement, the settlement in shares was calculated using a VWAP over the 20 trading days preceding the effective date as stipulated in the Agreement, less a discount. Pursuant to the Agreement, costs incurred up to the signing of this Agreement, not yet invoiced by Allseas, will be payable in any event, which the Company expects to settle in cash through production revenues, in accordance with the terms of the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Shares were issued in reliance on the exemption from registration provided by Section 4(a)(2) of the Securities Act of 1933, as amended, as a transaction not involving a public offering. Allseas is a sophisticated investor and the Company’s largest strategic shareholder. The Shares have not been registered under the Securities Act and may not be offered or sold in the United States absent registration or an applicable exemption from registration requirements.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481" w:name="ITEM_6_EXHIBITS"/>
      <w:bookmarkStart w:id="1482" w:name="_c340b090_a52f_4d5f_acb1_1683f186f2f2"/>
      <w:bookmarkEnd w:id="1481"/>
      <w:bookmarkEnd w:id="1482"/>
      <w:r>
        <w:rPr>
          <w:rFonts w:ascii="Times New Roman;Times;serif" w:hAnsi="Times New Roman;Times;serif"/>
          <w:b/>
          <w:sz w:val="20"/>
        </w:rPr>
        <w:t>ITEM 6.    EXHIBITS.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exhibits are filed as part of, or incorporated by reference into, this Quarterly Report on Form 10-Q.</w:t>
      </w:r>
    </w:p>
    <w:tbl>
      <w:tblPr>
        <w:tblW w:w="10205" w:type="dxa"/>
        <w:jc w:val="left"/>
        <w:tblInd w:w="0" w:type="dxa"/>
        <w:tblLayout w:type="fixed"/>
        <w:tblCellMar>
          <w:top w:w="0" w:type="dxa"/>
          <w:left w:w="0" w:type="dxa"/>
          <w:bottom w:w="28" w:type="dxa"/>
          <w:right w:w="0" w:type="dxa"/>
        </w:tblCellMar>
      </w:tblPr>
      <w:tblGrid>
        <w:gridCol w:w="742"/>
        <w:gridCol w:w="346"/>
        <w:gridCol w:w="4216"/>
        <w:gridCol w:w="346"/>
        <w:gridCol w:w="870"/>
        <w:gridCol w:w="346"/>
        <w:gridCol w:w="1139"/>
        <w:gridCol w:w="346"/>
        <w:gridCol w:w="685"/>
        <w:gridCol w:w="346"/>
        <w:gridCol w:w="823"/>
      </w:tblGrid>
      <w:tr>
        <w:trPr/>
        <w:tc>
          <w:tcPr>
            <w:tcW w:w="742"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42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87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 Herewith</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1139"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Incorporated by</w:t>
              <w:br/>
              <w:t>Reference Herein</w:t>
              <w:br/>
              <w:t>from</w:t>
            </w:r>
            <w:r>
              <w:rPr>
                <w:rFonts w:ascii="Times New Roman;Times;serif" w:hAnsi="Times New Roman;Times;serif"/>
                <w:sz w:val="16"/>
              </w:rPr>
              <w:t xml:space="preserve"> </w:t>
              <w:br/>
            </w:r>
            <w:r>
              <w:rPr>
                <w:rFonts w:ascii="Times New Roman;Times;serif" w:hAnsi="Times New Roman;Times;serif"/>
                <w:b/>
                <w:sz w:val="16"/>
              </w:rPr>
              <w:t>Form or Schedule</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68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823"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 File/</w:t>
              <w:br/>
              <w:t>Reg. Number</w:t>
            </w:r>
          </w:p>
        </w:tc>
      </w:tr>
      <w:tr>
        <w:trPr/>
        <w:tc>
          <w:tcPr>
            <w:tcW w:w="742"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4216"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Contract For Development Work and Commercial Production, dated May 11, 2026, with Allseas Deepsea Marine Contractors</w:t>
              </w:r>
            </w:hyperlink>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70"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pPr>
            <w:r>
              <w:rPr/>
              <w:t>​</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1139"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10-Q</w:t>
              <w:br/>
              <w:t>(Exhibit 10.1)</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685"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14, 2026</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23"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4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216" w:type="dxa"/>
            <w:tcBorders/>
            <w:tcMar>
              <w:bottom w:w="0" w:type="dxa"/>
            </w:tcMar>
            <w:vAlign w:val="center"/>
          </w:tcPr>
          <w:p>
            <w:pPr>
              <w:pStyle w:val="TableContents"/>
              <w:bidi w:val="0"/>
              <w:spacing w:before="0" w:after="0"/>
              <w:ind w:left="0" w:right="0" w:hanging="0"/>
              <w:jc w:val="left"/>
              <w:rPr/>
            </w:pPr>
            <w:hyperlink w:anchor="tmc-20260630xex31d1.htm">
              <w:r>
                <w:rPr>
                  <w:rStyle w:val="InternetLink"/>
                  <w:rFonts w:ascii="Times New Roman;Times;serif" w:hAnsi="Times New Roman;Times;serif"/>
                  <w:b w:val="false"/>
                  <w:i w:val="false"/>
                  <w:caps w:val="false"/>
                  <w:smallCaps w:val="false"/>
                  <w:sz w:val="20"/>
                </w:rPr>
                <w:t>Certification of the Principal Executive Officer pursuant to Section 302 of the Sarbanes-Oxley Act of 2002</w:t>
              </w:r>
            </w:hyperlink>
          </w:p>
        </w:tc>
        <w:tc>
          <w:tcPr>
            <w:tcW w:w="346" w:type="dxa"/>
            <w:tcBorders/>
            <w:tcMar>
              <w:bottom w:w="0" w:type="dxa"/>
            </w:tcMar>
            <w:vAlign w:val="center"/>
          </w:tcPr>
          <w:p>
            <w:pPr>
              <w:pStyle w:val="TableContents"/>
              <w:bidi w:val="0"/>
              <w:spacing w:before="0" w:after="0"/>
              <w:ind w:left="0" w:right="0" w:hanging="0"/>
              <w:jc w:val="center"/>
              <w:rPr/>
            </w:pPr>
            <w:r>
              <w:rPr/>
              <w:t>​</w:t>
            </w:r>
          </w:p>
        </w:tc>
        <w:tc>
          <w:tcPr>
            <w:tcW w:w="87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139"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685"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23" w:type="dxa"/>
            <w:tcBorders/>
            <w:tcMar>
              <w:bottom w:w="0" w:type="dxa"/>
            </w:tcMar>
            <w:vAlign w:val="center"/>
          </w:tcPr>
          <w:p>
            <w:pPr>
              <w:pStyle w:val="TableContents"/>
              <w:bidi w:val="0"/>
              <w:spacing w:before="0" w:after="0"/>
              <w:ind w:left="0" w:right="0" w:hanging="0"/>
              <w:jc w:val="center"/>
              <w:rPr/>
            </w:pPr>
            <w:r>
              <w:rPr/>
              <w:t>​</w:t>
            </w:r>
          </w:p>
        </w:tc>
      </w:tr>
      <w:tr>
        <w:trPr/>
        <w:tc>
          <w:tcPr>
            <w:tcW w:w="74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4216" w:type="dxa"/>
            <w:tcBorders/>
            <w:shd w:fill="CCEEFF" w:val="clear"/>
            <w:tcMar>
              <w:bottom w:w="0" w:type="dxa"/>
            </w:tcMar>
            <w:vAlign w:val="center"/>
          </w:tcPr>
          <w:p>
            <w:pPr>
              <w:pStyle w:val="TableContents"/>
              <w:bidi w:val="0"/>
              <w:spacing w:before="0" w:after="0"/>
              <w:ind w:left="0" w:right="0" w:hanging="0"/>
              <w:jc w:val="left"/>
              <w:rPr/>
            </w:pPr>
            <w:hyperlink w:anchor="tmc-20260630xex31d2.htm">
              <w:r>
                <w:rPr>
                  <w:rStyle w:val="InternetLink"/>
                  <w:rFonts w:ascii="Times New Roman;Times;serif" w:hAnsi="Times New Roman;Times;serif"/>
                  <w:b w:val="false"/>
                  <w:i w:val="false"/>
                  <w:caps w:val="false"/>
                  <w:smallCaps w:val="false"/>
                  <w:sz w:val="20"/>
                </w:rPr>
                <w:t>Certification of the Principal Financial Officer pursuant to Section 302 of the Sarbanes-Oxley Act of 2002</w:t>
              </w:r>
            </w:hyperlink>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1139" w:type="dxa"/>
            <w:tcBorders/>
            <w:shd w:fill="CCEEFF" w:val="clear"/>
            <w:tcMar>
              <w:bottom w:w="0" w:type="dxa"/>
            </w:tcMar>
            <w:vAlign w:val="center"/>
          </w:tcPr>
          <w:p>
            <w:pPr>
              <w:pStyle w:val="TableContents"/>
              <w:bidi w:val="0"/>
              <w:spacing w:before="0" w:after="0"/>
              <w:ind w:left="0" w:right="0" w:hanging="0"/>
              <w:jc w:val="center"/>
              <w:rPr/>
            </w:pPr>
            <w:r>
              <w:rPr/>
              <w:t>​</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685" w:type="dxa"/>
            <w:tcBorders/>
            <w:shd w:fill="CCEEFF" w:val="clear"/>
            <w:tcMar>
              <w:bottom w:w="0" w:type="dxa"/>
            </w:tcMar>
            <w:vAlign w:val="center"/>
          </w:tcPr>
          <w:p>
            <w:pPr>
              <w:pStyle w:val="TableContents"/>
              <w:bidi w:val="0"/>
              <w:spacing w:before="0" w:after="0"/>
              <w:ind w:left="0" w:right="0" w:hanging="0"/>
              <w:jc w:val="center"/>
              <w:rPr/>
            </w:pPr>
            <w:r>
              <w:rPr/>
              <w:t>​</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23" w:type="dxa"/>
            <w:tcBorders/>
            <w:shd w:fill="CCEEFF" w:val="clear"/>
            <w:tcMar>
              <w:bottom w:w="0" w:type="dxa"/>
            </w:tcMar>
            <w:vAlign w:val="center"/>
          </w:tcPr>
          <w:p>
            <w:pPr>
              <w:pStyle w:val="TableContents"/>
              <w:bidi w:val="0"/>
              <w:spacing w:before="0" w:after="0"/>
              <w:ind w:left="0" w:right="0" w:hanging="0"/>
              <w:jc w:val="center"/>
              <w:rPr/>
            </w:pPr>
            <w:r>
              <w:rPr/>
              <w:t>​</w:t>
            </w:r>
          </w:p>
        </w:tc>
      </w:tr>
      <w:tr>
        <w:trPr/>
        <w:tc>
          <w:tcPr>
            <w:tcW w:w="74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216" w:type="dxa"/>
            <w:tcBorders/>
            <w:tcMar>
              <w:bottom w:w="0" w:type="dxa"/>
            </w:tcMar>
            <w:vAlign w:val="center"/>
          </w:tcPr>
          <w:p>
            <w:pPr>
              <w:pStyle w:val="TableContents"/>
              <w:bidi w:val="0"/>
              <w:spacing w:before="0" w:after="0"/>
              <w:ind w:left="0" w:right="0" w:hanging="0"/>
              <w:jc w:val="left"/>
              <w:rPr/>
            </w:pPr>
            <w:hyperlink w:anchor="tmc-20260630xex32.htm">
              <w:r>
                <w:rPr>
                  <w:rStyle w:val="InternetLink"/>
                  <w:rFonts w:ascii="Times New Roman;Times;serif" w:hAnsi="Times New Roman;Times;serif"/>
                  <w:b w:val="false"/>
                  <w:i w:val="false"/>
                  <w:caps w:val="false"/>
                  <w:smallCaps w:val="false"/>
                  <w:sz w:val="20"/>
                </w:rPr>
                <w:t>Certifications of the Chief Executive Officer and Chief Financial Officer pursuant to Section 906 of the Sarbanes-Oxley Act of 2002</w:t>
              </w:r>
            </w:hyperlink>
          </w:p>
        </w:tc>
        <w:tc>
          <w:tcPr>
            <w:tcW w:w="346" w:type="dxa"/>
            <w:tcBorders/>
            <w:tcMar>
              <w:bottom w:w="0" w:type="dxa"/>
            </w:tcMar>
            <w:vAlign w:val="center"/>
          </w:tcPr>
          <w:p>
            <w:pPr>
              <w:pStyle w:val="TableContents"/>
              <w:bidi w:val="0"/>
              <w:spacing w:before="0" w:after="0"/>
              <w:ind w:left="0" w:right="0" w:hanging="0"/>
              <w:jc w:val="center"/>
              <w:rPr/>
            </w:pPr>
            <w:r>
              <w:rPr/>
              <w:t>​</w:t>
            </w:r>
          </w:p>
        </w:tc>
        <w:tc>
          <w:tcPr>
            <w:tcW w:w="87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139"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685"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23" w:type="dxa"/>
            <w:tcBorders/>
            <w:tcMar>
              <w:bottom w:w="0" w:type="dxa"/>
            </w:tcMar>
            <w:vAlign w:val="center"/>
          </w:tcPr>
          <w:p>
            <w:pPr>
              <w:pStyle w:val="TableContents"/>
              <w:bidi w:val="0"/>
              <w:spacing w:before="0" w:after="0"/>
              <w:ind w:left="0" w:right="0" w:hanging="0"/>
              <w:jc w:val="center"/>
              <w:rPr/>
            </w:pPr>
            <w:r>
              <w:rPr/>
              <w:t>​</w:t>
            </w:r>
          </w:p>
        </w:tc>
      </w:tr>
      <w:tr>
        <w:trPr/>
        <w:tc>
          <w:tcPr>
            <w:tcW w:w="742"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421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(the instance document does not appear in the Interactive Data File because its XBRL tags are embedded within the Inline XBRL document)</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1139" w:type="dxa"/>
            <w:tcBorders/>
            <w:shd w:fill="CCEEFF" w:val="clear"/>
            <w:tcMar>
              <w:bottom w:w="0" w:type="dxa"/>
            </w:tcMar>
            <w:vAlign w:val="center"/>
          </w:tcPr>
          <w:p>
            <w:pPr>
              <w:pStyle w:val="TableContents"/>
              <w:bidi w:val="0"/>
              <w:spacing w:before="0" w:after="0"/>
              <w:ind w:left="0" w:right="0" w:hanging="0"/>
              <w:jc w:val="center"/>
              <w:rPr/>
            </w:pPr>
            <w:r>
              <w:rPr/>
              <w:t>​</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685" w:type="dxa"/>
            <w:tcBorders/>
            <w:shd w:fill="CCEEFF" w:val="clear"/>
            <w:tcMar>
              <w:bottom w:w="0" w:type="dxa"/>
            </w:tcMar>
            <w:vAlign w:val="center"/>
          </w:tcPr>
          <w:p>
            <w:pPr>
              <w:pStyle w:val="TableContents"/>
              <w:bidi w:val="0"/>
              <w:spacing w:before="0" w:after="0"/>
              <w:ind w:left="0" w:right="0" w:hanging="0"/>
              <w:jc w:val="center"/>
              <w:rPr/>
            </w:pPr>
            <w:r>
              <w:rPr/>
              <w:t>​</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23" w:type="dxa"/>
            <w:tcBorders/>
            <w:shd w:fill="CCEEFF" w:val="clear"/>
            <w:tcMar>
              <w:bottom w:w="0" w:type="dxa"/>
            </w:tcMar>
            <w:vAlign w:val="center"/>
          </w:tcPr>
          <w:p>
            <w:pPr>
              <w:pStyle w:val="TableContents"/>
              <w:bidi w:val="0"/>
              <w:spacing w:before="0" w:after="0"/>
              <w:ind w:left="0" w:right="0" w:hanging="0"/>
              <w:jc w:val="center"/>
              <w:rPr/>
            </w:pPr>
            <w:r>
              <w:rPr/>
              <w:t>​</w:t>
            </w:r>
          </w:p>
        </w:tc>
      </w:tr>
      <w:tr>
        <w:trPr/>
        <w:tc>
          <w:tcPr>
            <w:tcW w:w="742"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2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7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139"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685"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23" w:type="dxa"/>
            <w:tcBorders/>
            <w:tcMar>
              <w:bottom w:w="0" w:type="dxa"/>
            </w:tcMar>
            <w:vAlign w:val="center"/>
          </w:tcPr>
          <w:p>
            <w:pPr>
              <w:pStyle w:val="TableContents"/>
              <w:bidi w:val="0"/>
              <w:spacing w:before="0" w:after="0"/>
              <w:ind w:left="0" w:right="0" w:hanging="0"/>
              <w:jc w:val="center"/>
              <w:rPr/>
            </w:pPr>
            <w:r>
              <w:rPr/>
              <w:t>​</w:t>
            </w:r>
          </w:p>
        </w:tc>
      </w:tr>
      <w:tr>
        <w:trPr/>
        <w:tc>
          <w:tcPr>
            <w:tcW w:w="742"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421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1139" w:type="dxa"/>
            <w:tcBorders/>
            <w:shd w:fill="CCEEFF" w:val="clear"/>
            <w:tcMar>
              <w:bottom w:w="0" w:type="dxa"/>
            </w:tcMar>
            <w:vAlign w:val="center"/>
          </w:tcPr>
          <w:p>
            <w:pPr>
              <w:pStyle w:val="TableContents"/>
              <w:bidi w:val="0"/>
              <w:spacing w:before="0" w:after="0"/>
              <w:ind w:left="0" w:right="0" w:hanging="0"/>
              <w:jc w:val="center"/>
              <w:rPr/>
            </w:pPr>
            <w:r>
              <w:rPr/>
              <w:t>​</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685" w:type="dxa"/>
            <w:tcBorders/>
            <w:shd w:fill="CCEEFF" w:val="clear"/>
            <w:tcMar>
              <w:bottom w:w="0" w:type="dxa"/>
            </w:tcMar>
            <w:vAlign w:val="center"/>
          </w:tcPr>
          <w:p>
            <w:pPr>
              <w:pStyle w:val="TableContents"/>
              <w:bidi w:val="0"/>
              <w:spacing w:before="0" w:after="0"/>
              <w:ind w:left="0" w:right="0" w:hanging="0"/>
              <w:jc w:val="center"/>
              <w:rPr/>
            </w:pPr>
            <w:r>
              <w:rPr/>
              <w:t>​</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23" w:type="dxa"/>
            <w:tcBorders/>
            <w:shd w:fill="CCEEFF" w:val="clear"/>
            <w:tcMar>
              <w:bottom w:w="0" w:type="dxa"/>
            </w:tcMar>
            <w:vAlign w:val="center"/>
          </w:tcPr>
          <w:p>
            <w:pPr>
              <w:pStyle w:val="TableContents"/>
              <w:bidi w:val="0"/>
              <w:spacing w:before="0" w:after="0"/>
              <w:ind w:left="0" w:right="0" w:hanging="0"/>
              <w:jc w:val="center"/>
              <w:rPr/>
            </w:pPr>
            <w:r>
              <w:rPr/>
              <w:t>​</w:t>
            </w:r>
          </w:p>
        </w:tc>
      </w:tr>
      <w:tr>
        <w:trPr/>
        <w:tc>
          <w:tcPr>
            <w:tcW w:w="742"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2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7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139"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685"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23" w:type="dxa"/>
            <w:tcBorders/>
            <w:tcMar>
              <w:bottom w:w="0" w:type="dxa"/>
            </w:tcMar>
            <w:vAlign w:val="center"/>
          </w:tcPr>
          <w:p>
            <w:pPr>
              <w:pStyle w:val="TableContents"/>
              <w:bidi w:val="0"/>
              <w:spacing w:before="0" w:after="0"/>
              <w:ind w:left="0" w:right="0" w:hanging="0"/>
              <w:jc w:val="center"/>
              <w:rPr/>
            </w:pPr>
            <w:r>
              <w:rPr/>
              <w:t>​</w:t>
            </w:r>
          </w:p>
        </w:tc>
      </w:tr>
      <w:tr>
        <w:trPr/>
        <w:tc>
          <w:tcPr>
            <w:tcW w:w="742"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421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1139" w:type="dxa"/>
            <w:tcBorders/>
            <w:shd w:fill="CCEEFF" w:val="clear"/>
            <w:tcMar>
              <w:bottom w:w="0" w:type="dxa"/>
            </w:tcMar>
            <w:vAlign w:val="center"/>
          </w:tcPr>
          <w:p>
            <w:pPr>
              <w:pStyle w:val="TableContents"/>
              <w:bidi w:val="0"/>
              <w:spacing w:before="0" w:after="0"/>
              <w:ind w:left="0" w:right="0" w:hanging="0"/>
              <w:jc w:val="center"/>
              <w:rPr/>
            </w:pPr>
            <w:r>
              <w:rPr/>
              <w:t>​</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685" w:type="dxa"/>
            <w:tcBorders/>
            <w:shd w:fill="CCEEFF" w:val="clear"/>
            <w:tcMar>
              <w:bottom w:w="0" w:type="dxa"/>
            </w:tcMar>
            <w:vAlign w:val="center"/>
          </w:tcPr>
          <w:p>
            <w:pPr>
              <w:pStyle w:val="TableContents"/>
              <w:bidi w:val="0"/>
              <w:spacing w:before="0" w:after="0"/>
              <w:ind w:left="0" w:right="0" w:hanging="0"/>
              <w:jc w:val="center"/>
              <w:rPr/>
            </w:pPr>
            <w:r>
              <w:rPr/>
              <w:t>​</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23" w:type="dxa"/>
            <w:tcBorders/>
            <w:shd w:fill="CCEEFF" w:val="clear"/>
            <w:tcMar>
              <w:bottom w:w="0" w:type="dxa"/>
            </w:tcMar>
            <w:vAlign w:val="center"/>
          </w:tcPr>
          <w:p>
            <w:pPr>
              <w:pStyle w:val="TableContents"/>
              <w:bidi w:val="0"/>
              <w:spacing w:before="0" w:after="0"/>
              <w:ind w:left="0" w:right="0" w:hanging="0"/>
              <w:jc w:val="center"/>
              <w:rPr/>
            </w:pPr>
            <w:r>
              <w:rPr/>
              <w:t>​</w:t>
            </w:r>
          </w:p>
        </w:tc>
      </w:tr>
      <w:tr>
        <w:trPr/>
        <w:tc>
          <w:tcPr>
            <w:tcW w:w="742"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2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7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139"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685"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23" w:type="dxa"/>
            <w:tcBorders/>
            <w:tcMar>
              <w:bottom w:w="0" w:type="dxa"/>
            </w:tcMar>
            <w:vAlign w:val="center"/>
          </w:tcPr>
          <w:p>
            <w:pPr>
              <w:pStyle w:val="TableContents"/>
              <w:bidi w:val="0"/>
              <w:spacing w:before="0" w:after="0"/>
              <w:ind w:left="0" w:right="0" w:hanging="0"/>
              <w:jc w:val="center"/>
              <w:rPr/>
            </w:pPr>
            <w:r>
              <w:rPr/>
              <w:t>​</w:t>
            </w:r>
          </w:p>
        </w:tc>
      </w:tr>
    </w:tbl>
    <w:p>
      <w:pPr>
        <w:pStyle w:val="TextBody"/>
        <w:pBdr/>
        <w:bidi w:val="0"/>
        <w:spacing w:before="0" w:after="240"/>
        <w:ind w:left="0" w:right="0" w:hanging="360"/>
        <w:jc w:val="both"/>
        <w:rPr/>
      </w:pPr>
      <w:r>
        <w:rPr/>
        <w:t>†     </w:t>
      </w:r>
      <w:r>
        <w:rPr>
          <w:rFonts w:ascii="Times New Roman;Times;serif" w:hAnsi="Times New Roman;Times;serif"/>
          <w:sz w:val="20"/>
        </w:rPr>
        <w:t>Certain confidential portions of this Exhibit were omitted by means of marking such portions with brackets (“[***]”) because the identified confidential portions (A) (i) are not material and (ii) is the type of information that the Company treats as private or confidential or (B) are of a personal nature under Regulation S-K Item 601 (a)(6).</w:t>
      </w:r>
    </w:p>
    <w:p>
      <w:pPr>
        <w:pStyle w:val="TextBody"/>
        <w:pBdr/>
        <w:bidi w:val="0"/>
        <w:spacing w:before="0" w:after="240"/>
        <w:ind w:left="0" w:right="0" w:hanging="360"/>
        <w:jc w:val="both"/>
        <w:rPr>
          <w:rFonts w:ascii="Times New Roman;Times;serif" w:hAnsi="Times New Roman;Times;serif"/>
          <w:sz w:val="20"/>
        </w:rPr>
      </w:pPr>
      <w:r>
        <w:rPr>
          <w:rFonts w:ascii="Times New Roman;Times;serif" w:hAnsi="Times New Roman;Times;serif"/>
          <w:sz w:val="20"/>
        </w:rPr>
        <w:t xml:space="preserve">*     The certifications attached as Exhibit 32 that accompany this Quarterly Report on Form 10-Q are not deemed filed with the Securities and Exchange Commission and are not to be incorporated by reference into any filing of TMC the metals company Inc. under the Securities Act of 1933, as amended, or the Securities Exchange Act of 1934, as amended (whether made before or after the date of such Form 10-Q), irrespective of any general incorporation language contained in such filing.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483" w:name="_245d394b_e43d_4cf4_917c_1b8b0395ff55"/>
      <w:bookmarkStart w:id="1484" w:name="iSkippedRange_90101"/>
      <w:bookmarkEnd w:id="1483"/>
      <w:bookmarkEnd w:id="1484"/>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503" w:type="dxa"/>
        <w:jc w:val="left"/>
        <w:tblInd w:w="0" w:type="dxa"/>
        <w:tblLayout w:type="fixed"/>
        <w:tblCellMar>
          <w:top w:w="0" w:type="dxa"/>
          <w:left w:w="0" w:type="dxa"/>
          <w:bottom w:w="0" w:type="dxa"/>
          <w:right w:w="0" w:type="dxa"/>
        </w:tblCellMar>
      </w:tblPr>
      <w:tblGrid>
        <w:gridCol w:w="1951"/>
        <w:gridCol w:w="490"/>
        <w:gridCol w:w="2871"/>
        <w:gridCol w:w="19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238885" cy="175260"/>
                      <wp:effectExtent l="0" t="0" r="0" b="0"/>
                      <wp:wrapNone/>
                      <wp:docPr id="211" name="Frame211"/>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311150" cy="175260"/>
                      <wp:effectExtent l="0" t="0" r="0" b="0"/>
                      <wp:wrapNone/>
                      <wp:docPr id="212" name="Frame212"/>
                      <a:graphic xmlns:a="http://schemas.openxmlformats.org/drawingml/2006/main">
                        <a:graphicData uri="http://schemas.microsoft.com/office/word/2010/wordprocessingShape">
                          <wps:wsp>
                            <wps:cNvSpPr txBox="1"/>
                            <wps:spPr>
                              <a:xfrm>
                                <a:off x="0" y="0"/>
                                <a:ext cx="311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823085" cy="29210"/>
                      <wp:effectExtent l="0" t="0" r="0" b="0"/>
                      <wp:wrapNone/>
                      <wp:docPr id="213" name="Frame213"/>
                      <a:graphic xmlns:a="http://schemas.openxmlformats.org/drawingml/2006/main">
                        <a:graphicData uri="http://schemas.microsoft.com/office/word/2010/wordprocessingShape">
                          <wps:wsp>
                            <wps:cNvSpPr txBox="1"/>
                            <wps:spPr>
                              <a:xfrm>
                                <a:off x="0" y="0"/>
                                <a:ext cx="1823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21285" cy="29210"/>
                      <wp:effectExtent l="0" t="0" r="0" b="0"/>
                      <wp:wrapNone/>
                      <wp:docPr id="214" name="Frame214"/>
                      <a:graphic xmlns:a="http://schemas.openxmlformats.org/drawingml/2006/main">
                        <a:graphicData uri="http://schemas.microsoft.com/office/word/2010/wordprocessingShape">
                          <wps:wsp>
                            <wps:cNvSpPr txBox="1"/>
                            <wps:spPr>
                              <a:xfrm>
                                <a:off x="0" y="0"/>
                                <a:ext cx="121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w:t>
            </w:r>
          </w:p>
        </w:tc>
        <w:tc>
          <w:tcPr>
            <w:tcW w:w="3361"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TMC THE METALS COMPANY INC.</w:t>
            </w:r>
          </w:p>
        </w:tc>
        <w:tc>
          <w:tcPr>
            <w:tcW w:w="19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4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Gerard Barron</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Gerard Barron</w:t>
            </w:r>
          </w:p>
        </w:tc>
        <w:tc>
          <w:tcPr>
            <w:tcW w:w="19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9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4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8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Shesky</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Craig Shesky </w:t>
            </w:r>
          </w:p>
        </w:tc>
        <w:tc>
          <w:tcPr>
            <w:tcW w:w="19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0"/>
        <w:ind w:left="0" w:right="0" w:hanging="0"/>
        <w:jc w:val="right"/>
        <w:rPr>
          <w:rFonts w:ascii="Times New Roman;Times;serif" w:hAnsi="Times New Roman;Times;serif"/>
          <w:b/>
          <w:sz w:val="20"/>
        </w:rPr>
      </w:pPr>
      <w:bookmarkStart w:id="1485" w:name="tmc-20260630xex31d1.htm"/>
      <w:bookmarkStart w:id="1486" w:name="kstmc20260630xex31d1"/>
      <w:bookmarkEnd w:id="1485"/>
      <w:bookmarkEnd w:id="1486"/>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CERTIFICATIONS UNDER SECTION 302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Gerard Barron, certify that: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1. I have reviewed this quarterly report on Form 10-Q of TMC the metals company Inc;</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p>
      <w:pPr>
        <w:pStyle w:val="TextBody"/>
        <w:bidi w:val="0"/>
        <w:spacing w:before="0" w:after="0"/>
        <w:ind w:left="0" w:right="0" w:hanging="0"/>
        <w:jc w:val="left"/>
        <w:rPr/>
      </w:pPr>
      <w:r>
        <w:rPr/>
        <w:t>​</w:t>
      </w:r>
    </w:p>
    <w:tbl>
      <w:tblPr>
        <w:tblW w:w="4595" w:type="dxa"/>
        <w:jc w:val="left"/>
        <w:tblInd w:w="0" w:type="dxa"/>
        <w:tblLayout w:type="fixed"/>
        <w:tblCellMar>
          <w:top w:w="0" w:type="dxa"/>
          <w:left w:w="0" w:type="dxa"/>
          <w:bottom w:w="28" w:type="dxa"/>
          <w:right w:w="0" w:type="dxa"/>
        </w:tblCellMar>
      </w:tblPr>
      <w:tblGrid>
        <w:gridCol w:w="4441"/>
        <w:gridCol w:w="154"/>
      </w:tblGrid>
      <w:tr>
        <w:trPr/>
        <w:tc>
          <w:tcPr>
            <w:tcW w:w="444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Gerard Barron</w:t>
            </w:r>
          </w:p>
        </w:tc>
        <w:tc>
          <w:tcPr>
            <w:tcW w:w="154"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444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Gerard Barron</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444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Executive Officer </w:t>
            </w:r>
            <w:r>
              <w:rPr>
                <w:rFonts w:ascii="Times New Roman;Times;serif" w:hAnsi="Times New Roman;Times;serif"/>
                <w:i/>
                <w:sz w:val="20"/>
              </w:rPr>
              <w:t>(Principal Executive Officer)</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487" w:name="tmc-20260630xex31d2.htm"/>
      <w:bookmarkStart w:id="1488" w:name="kstmc20260630xex31d2"/>
      <w:bookmarkEnd w:id="1487"/>
      <w:bookmarkEnd w:id="1488"/>
      <w:r>
        <w:rPr>
          <w:rFonts w:ascii="Times New Roman;Times;serif" w:hAnsi="Times New Roman;Times;serif"/>
          <w:b/>
          <w:sz w:val="20"/>
        </w:rPr>
        <w:t>Exhibit 31.2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CERTIFICATIONS UNDER SECTION 302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Craig Shesky, certify that: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1.    I have reviewed this quarterly report on Form 10-Q of TMC the metals company Inc.;</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p>
      <w:pPr>
        <w:pStyle w:val="TextBody"/>
        <w:bidi w:val="0"/>
        <w:spacing w:before="0" w:after="0"/>
        <w:ind w:left="0" w:right="0" w:hanging="0"/>
        <w:jc w:val="left"/>
        <w:rPr/>
      </w:pPr>
      <w:r>
        <w:rPr/>
        <w:t>​</w:t>
      </w:r>
    </w:p>
    <w:tbl>
      <w:tblPr>
        <w:tblW w:w="4550" w:type="dxa"/>
        <w:jc w:val="left"/>
        <w:tblInd w:w="0" w:type="dxa"/>
        <w:tblLayout w:type="fixed"/>
        <w:tblCellMar>
          <w:top w:w="0" w:type="dxa"/>
          <w:left w:w="0" w:type="dxa"/>
          <w:bottom w:w="28" w:type="dxa"/>
          <w:right w:w="0" w:type="dxa"/>
        </w:tblCellMar>
      </w:tblPr>
      <w:tblGrid>
        <w:gridCol w:w="4396"/>
        <w:gridCol w:w="154"/>
      </w:tblGrid>
      <w:tr>
        <w:trPr/>
        <w:tc>
          <w:tcPr>
            <w:tcW w:w="439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Shesky</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439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Shesky</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439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w:t>
            </w:r>
            <w:r>
              <w:rPr>
                <w:rFonts w:ascii="Times New Roman;Times;serif" w:hAnsi="Times New Roman;Times;serif"/>
                <w:i/>
                <w:sz w:val="20"/>
              </w:rPr>
              <w:t>(Principal Financial Officer)</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489" w:name="tmc-20260630xex32.htm"/>
      <w:bookmarkStart w:id="1490" w:name="kstmc20260630xex32"/>
      <w:bookmarkEnd w:id="1489"/>
      <w:bookmarkEnd w:id="1490"/>
      <w:r>
        <w:rPr>
          <w:rFonts w:ascii="Times New Roman;Times;serif" w:hAnsi="Times New Roman;Times;serif"/>
          <w:b/>
          <w:sz w:val="20"/>
        </w:rPr>
        <w:t>Exhibit 32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CERTIFICATIONS UNDER SECTION 906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section 906 of the Sarbanes-Oxley Act of 2002 (subsections (a) and (b) of section 1350, chapter 63 of title 18, United States Code), each of the undersigned officers of TMC the metals company Inc., a British Columbia, Canada corporation (the “Company”), does hereby certify, to such officer’s knowledge,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Quarterly Report for the quarter ended June 30,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pStyle w:val="TextBody"/>
        <w:bidi w:val="0"/>
        <w:spacing w:before="0" w:after="0"/>
        <w:ind w:left="0" w:right="0" w:hanging="0"/>
        <w:jc w:val="left"/>
        <w:rPr/>
      </w:pPr>
      <w:r>
        <w:rPr/>
        <w:t>​</w:t>
      </w:r>
    </w:p>
    <w:tbl>
      <w:tblPr>
        <w:tblW w:w="4577" w:type="dxa"/>
        <w:jc w:val="left"/>
        <w:tblInd w:w="0" w:type="dxa"/>
        <w:tblLayout w:type="fixed"/>
        <w:tblCellMar>
          <w:top w:w="0" w:type="dxa"/>
          <w:left w:w="0" w:type="dxa"/>
          <w:bottom w:w="0" w:type="dxa"/>
          <w:right w:w="0" w:type="dxa"/>
        </w:tblCellMar>
      </w:tblPr>
      <w:tblGrid>
        <w:gridCol w:w="2056"/>
        <w:gridCol w:w="2521"/>
      </w:tblGrid>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13, 2026</w:t>
            </w:r>
          </w:p>
        </w:tc>
        <w:tc>
          <w:tcPr>
            <w:tcW w:w="2521" w:type="dxa"/>
            <w:tcBorders>
              <w:bottom w:val="single" w:sz="2" w:space="0" w:color="000000"/>
            </w:tcBorders>
            <w:tcMar>
              <w:bottom w:w="3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Gerard Barron</w:t>
            </w:r>
          </w:p>
        </w:tc>
      </w:tr>
      <w:tr>
        <w:trPr/>
        <w:tc>
          <w:tcPr>
            <w:tcW w:w="2056" w:type="dxa"/>
            <w:tcBorders/>
            <w:vAlign w:val="center"/>
          </w:tcPr>
          <w:p>
            <w:pPr>
              <w:pStyle w:val="TableContents"/>
              <w:bidi w:val="0"/>
              <w:spacing w:before="0" w:after="0"/>
              <w:ind w:left="0" w:right="0" w:hanging="0"/>
              <w:jc w:val="left"/>
              <w:rPr/>
            </w:pPr>
            <w:r>
              <w:rPr/>
              <w:t> </w:t>
            </w:r>
          </w:p>
        </w:tc>
        <w:tc>
          <w:tcPr>
            <w:tcW w:w="25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Gerard Barron</w:t>
            </w:r>
          </w:p>
        </w:tc>
      </w:tr>
      <w:tr>
        <w:trPr/>
        <w:tc>
          <w:tcPr>
            <w:tcW w:w="2056" w:type="dxa"/>
            <w:tcBorders/>
            <w:vAlign w:val="center"/>
          </w:tcPr>
          <w:p>
            <w:pPr>
              <w:pStyle w:val="TableContents"/>
              <w:bidi w:val="0"/>
              <w:spacing w:before="0" w:after="0"/>
              <w:ind w:left="0" w:right="0" w:hanging="0"/>
              <w:jc w:val="left"/>
              <w:rPr/>
            </w:pPr>
            <w:r>
              <w:rPr/>
              <w:t> </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056" w:type="dxa"/>
            <w:tcBorders/>
            <w:vAlign w:val="center"/>
          </w:tcPr>
          <w:p>
            <w:pPr>
              <w:pStyle w:val="TableContents"/>
              <w:bidi w:val="0"/>
              <w:spacing w:before="0" w:after="0"/>
              <w:ind w:left="0" w:right="0" w:hanging="0"/>
              <w:jc w:val="left"/>
              <w:rPr/>
            </w:pPr>
            <w:r>
              <w:rPr/>
              <w:t> </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2056" w:type="dxa"/>
            <w:tcBorders/>
            <w:vAlign w:val="center"/>
          </w:tcPr>
          <w:p>
            <w:pPr>
              <w:pStyle w:val="TableContents"/>
              <w:bidi w:val="0"/>
              <w:spacing w:before="0" w:after="0"/>
              <w:ind w:left="0" w:right="0" w:hanging="0"/>
              <w:jc w:val="left"/>
              <w:rPr/>
            </w:pPr>
            <w:r>
              <w:rPr/>
              <w:t> </w:t>
            </w:r>
          </w:p>
        </w:tc>
        <w:tc>
          <w:tcPr>
            <w:tcW w:w="2521" w:type="dxa"/>
            <w:tcBorders/>
            <w:vAlign w:val="center"/>
          </w:tcPr>
          <w:p>
            <w:pPr>
              <w:pStyle w:val="TableContents"/>
              <w:bidi w:val="0"/>
              <w:spacing w:before="0" w:after="0"/>
              <w:ind w:left="0" w:right="0" w:hanging="0"/>
              <w:jc w:val="left"/>
              <w:rPr/>
            </w:pPr>
            <w:r>
              <w:rPr/>
              <w:t> </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13, 2026</w:t>
            </w:r>
          </w:p>
        </w:tc>
        <w:tc>
          <w:tcPr>
            <w:tcW w:w="2521" w:type="dxa"/>
            <w:tcBorders>
              <w:bottom w:val="single" w:sz="2" w:space="0" w:color="000000"/>
            </w:tcBorders>
            <w:tcMar>
              <w:bottom w:w="3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Shesky</w:t>
            </w:r>
          </w:p>
        </w:tc>
      </w:tr>
      <w:tr>
        <w:trPr/>
        <w:tc>
          <w:tcPr>
            <w:tcW w:w="2056" w:type="dxa"/>
            <w:tcBorders/>
            <w:vAlign w:val="center"/>
          </w:tcPr>
          <w:p>
            <w:pPr>
              <w:pStyle w:val="TableContents"/>
              <w:bidi w:val="0"/>
              <w:spacing w:before="0" w:after="0"/>
              <w:ind w:left="0" w:right="0" w:hanging="0"/>
              <w:jc w:val="left"/>
              <w:rPr/>
            </w:pPr>
            <w:r>
              <w:rPr/>
              <w:t> </w:t>
            </w:r>
          </w:p>
        </w:tc>
        <w:tc>
          <w:tcPr>
            <w:tcW w:w="25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Shesky</w:t>
            </w:r>
          </w:p>
        </w:tc>
      </w:tr>
      <w:tr>
        <w:trPr/>
        <w:tc>
          <w:tcPr>
            <w:tcW w:w="2056" w:type="dxa"/>
            <w:tcBorders/>
            <w:vAlign w:val="center"/>
          </w:tcPr>
          <w:p>
            <w:pPr>
              <w:pStyle w:val="TableContents"/>
              <w:bidi w:val="0"/>
              <w:spacing w:before="0" w:after="0"/>
              <w:ind w:left="0" w:right="0" w:hanging="0"/>
              <w:jc w:val="left"/>
              <w:rPr/>
            </w:pPr>
            <w:r>
              <w:rPr/>
              <w:t> </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056" w:type="dxa"/>
            <w:tcBorders/>
            <w:vAlign w:val="center"/>
          </w:tcPr>
          <w:p>
            <w:pPr>
              <w:pStyle w:val="TableContents"/>
              <w:bidi w:val="0"/>
              <w:spacing w:before="0" w:after="0"/>
              <w:ind w:left="0" w:right="0" w:hanging="0"/>
              <w:jc w:val="left"/>
              <w:rPr/>
            </w:pPr>
            <w:r>
              <w:rPr/>
              <w:t> </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8562/000110465926061357/tmc-20260331xex10d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31115</Words>
  <Characters>169280</Characters>
  <CharactersWithSpaces>202373</CharactersWithSpaces>
  <Paragraphs>5465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