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c-20251231x10k.htm"/>
        <w:bookmarkStart w:id="1" w:name="kstmc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bookmarkStart w:id="2" w:name="_53f2049c_4fde_4488_9900_1ca21b9167d1"/>
      <w:bookmarkEnd w:id="2"/>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FORM 10-K</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(Mark One)</w:t>
      </w:r>
    </w:p>
    <w:p>
      <w:pPr>
        <w:pStyle w:val="TextBody"/>
        <w:bidi w:val="0"/>
        <w:spacing w:before="0" w:after="80"/>
        <w:ind w:left="0" w:right="0" w:hanging="0"/>
        <w:jc w:val="left"/>
        <w:rPr/>
      </w:pPr>
      <w:r>
        <w:rPr>
          <w:caps w:val="false"/>
          <w:smallCaps w:val="false"/>
        </w:rPr>
        <w:t>☒</w:t>
      </w:r>
      <w:r>
        <w:rPr>
          <w:rFonts w:ascii="Times New Roman;Times;serif" w:hAnsi="Times New Roman;Times;serif"/>
          <w:b/>
          <w:sz w:val="16"/>
        </w:rPr>
        <w:t>ANNUAL REPORT PURSUANT TO SECTION 13 OR 15(d) OF THE SECURITIES EXCHANGE ACT OF 1934</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For the fiscal year ended December 31, 2025</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80"/>
        <w:ind w:left="0" w:right="0" w:hanging="0"/>
        <w:jc w:val="left"/>
        <w:rPr/>
      </w:pPr>
      <w:r>
        <w:rPr>
          <w:caps w:val="false"/>
          <w:smallCaps w:val="false"/>
        </w:rPr>
        <w:t>☐</w:t>
      </w:r>
      <w:r>
        <w:rPr>
          <w:rFonts w:ascii="Times New Roman;Times;serif" w:hAnsi="Times New Roman;Times;serif"/>
          <w:b/>
          <w:sz w:val="16"/>
        </w:rPr>
        <w:t>TRANSITION REPORT PURSUANT TO SECTION 13 OR 15(d) OF THE SECURITIES EXCHANGE ACT OF 1934</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For the transition period from                  to</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Commission file number: 001-39281</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TMC THE METALS COMPANY INC.</w:t>
      </w:r>
    </w:p>
    <w:p>
      <w:pPr>
        <w:pStyle w:val="TextBody"/>
        <w:bidi w:val="0"/>
        <w:spacing w:before="0" w:after="100"/>
        <w:ind w:left="0" w:right="0" w:hanging="0"/>
        <w:jc w:val="center"/>
        <w:rPr>
          <w:rFonts w:ascii="Times New Roman;Times;serif" w:hAnsi="Times New Roman;Times;serif"/>
          <w:i/>
          <w:sz w:val="16"/>
        </w:rPr>
      </w:pPr>
      <w:r>
        <w:rPr>
          <w:rFonts w:ascii="Times New Roman;Times;serif" w:hAnsi="Times New Roman;Times;serif"/>
          <w:i/>
          <w:sz w:val="16"/>
        </w:rPr>
        <w:t>(Exact name of registrant as specified in its charter)</w:t>
      </w:r>
    </w:p>
    <w:p>
      <w:pPr>
        <w:pStyle w:val="Normal"/>
        <w:bidi w:val="0"/>
        <w:spacing w:before="0" w:after="0"/>
        <w:jc w:val="left"/>
        <w:rPr>
          <w:sz w:val="4"/>
          <w:szCs w:val="4"/>
        </w:rPr>
      </w:pPr>
      <w:r>
        <w:rPr>
          <w:sz w:val="4"/>
          <w:szCs w:val="4"/>
        </w:rPr>
      </w:r>
      <w:bookmarkStart w:id="3" w:name="Tc_-5zabvO-ckyQQSRqTeWiUg_9_0"/>
      <w:bookmarkStart w:id="4" w:name="Tc_WOUmq5AifkOGkGKyTx6qtw_7_0"/>
      <w:bookmarkStart w:id="5" w:name="Tc_75pyMpZ460Gqr6he-84elg_6_0"/>
      <w:bookmarkStart w:id="6" w:name="Tc_4T-CbSJHXkCxYOjVZPEYXw_5_1"/>
      <w:bookmarkStart w:id="7" w:name="Tc_8paRJLMPgUCXcne3Wf0JOA_5_0"/>
      <w:bookmarkStart w:id="8" w:name="Tc_ODyKVH_DkU67Tl_D5QneRg_4_0"/>
      <w:bookmarkStart w:id="9" w:name="Tc_sBoI2EstY0qXZ6Umj8db3Q_2_1"/>
      <w:bookmarkStart w:id="10" w:name="Tc_5wqkQSE1MkeaxIcwqT8XVQ_2_0"/>
      <w:bookmarkStart w:id="11" w:name="Tc_1ARmxsxtK0qSaKCiby912g_1_0"/>
      <w:bookmarkStart w:id="12" w:name="_c81d107a_46cd_4d66_b062_2e14f793c7a7"/>
      <w:bookmarkStart w:id="13" w:name="Tc_-5zabvO-ckyQQSRqTeWiUg_9_0"/>
      <w:bookmarkStart w:id="14" w:name="Tc_WOUmq5AifkOGkGKyTx6qtw_7_0"/>
      <w:bookmarkStart w:id="15" w:name="Tc_75pyMpZ460Gqr6he-84elg_6_0"/>
      <w:bookmarkStart w:id="16" w:name="Tc_4T-CbSJHXkCxYOjVZPEYXw_5_1"/>
      <w:bookmarkStart w:id="17" w:name="Tc_8paRJLMPgUCXcne3Wf0JOA_5_0"/>
      <w:bookmarkStart w:id="18" w:name="Tc_ODyKVH_DkU67Tl_D5QneRg_4_0"/>
      <w:bookmarkStart w:id="19" w:name="Tc_sBoI2EstY0qXZ6Umj8db3Q_2_1"/>
      <w:bookmarkStart w:id="20" w:name="Tc_5wqkQSE1MkeaxIcwqT8XVQ_2_0"/>
      <w:bookmarkStart w:id="21" w:name="Tc_1ARmxsxtK0qSaKCiby912g_1_0"/>
      <w:bookmarkStart w:id="22" w:name="_c81d107a_46cd_4d66_b062_2e14f793c7a7"/>
      <w:bookmarkEnd w:id="13"/>
      <w:bookmarkEnd w:id="14"/>
      <w:bookmarkEnd w:id="15"/>
      <w:bookmarkEnd w:id="16"/>
      <w:bookmarkEnd w:id="17"/>
      <w:bookmarkEnd w:id="18"/>
      <w:bookmarkEnd w:id="19"/>
      <w:bookmarkEnd w:id="20"/>
      <w:bookmarkEnd w:id="21"/>
      <w:bookmarkEnd w:id="22"/>
    </w:p>
    <w:tbl>
      <w:tblPr>
        <w:tblW w:w="5537" w:type="dxa"/>
        <w:jc w:val="left"/>
        <w:tblInd w:w="0" w:type="dxa"/>
        <w:tblLayout w:type="fixed"/>
        <w:tblCellMar>
          <w:top w:w="0" w:type="dxa"/>
          <w:left w:w="0" w:type="dxa"/>
          <w:bottom w:w="0" w:type="dxa"/>
          <w:right w:w="0" w:type="dxa"/>
        </w:tblCellMar>
      </w:tblPr>
      <w:tblGrid>
        <w:gridCol w:w="2911"/>
        <w:gridCol w:w="262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British Columbia, Canada</w:t>
            </w:r>
          </w:p>
        </w:tc>
        <w:tc>
          <w:tcPr>
            <w:tcW w:w="262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 Applicable</w:t>
            </w:r>
          </w:p>
        </w:tc>
      </w:tr>
      <w:tr>
        <w:trPr/>
        <w:tc>
          <w:tcPr>
            <w:tcW w:w="29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(State or other jurisdiction</w:t>
              <w:br/>
              <w:t>of incorporation or organization)</w:t>
            </w:r>
          </w:p>
        </w:tc>
        <w:tc>
          <w:tcPr>
            <w:tcW w:w="2626"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(I.R.S. Employer Identification No.)</w:t>
            </w:r>
          </w:p>
        </w:tc>
      </w:tr>
      <w:tr>
        <w:trPr/>
        <w:tc>
          <w:tcPr>
            <w:tcW w:w="2911" w:type="dxa"/>
            <w:tcBorders/>
            <w:vAlign w:val="center"/>
          </w:tcPr>
          <w:p>
            <w:pPr>
              <w:pStyle w:val="TableContents"/>
              <w:bidi w:val="0"/>
              <w:spacing w:before="0" w:after="0"/>
              <w:ind w:left="0" w:right="0" w:hanging="0"/>
              <w:jc w:val="center"/>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1111 West Hastings Street, 15th Floor</w:t>
              <w:br/>
              <w:t>Vancouver, British Columbia</w:t>
            </w:r>
          </w:p>
        </w:tc>
        <w:tc>
          <w:tcPr>
            <w:tcW w:w="26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V6E 2J3</w:t>
            </w:r>
          </w:p>
        </w:tc>
      </w:tr>
      <w:tr>
        <w:trPr/>
        <w:tc>
          <w:tcPr>
            <w:tcW w:w="29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(Address of principal executive offices)</w:t>
            </w:r>
          </w:p>
        </w:tc>
        <w:tc>
          <w:tcPr>
            <w:tcW w:w="2626"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(Zip Code)</w:t>
            </w:r>
          </w:p>
        </w:tc>
      </w:tr>
      <w:tr>
        <w:trPr/>
        <w:tc>
          <w:tcPr>
            <w:tcW w:w="55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(888) 458-3420</w:t>
            </w:r>
          </w:p>
        </w:tc>
      </w:tr>
      <w:tr>
        <w:trPr/>
        <w:tc>
          <w:tcPr>
            <w:tcW w:w="553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tc>
      </w:tr>
      <w:tr>
        <w:trPr/>
        <w:tc>
          <w:tcPr>
            <w:tcW w:w="5537" w:type="dxa"/>
            <w:gridSpan w:val="2"/>
            <w:tcBorders/>
            <w:vAlign w:val="center"/>
          </w:tcPr>
          <w:p>
            <w:pPr>
              <w:pStyle w:val="TableContents"/>
              <w:bidi w:val="0"/>
              <w:spacing w:before="0" w:after="0"/>
              <w:ind w:left="0" w:right="0" w:hanging="0"/>
              <w:jc w:val="left"/>
              <w:rPr/>
            </w:pPr>
            <w:r>
              <w:rPr/>
              <w:t>​</w:t>
            </w:r>
          </w:p>
        </w:tc>
      </w:tr>
      <w:tr>
        <w:trPr/>
        <w:tc>
          <w:tcPr>
            <w:tcW w:w="553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Exchange Act:</w:t>
            </w:r>
          </w:p>
        </w:tc>
      </w:tr>
    </w:tbl>
    <w:p>
      <w:pPr>
        <w:pStyle w:val="TextBody"/>
        <w:pBdr/>
        <w:bidi w:val="0"/>
        <w:spacing w:before="0" w:after="0"/>
        <w:ind w:left="0" w:right="0" w:hanging="5932"/>
        <w:jc w:val="left"/>
        <w:rPr/>
      </w:pPr>
      <w:r>
        <w:rPr/>
        <w:t>​</w:t>
      </w:r>
    </w:p>
    <w:p>
      <w:pPr>
        <w:pStyle w:val="TextBody"/>
        <w:pBdr/>
        <w:bidi w:val="0"/>
        <w:spacing w:before="0" w:after="0"/>
        <w:ind w:left="0" w:right="0" w:hanging="5932"/>
        <w:jc w:val="left"/>
        <w:rPr/>
      </w:pPr>
      <w:r>
        <w:rPr/>
        <w:t>​</w:t>
      </w:r>
    </w:p>
    <w:p>
      <w:pPr>
        <w:pStyle w:val="Normal"/>
        <w:bidi w:val="0"/>
        <w:spacing w:before="0" w:after="0"/>
        <w:jc w:val="left"/>
        <w:rPr>
          <w:sz w:val="4"/>
          <w:szCs w:val="4"/>
        </w:rPr>
      </w:pPr>
      <w:r>
        <w:rPr>
          <w:sz w:val="4"/>
          <w:szCs w:val="4"/>
        </w:rPr>
      </w:r>
      <w:bookmarkStart w:id="23" w:name="Tc_kM1Yt4y-g0Oj1lzB97czQA_2_2"/>
      <w:bookmarkStart w:id="24" w:name="Tc_7X5jIQeJGkSomsyGRZLq2w_1_2"/>
      <w:bookmarkStart w:id="25" w:name="Tc_1uLRfd9ZwUa3YM5tjsHXTw_0_2"/>
      <w:bookmarkStart w:id="26" w:name="Tc_LGqf254_1kCKssNrMq1CLA_0_1"/>
      <w:bookmarkStart w:id="27" w:name="Tc_Gi6vTs5JbUKw4G6cWewfOg_0_0"/>
      <w:bookmarkStart w:id="28" w:name="_52fbc30f_a657_4f8c_8cf8_1b2372f9c0dc"/>
      <w:bookmarkStart w:id="29" w:name="Tc_kM1Yt4y-g0Oj1lzB97czQA_2_2"/>
      <w:bookmarkStart w:id="30" w:name="Tc_7X5jIQeJGkSomsyGRZLq2w_1_2"/>
      <w:bookmarkStart w:id="31" w:name="Tc_1uLRfd9ZwUa3YM5tjsHXTw_0_2"/>
      <w:bookmarkStart w:id="32" w:name="Tc_LGqf254_1kCKssNrMq1CLA_0_1"/>
      <w:bookmarkStart w:id="33" w:name="Tc_Gi6vTs5JbUKw4G6cWewfOg_0_0"/>
      <w:bookmarkStart w:id="34" w:name="_52fbc30f_a657_4f8c_8cf8_1b2372f9c0dc"/>
      <w:bookmarkEnd w:id="29"/>
      <w:bookmarkEnd w:id="30"/>
      <w:bookmarkEnd w:id="31"/>
      <w:bookmarkEnd w:id="32"/>
      <w:bookmarkEnd w:id="33"/>
      <w:bookmarkEnd w:id="34"/>
    </w:p>
    <w:tbl>
      <w:tblPr>
        <w:tblW w:w="10205" w:type="dxa"/>
        <w:jc w:val="left"/>
        <w:tblInd w:w="0" w:type="dxa"/>
        <w:tblLayout w:type="fixed"/>
        <w:tblCellMar>
          <w:top w:w="0" w:type="dxa"/>
          <w:left w:w="0" w:type="dxa"/>
          <w:bottom w:w="0" w:type="dxa"/>
          <w:right w:w="0" w:type="dxa"/>
        </w:tblCellMar>
      </w:tblPr>
      <w:tblGrid>
        <w:gridCol w:w="6362"/>
        <w:gridCol w:w="1251"/>
        <w:gridCol w:w="2592"/>
      </w:tblGrid>
      <w:tr>
        <w:trPr/>
        <w:tc>
          <w:tcPr>
            <w:tcW w:w="63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2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259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636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shares, without par value</w:t>
            </w:r>
          </w:p>
        </w:tc>
        <w:tc>
          <w:tcPr>
            <w:tcW w:w="12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TMC</w:t>
            </w:r>
          </w:p>
        </w:tc>
        <w:tc>
          <w:tcPr>
            <w:tcW w:w="2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r>
        <w:trPr/>
        <w:tc>
          <w:tcPr>
            <w:tcW w:w="636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Redeemable warrants, each whole warrant exercisable for one common share, each at an exercise price of $11.50 per share</w:t>
            </w:r>
          </w:p>
        </w:tc>
        <w:tc>
          <w:tcPr>
            <w:tcW w:w="12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TMCWW</w:t>
            </w:r>
          </w:p>
        </w:tc>
        <w:tc>
          <w:tcPr>
            <w:tcW w:w="2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60"/>
        <w:ind w:left="0" w:right="0" w:firstLine="360"/>
        <w:jc w:val="center"/>
        <w:rPr>
          <w:rFonts w:ascii="Times New Roman;Times;serif" w:hAnsi="Times New Roman;Times;serif"/>
          <w:sz w:val="16"/>
        </w:rPr>
      </w:pPr>
      <w:r>
        <w:rPr>
          <w:rFonts w:ascii="Times New Roman;Times;serif" w:hAnsi="Times New Roman;Times;serif"/>
          <w:sz w:val="16"/>
        </w:rPr>
        <w:t>Securities registered pursuant to Section 12(g) of the Exchange Act: None</w:t>
      </w:r>
    </w:p>
    <w:p>
      <w:pPr>
        <w:pStyle w:val="TextBody"/>
        <w:bidi w:val="0"/>
        <w:spacing w:before="0" w:after="60"/>
        <w:ind w:left="0" w:right="0" w:firstLine="360"/>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firstLine="360"/>
        <w:jc w:val="both"/>
        <w:rPr>
          <w:rFonts w:ascii="Times New Roman;Times;serif" w:hAnsi="Times New Roman;Times;serif"/>
          <w:sz w:val="20"/>
        </w:rPr>
      </w:pPr>
      <w:r>
        <w:rPr>
          <w:rFonts w:ascii="Times New Roman;Times;serif" w:hAnsi="Times New Roman;Times;serif"/>
          <w:sz w:val="16"/>
        </w:rPr>
        <w:t xml:space="preserve">Indicate by check mark if the registrant is not required to file reports pursuant to Section 13 or Section 15(d) of the Exchange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6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firstLine="36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172" w:type="dxa"/>
        <w:jc w:val="left"/>
        <w:tblInd w:w="0" w:type="dxa"/>
        <w:tblLayout w:type="fixed"/>
        <w:tblCellMar>
          <w:top w:w="0" w:type="dxa"/>
          <w:left w:w="0" w:type="dxa"/>
          <w:bottom w:w="0" w:type="dxa"/>
          <w:right w:w="0" w:type="dxa"/>
        </w:tblCellMar>
      </w:tblPr>
      <w:tblGrid>
        <w:gridCol w:w="1876"/>
        <w:gridCol w:w="2296"/>
      </w:tblGrid>
      <w:tr>
        <w:trPr/>
        <w:tc>
          <w:tcPr>
            <w:tcW w:w="18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Large-accelerated filer ☐</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7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60"/>
        <w:ind w:left="0" w:right="0" w:firstLine="36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360"/>
        <w:jc w:val="both"/>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60"/>
        <w:ind w:left="0" w:right="0" w:firstLine="360"/>
        <w:jc w:val="both"/>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60"/>
        <w:ind w:left="0" w:right="0" w:firstLine="36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60"/>
        <w:ind w:left="0" w:right="0" w:firstLine="360"/>
        <w:jc w:val="both"/>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firstLine="360"/>
        <w:jc w:val="both"/>
        <w:rPr>
          <w:rFonts w:ascii="Times New Roman;Times;serif" w:hAnsi="Times New Roman;Times;serif"/>
          <w:sz w:val="16"/>
        </w:rPr>
      </w:pPr>
      <w:r>
        <w:rPr>
          <w:rFonts w:ascii="Times New Roman;Times;serif" w:hAnsi="Times New Roman;Times;serif"/>
          <w:sz w:val="16"/>
        </w:rPr>
        <w:t>The aggregate market value of the registrant’s voting and non-voting common stock held by non-affiliates of the registrant (without admitting that any person whose shares are not included in such calculation is an affiliate) computed by reference to the price at which the common shares were last sold as of the last business day of the registrant’s most recently completed second fiscal quarter was $1,705,461,265.</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16"/>
        </w:rPr>
        <w:t>As of March 27, 2026, the registrant had 433,188,187 common shares outstanding.</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16"/>
        </w:rPr>
        <w:t>Portions of the registrant’s proxy statement in connection with the registrant’s annual meeting of shareholders, scheduled to be held on May 28, 2026, are incorporated by reference in Part III of this report. Except as expressly incorporated by reference, such proxy statement shall not be deemed to be part of this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_dee2a506_8558_4a0a_82a2_85a67edeb042"/>
      <w:bookmarkStart w:id="36" w:name="TOC"/>
      <w:bookmarkEnd w:id="35"/>
      <w:bookmarkEnd w:id="3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44"/>
        <w:gridCol w:w="8789"/>
        <w:gridCol w:w="572"/>
      </w:tblGrid>
      <w:tr>
        <w:trPr/>
        <w:tc>
          <w:tcPr>
            <w:tcW w:w="844" w:type="dxa"/>
            <w:tcBorders/>
            <w:vAlign w:val="center"/>
          </w:tcPr>
          <w:p>
            <w:pPr>
              <w:pStyle w:val="TableContents"/>
              <w:bidi w:val="0"/>
              <w:spacing w:before="0" w:after="0"/>
              <w:ind w:left="0" w:right="0" w:hanging="0"/>
              <w:jc w:val="left"/>
              <w:rPr/>
            </w:pPr>
            <w:r>
              <w:rPr/>
              <w:t> </w:t>
            </w:r>
          </w:p>
        </w:tc>
        <w:tc>
          <w:tcPr>
            <w:tcW w:w="8789"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44" w:type="dxa"/>
            <w:tcBorders/>
            <w:vAlign w:val="center"/>
          </w:tcPr>
          <w:p>
            <w:pPr>
              <w:pStyle w:val="TableContents"/>
              <w:bidi w:val="0"/>
              <w:spacing w:before="0" w:after="0"/>
              <w:ind w:left="0" w:right="0" w:hanging="0"/>
              <w:jc w:val="left"/>
              <w:rPr/>
            </w:pPr>
            <w:hyperlink w:anchor="PARTI_3353">
              <w:r>
                <w:rPr>
                  <w:rStyle w:val="InternetLink"/>
                  <w:rFonts w:ascii="Times New Roman;Times;serif" w:hAnsi="Times New Roman;Times;serif"/>
                  <w:b w:val="false"/>
                  <w:i w:val="false"/>
                  <w:caps w:val="false"/>
                  <w:smallCaps w:val="false"/>
                  <w:sz w:val="20"/>
                </w:rPr>
                <w:t>PART I</w:t>
              </w:r>
            </w:hyperlink>
          </w:p>
        </w:tc>
        <w:tc>
          <w:tcPr>
            <w:tcW w:w="878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tc>
      </w:tr>
      <w:tr>
        <w:trPr/>
        <w:tc>
          <w:tcPr>
            <w:tcW w:w="844" w:type="dxa"/>
            <w:tcBorders/>
            <w:vAlign w:val="center"/>
          </w:tcPr>
          <w:p>
            <w:pPr>
              <w:pStyle w:val="TableContents"/>
              <w:bidi w:val="0"/>
              <w:spacing w:before="0" w:after="0"/>
              <w:ind w:left="0" w:right="0" w:hanging="0"/>
              <w:jc w:val="left"/>
              <w:rPr/>
            </w:pPr>
            <w:hyperlink w:anchor="Item1BUSINESS_847648">
              <w:r>
                <w:rPr>
                  <w:rStyle w:val="InternetLink"/>
                  <w:rFonts w:ascii="Times New Roman;Times;serif" w:hAnsi="Times New Roman;Times;serif"/>
                  <w:b w:val="false"/>
                  <w:i w:val="false"/>
                  <w:caps w:val="false"/>
                  <w:smallCaps w:val="false"/>
                  <w:sz w:val="20"/>
                </w:rPr>
                <w:t>Item 1.</w:t>
              </w:r>
            </w:hyperlink>
          </w:p>
        </w:tc>
        <w:tc>
          <w:tcPr>
            <w:tcW w:w="8789" w:type="dxa"/>
            <w:tcBorders/>
            <w:vAlign w:val="center"/>
          </w:tcPr>
          <w:p>
            <w:pPr>
              <w:pStyle w:val="TableContents"/>
              <w:bidi w:val="0"/>
              <w:spacing w:before="0" w:after="0"/>
              <w:ind w:left="0" w:right="0" w:hanging="0"/>
              <w:jc w:val="left"/>
              <w:rPr/>
            </w:pPr>
            <w:hyperlink w:anchor="Item1BUSINESS_847648">
              <w:r>
                <w:rPr>
                  <w:rStyle w:val="InternetLink"/>
                  <w:rFonts w:ascii="Times New Roman;Times;serif" w:hAnsi="Times New Roman;Times;serif"/>
                  <w:b w:val="false"/>
                  <w:i w:val="false"/>
                  <w:caps w:val="false"/>
                  <w:smallCaps w:val="false"/>
                  <w:sz w:val="20"/>
                </w:rPr>
                <w:t>Business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tc>
      </w:tr>
      <w:tr>
        <w:trPr/>
        <w:tc>
          <w:tcPr>
            <w:tcW w:w="844" w:type="dxa"/>
            <w:tcBorders/>
            <w:vAlign w:val="center"/>
          </w:tcPr>
          <w:p>
            <w:pPr>
              <w:pStyle w:val="TableContents"/>
              <w:bidi w:val="0"/>
              <w:spacing w:before="0" w:after="0"/>
              <w:ind w:left="0" w:right="0" w:hanging="0"/>
              <w:jc w:val="left"/>
              <w:rPr/>
            </w:pPr>
            <w:hyperlink w:anchor="Item1ARISKFACTORS_554066">
              <w:r>
                <w:rPr>
                  <w:rStyle w:val="InternetLink"/>
                  <w:rFonts w:ascii="Times New Roman;Times;serif" w:hAnsi="Times New Roman;Times;serif"/>
                  <w:b w:val="false"/>
                  <w:i w:val="false"/>
                  <w:caps w:val="false"/>
                  <w:smallCaps w:val="false"/>
                  <w:sz w:val="20"/>
                </w:rPr>
                <w:t>Item 1A.</w:t>
              </w:r>
            </w:hyperlink>
          </w:p>
        </w:tc>
        <w:tc>
          <w:tcPr>
            <w:tcW w:w="8789" w:type="dxa"/>
            <w:tcBorders/>
            <w:vAlign w:val="center"/>
          </w:tcPr>
          <w:p>
            <w:pPr>
              <w:pStyle w:val="TableContents"/>
              <w:bidi w:val="0"/>
              <w:spacing w:before="0" w:after="0"/>
              <w:ind w:left="0" w:right="0" w:hanging="0"/>
              <w:jc w:val="left"/>
              <w:rPr/>
            </w:pPr>
            <w:hyperlink w:anchor="Item1ARISKFACTORS_554066">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w:t>
            </w:r>
          </w:p>
        </w:tc>
      </w:tr>
      <w:tr>
        <w:trPr/>
        <w:tc>
          <w:tcPr>
            <w:tcW w:w="844" w:type="dxa"/>
            <w:tcBorders/>
            <w:vAlign w:val="center"/>
          </w:tcPr>
          <w:p>
            <w:pPr>
              <w:pStyle w:val="TableContents"/>
              <w:bidi w:val="0"/>
              <w:spacing w:before="0" w:after="0"/>
              <w:ind w:left="0" w:right="0" w:hanging="0"/>
              <w:jc w:val="left"/>
              <w:rPr/>
            </w:pPr>
            <w:hyperlink w:anchor="Item1BUNRESOLVEDSTAFFCOMMENTS_447262">
              <w:r>
                <w:rPr>
                  <w:rStyle w:val="InternetLink"/>
                  <w:rFonts w:ascii="Times New Roman;Times;serif" w:hAnsi="Times New Roman;Times;serif"/>
                  <w:b w:val="false"/>
                  <w:i w:val="false"/>
                  <w:caps w:val="false"/>
                  <w:smallCaps w:val="false"/>
                  <w:sz w:val="20"/>
                </w:rPr>
                <w:t>Item 1B.</w:t>
              </w:r>
            </w:hyperlink>
          </w:p>
        </w:tc>
        <w:tc>
          <w:tcPr>
            <w:tcW w:w="8789" w:type="dxa"/>
            <w:tcBorders/>
            <w:vAlign w:val="center"/>
          </w:tcPr>
          <w:p>
            <w:pPr>
              <w:pStyle w:val="TableContents"/>
              <w:bidi w:val="0"/>
              <w:spacing w:before="0" w:after="0"/>
              <w:ind w:left="0" w:right="0" w:hanging="0"/>
              <w:jc w:val="left"/>
              <w:rPr/>
            </w:pPr>
            <w:hyperlink w:anchor="Item1BUNRESOLVEDSTAFFCOMMENTS_447262">
              <w:r>
                <w:rPr>
                  <w:rStyle w:val="InternetLink"/>
                  <w:rFonts w:ascii="Times New Roman;Times;serif" w:hAnsi="Times New Roman;Times;serif"/>
                  <w:b w:val="false"/>
                  <w:i w:val="false"/>
                  <w:caps w:val="false"/>
                  <w:smallCaps w:val="false"/>
                  <w:sz w:val="20"/>
                </w:rPr>
                <w:t>Unresolved Staff Comments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w:t>
            </w:r>
          </w:p>
        </w:tc>
      </w:tr>
      <w:tr>
        <w:trPr/>
        <w:tc>
          <w:tcPr>
            <w:tcW w:w="844" w:type="dxa"/>
            <w:tcBorders/>
            <w:vAlign w:val="center"/>
          </w:tcPr>
          <w:p>
            <w:pPr>
              <w:pStyle w:val="TableContents"/>
              <w:bidi w:val="0"/>
              <w:spacing w:before="0" w:after="0"/>
              <w:ind w:left="0" w:right="0" w:hanging="0"/>
              <w:jc w:val="left"/>
              <w:rPr/>
            </w:pPr>
            <w:hyperlink w:anchor="Item1CCYBERSECURITY_15178">
              <w:r>
                <w:rPr>
                  <w:rStyle w:val="InternetLink"/>
                  <w:rFonts w:ascii="Times New Roman;Times;serif" w:hAnsi="Times New Roman;Times;serif"/>
                  <w:b w:val="false"/>
                  <w:i w:val="false"/>
                  <w:caps w:val="false"/>
                  <w:smallCaps w:val="false"/>
                  <w:sz w:val="20"/>
                </w:rPr>
                <w:t>Item 1C.</w:t>
              </w:r>
            </w:hyperlink>
          </w:p>
        </w:tc>
        <w:tc>
          <w:tcPr>
            <w:tcW w:w="8789" w:type="dxa"/>
            <w:tcBorders/>
            <w:vAlign w:val="center"/>
          </w:tcPr>
          <w:p>
            <w:pPr>
              <w:pStyle w:val="TableContents"/>
              <w:bidi w:val="0"/>
              <w:spacing w:before="0" w:after="0"/>
              <w:ind w:left="0" w:right="0" w:hanging="0"/>
              <w:jc w:val="left"/>
              <w:rPr/>
            </w:pPr>
            <w:hyperlink w:anchor="Item1CCYBERSECURITY_15178">
              <w:r>
                <w:rPr>
                  <w:rStyle w:val="InternetLink"/>
                  <w:rFonts w:ascii="Times New Roman;Times;serif" w:hAnsi="Times New Roman;Times;serif"/>
                  <w:b w:val="false"/>
                  <w:i w:val="false"/>
                  <w:caps w:val="false"/>
                  <w:smallCaps w:val="false"/>
                  <w:sz w:val="20"/>
                </w:rPr>
                <w:t>Cybersecurity</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w:t>
            </w:r>
          </w:p>
        </w:tc>
      </w:tr>
      <w:tr>
        <w:trPr/>
        <w:tc>
          <w:tcPr>
            <w:tcW w:w="844" w:type="dxa"/>
            <w:tcBorders/>
            <w:vAlign w:val="center"/>
          </w:tcPr>
          <w:p>
            <w:pPr>
              <w:pStyle w:val="TableContents"/>
              <w:bidi w:val="0"/>
              <w:spacing w:before="0" w:after="0"/>
              <w:ind w:left="0" w:right="0" w:hanging="0"/>
              <w:jc w:val="left"/>
              <w:rPr/>
            </w:pPr>
            <w:hyperlink w:anchor="Item2PROPERTIES_793586">
              <w:r>
                <w:rPr>
                  <w:rStyle w:val="InternetLink"/>
                  <w:rFonts w:ascii="Times New Roman;Times;serif" w:hAnsi="Times New Roman;Times;serif"/>
                  <w:b w:val="false"/>
                  <w:i w:val="false"/>
                  <w:caps w:val="false"/>
                  <w:smallCaps w:val="false"/>
                  <w:sz w:val="20"/>
                </w:rPr>
                <w:t>Item 2.</w:t>
              </w:r>
            </w:hyperlink>
          </w:p>
        </w:tc>
        <w:tc>
          <w:tcPr>
            <w:tcW w:w="8789" w:type="dxa"/>
            <w:tcBorders/>
            <w:vAlign w:val="center"/>
          </w:tcPr>
          <w:p>
            <w:pPr>
              <w:pStyle w:val="TableContents"/>
              <w:bidi w:val="0"/>
              <w:spacing w:before="0" w:after="0"/>
              <w:ind w:left="0" w:right="0" w:hanging="0"/>
              <w:jc w:val="left"/>
              <w:rPr/>
            </w:pPr>
            <w:hyperlink w:anchor="Item2PROPERTIES_793586">
              <w:r>
                <w:rPr>
                  <w:rStyle w:val="InternetLink"/>
                  <w:rFonts w:ascii="Times New Roman;Times;serif" w:hAnsi="Times New Roman;Times;serif"/>
                  <w:b w:val="false"/>
                  <w:i w:val="false"/>
                  <w:caps w:val="false"/>
                  <w:smallCaps w:val="false"/>
                  <w:sz w:val="20"/>
                </w:rPr>
                <w:t>Properties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w:t>
            </w:r>
          </w:p>
        </w:tc>
      </w:tr>
      <w:tr>
        <w:trPr/>
        <w:tc>
          <w:tcPr>
            <w:tcW w:w="844" w:type="dxa"/>
            <w:tcBorders/>
            <w:vAlign w:val="center"/>
          </w:tcPr>
          <w:p>
            <w:pPr>
              <w:pStyle w:val="TableContents"/>
              <w:bidi w:val="0"/>
              <w:spacing w:before="0" w:after="0"/>
              <w:ind w:left="0" w:right="0" w:hanging="0"/>
              <w:jc w:val="left"/>
              <w:rPr/>
            </w:pPr>
            <w:hyperlink w:anchor="Item3LEGALPROCEEDINGS_58172">
              <w:r>
                <w:rPr>
                  <w:rStyle w:val="InternetLink"/>
                  <w:rFonts w:ascii="Times New Roman;Times;serif" w:hAnsi="Times New Roman;Times;serif"/>
                  <w:b w:val="false"/>
                  <w:i w:val="false"/>
                  <w:caps w:val="false"/>
                  <w:smallCaps w:val="false"/>
                  <w:sz w:val="20"/>
                </w:rPr>
                <w:t>Item 3.</w:t>
              </w:r>
            </w:hyperlink>
          </w:p>
        </w:tc>
        <w:tc>
          <w:tcPr>
            <w:tcW w:w="8789" w:type="dxa"/>
            <w:tcBorders/>
            <w:vAlign w:val="center"/>
          </w:tcPr>
          <w:p>
            <w:pPr>
              <w:pStyle w:val="TableContents"/>
              <w:bidi w:val="0"/>
              <w:spacing w:before="0" w:after="0"/>
              <w:ind w:left="0" w:right="0" w:hanging="0"/>
              <w:jc w:val="left"/>
              <w:rPr/>
            </w:pPr>
            <w:hyperlink w:anchor="Item3LEGALPROCEEDINGS_58172">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106</w:t>
            </w:r>
          </w:p>
        </w:tc>
      </w:tr>
      <w:tr>
        <w:trPr/>
        <w:tc>
          <w:tcPr>
            <w:tcW w:w="844" w:type="dxa"/>
            <w:tcBorders/>
            <w:vAlign w:val="center"/>
          </w:tcPr>
          <w:p>
            <w:pPr>
              <w:pStyle w:val="TableContents"/>
              <w:bidi w:val="0"/>
              <w:spacing w:before="0" w:after="0"/>
              <w:ind w:left="0" w:right="0" w:hanging="0"/>
              <w:jc w:val="left"/>
              <w:rPr/>
            </w:pPr>
            <w:hyperlink w:anchor="Item4MINESAFETYDISCLOSURES_182367">
              <w:r>
                <w:rPr>
                  <w:rStyle w:val="InternetLink"/>
                  <w:rFonts w:ascii="Times New Roman;Times;serif" w:hAnsi="Times New Roman;Times;serif"/>
                  <w:b w:val="false"/>
                  <w:i w:val="false"/>
                  <w:caps w:val="false"/>
                  <w:smallCaps w:val="false"/>
                  <w:sz w:val="20"/>
                </w:rPr>
                <w:t>Item 4.</w:t>
              </w:r>
            </w:hyperlink>
          </w:p>
        </w:tc>
        <w:tc>
          <w:tcPr>
            <w:tcW w:w="8789" w:type="dxa"/>
            <w:tcBorders/>
            <w:vAlign w:val="center"/>
          </w:tcPr>
          <w:p>
            <w:pPr>
              <w:pStyle w:val="TableContents"/>
              <w:bidi w:val="0"/>
              <w:spacing w:before="0" w:after="0"/>
              <w:ind w:left="0" w:right="0" w:hanging="0"/>
              <w:jc w:val="left"/>
              <w:rPr/>
            </w:pPr>
            <w:hyperlink w:anchor="Item4MINESAFETYDISCLOSURES_182367">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844" w:type="dxa"/>
            <w:tcBorders/>
            <w:vAlign w:val="center"/>
          </w:tcPr>
          <w:p>
            <w:pPr>
              <w:pStyle w:val="TableContents"/>
              <w:bidi w:val="0"/>
              <w:spacing w:before="0" w:after="0"/>
              <w:ind w:left="0" w:right="0" w:hanging="0"/>
              <w:jc w:val="left"/>
              <w:rPr/>
            </w:pPr>
            <w:r>
              <w:rPr/>
              <w:t>​</w:t>
            </w:r>
          </w:p>
        </w:tc>
        <w:tc>
          <w:tcPr>
            <w:tcW w:w="878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44" w:type="dxa"/>
            <w:tcBorders/>
            <w:vAlign w:val="center"/>
          </w:tcPr>
          <w:p>
            <w:pPr>
              <w:pStyle w:val="TableContents"/>
              <w:bidi w:val="0"/>
              <w:spacing w:before="0" w:after="0"/>
              <w:ind w:left="0" w:right="0" w:hanging="0"/>
              <w:jc w:val="left"/>
              <w:rPr/>
            </w:pPr>
            <w:hyperlink w:anchor="PARTII_222301">
              <w:r>
                <w:rPr>
                  <w:rStyle w:val="InternetLink"/>
                  <w:rFonts w:ascii="Times New Roman;Times;serif" w:hAnsi="Times New Roman;Times;serif"/>
                  <w:b w:val="false"/>
                  <w:i w:val="false"/>
                  <w:caps w:val="false"/>
                  <w:smallCaps w:val="false"/>
                  <w:sz w:val="20"/>
                </w:rPr>
                <w:t>PART II</w:t>
              </w:r>
            </w:hyperlink>
          </w:p>
        </w:tc>
        <w:tc>
          <w:tcPr>
            <w:tcW w:w="878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108</w:t>
            </w:r>
          </w:p>
        </w:tc>
      </w:tr>
      <w:tr>
        <w:trPr/>
        <w:tc>
          <w:tcPr>
            <w:tcW w:w="844"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789"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108</w:t>
            </w:r>
          </w:p>
        </w:tc>
      </w:tr>
      <w:tr>
        <w:trPr/>
        <w:tc>
          <w:tcPr>
            <w:tcW w:w="844" w:type="dxa"/>
            <w:tcBorders/>
            <w:vAlign w:val="center"/>
          </w:tcPr>
          <w:p>
            <w:pPr>
              <w:pStyle w:val="TableContents"/>
              <w:bidi w:val="0"/>
              <w:spacing w:before="0" w:after="0"/>
              <w:ind w:left="0" w:right="0" w:hanging="0"/>
              <w:jc w:val="left"/>
              <w:rPr/>
            </w:pPr>
            <w:hyperlink w:anchor="Item6RESERVED_545967">
              <w:r>
                <w:rPr>
                  <w:rStyle w:val="InternetLink"/>
                  <w:rFonts w:ascii="Times New Roman;Times;serif" w:hAnsi="Times New Roman;Times;serif"/>
                  <w:b w:val="false"/>
                  <w:i w:val="false"/>
                  <w:caps w:val="false"/>
                  <w:smallCaps w:val="false"/>
                  <w:sz w:val="20"/>
                </w:rPr>
                <w:t>Item 6.</w:t>
              </w:r>
            </w:hyperlink>
          </w:p>
        </w:tc>
        <w:tc>
          <w:tcPr>
            <w:tcW w:w="8789" w:type="dxa"/>
            <w:tcBorders/>
            <w:vAlign w:val="center"/>
          </w:tcPr>
          <w:p>
            <w:pPr>
              <w:pStyle w:val="TableContents"/>
              <w:bidi w:val="0"/>
              <w:spacing w:before="0" w:after="0"/>
              <w:ind w:left="0" w:right="0" w:hanging="0"/>
              <w:jc w:val="left"/>
              <w:rPr/>
            </w:pPr>
            <w:hyperlink w:anchor="Item6RESERVED_545967">
              <w:r>
                <w:rPr>
                  <w:rStyle w:val="InternetLink"/>
                  <w:rFonts w:ascii="Times New Roman;Times;serif" w:hAnsi="Times New Roman;Times;serif"/>
                  <w:b w:val="false"/>
                  <w:i w:val="false"/>
                  <w:caps w:val="false"/>
                  <w:smallCaps w:val="false"/>
                  <w:sz w:val="20"/>
                </w:rPr>
                <w:t>[Reserved]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108</w:t>
            </w:r>
          </w:p>
        </w:tc>
      </w:tr>
      <w:tr>
        <w:trPr/>
        <w:tc>
          <w:tcPr>
            <w:tcW w:w="844"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789"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108</w:t>
            </w:r>
          </w:p>
        </w:tc>
      </w:tr>
      <w:tr>
        <w:trPr/>
        <w:tc>
          <w:tcPr>
            <w:tcW w:w="844"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789"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129</w:t>
            </w:r>
          </w:p>
        </w:tc>
      </w:tr>
      <w:tr>
        <w:trPr/>
        <w:tc>
          <w:tcPr>
            <w:tcW w:w="844" w:type="dxa"/>
            <w:tcBorders/>
            <w:vAlign w:val="center"/>
          </w:tcPr>
          <w:p>
            <w:pPr>
              <w:pStyle w:val="TableContents"/>
              <w:bidi w:val="0"/>
              <w:spacing w:before="0" w:after="0"/>
              <w:ind w:left="0" w:right="0" w:hanging="0"/>
              <w:jc w:val="left"/>
              <w:rPr/>
            </w:pPr>
            <w:hyperlink w:anchor="Item8FINANCIALSTATEMENTSANDSUPPLEM">
              <w:r>
                <w:rPr>
                  <w:rStyle w:val="InternetLink"/>
                  <w:rFonts w:ascii="Times New Roman;Times;serif" w:hAnsi="Times New Roman;Times;serif"/>
                  <w:b w:val="false"/>
                  <w:i w:val="false"/>
                  <w:caps w:val="false"/>
                  <w:smallCaps w:val="false"/>
                  <w:sz w:val="20"/>
                </w:rPr>
                <w:t>Item 8.</w:t>
              </w:r>
            </w:hyperlink>
          </w:p>
        </w:tc>
        <w:tc>
          <w:tcPr>
            <w:tcW w:w="8789" w:type="dxa"/>
            <w:tcBorders/>
            <w:vAlign w:val="center"/>
          </w:tcPr>
          <w:p>
            <w:pPr>
              <w:pStyle w:val="TableContents"/>
              <w:bidi w:val="0"/>
              <w:spacing w:before="0" w:after="0"/>
              <w:ind w:left="0" w:right="0" w:hanging="0"/>
              <w:jc w:val="left"/>
              <w:rPr/>
            </w:pPr>
            <w:hyperlink w:anchor="Item8FINANCIALSTATEMENTSANDSUPPLEM">
              <w:r>
                <w:rPr>
                  <w:rStyle w:val="InternetLink"/>
                  <w:rFonts w:ascii="Times New Roman;Times;serif" w:hAnsi="Times New Roman;Times;serif"/>
                  <w:b w:val="false"/>
                  <w:i w:val="false"/>
                  <w:caps w:val="false"/>
                  <w:smallCaps w:val="false"/>
                  <w:sz w:val="20"/>
                </w:rPr>
                <w:t>Financial Statements and Supplementary Data</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131</w:t>
            </w:r>
          </w:p>
        </w:tc>
      </w:tr>
      <w:tr>
        <w:trPr/>
        <w:tc>
          <w:tcPr>
            <w:tcW w:w="844"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789"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181</w:t>
            </w:r>
          </w:p>
        </w:tc>
      </w:tr>
      <w:tr>
        <w:trPr/>
        <w:tc>
          <w:tcPr>
            <w:tcW w:w="844" w:type="dxa"/>
            <w:tcBorders/>
            <w:vAlign w:val="center"/>
          </w:tcPr>
          <w:p>
            <w:pPr>
              <w:pStyle w:val="TableContents"/>
              <w:bidi w:val="0"/>
              <w:spacing w:before="0" w:after="0"/>
              <w:ind w:left="0" w:right="0" w:hanging="0"/>
              <w:jc w:val="left"/>
              <w:rPr/>
            </w:pPr>
            <w:hyperlink w:anchor="Item9ACONTROLSANDPROCEDURES_995621">
              <w:r>
                <w:rPr>
                  <w:rStyle w:val="InternetLink"/>
                  <w:rFonts w:ascii="Times New Roman;Times;serif" w:hAnsi="Times New Roman;Times;serif"/>
                  <w:b w:val="false"/>
                  <w:i w:val="false"/>
                  <w:caps w:val="false"/>
                  <w:smallCaps w:val="false"/>
                  <w:sz w:val="20"/>
                </w:rPr>
                <w:t>Item 9A.</w:t>
              </w:r>
            </w:hyperlink>
          </w:p>
        </w:tc>
        <w:tc>
          <w:tcPr>
            <w:tcW w:w="8789" w:type="dxa"/>
            <w:tcBorders/>
            <w:vAlign w:val="center"/>
          </w:tcPr>
          <w:p>
            <w:pPr>
              <w:pStyle w:val="TableContents"/>
              <w:bidi w:val="0"/>
              <w:spacing w:before="0" w:after="0"/>
              <w:ind w:left="0" w:right="0" w:hanging="0"/>
              <w:jc w:val="left"/>
              <w:rPr/>
            </w:pPr>
            <w:hyperlink w:anchor="Item9ACONTROLSANDPROCEDURES_995621">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181</w:t>
            </w:r>
          </w:p>
        </w:tc>
      </w:tr>
      <w:tr>
        <w:trPr/>
        <w:tc>
          <w:tcPr>
            <w:tcW w:w="844" w:type="dxa"/>
            <w:tcBorders/>
            <w:vAlign w:val="center"/>
          </w:tcPr>
          <w:p>
            <w:pPr>
              <w:pStyle w:val="TableContents"/>
              <w:bidi w:val="0"/>
              <w:spacing w:before="0" w:after="0"/>
              <w:ind w:left="0" w:right="0" w:hanging="0"/>
              <w:jc w:val="left"/>
              <w:rPr/>
            </w:pPr>
            <w:hyperlink w:anchor="Item9BOTHERINFORMATION_269005">
              <w:r>
                <w:rPr>
                  <w:rStyle w:val="InternetLink"/>
                  <w:rFonts w:ascii="Times New Roman;Times;serif" w:hAnsi="Times New Roman;Times;serif"/>
                  <w:b w:val="false"/>
                  <w:i w:val="false"/>
                  <w:caps w:val="false"/>
                  <w:smallCaps w:val="false"/>
                  <w:sz w:val="20"/>
                </w:rPr>
                <w:t>Item 9B.</w:t>
              </w:r>
            </w:hyperlink>
          </w:p>
        </w:tc>
        <w:tc>
          <w:tcPr>
            <w:tcW w:w="8789" w:type="dxa"/>
            <w:tcBorders/>
            <w:vAlign w:val="center"/>
          </w:tcPr>
          <w:p>
            <w:pPr>
              <w:pStyle w:val="TableContents"/>
              <w:bidi w:val="0"/>
              <w:spacing w:before="0" w:after="0"/>
              <w:ind w:left="0" w:right="0" w:hanging="0"/>
              <w:jc w:val="left"/>
              <w:rPr/>
            </w:pPr>
            <w:hyperlink w:anchor="Item9BOTHERINFORMATION_269005">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182</w:t>
            </w:r>
          </w:p>
        </w:tc>
      </w:tr>
      <w:tr>
        <w:trPr/>
        <w:tc>
          <w:tcPr>
            <w:tcW w:w="844"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789"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844" w:type="dxa"/>
            <w:tcBorders/>
            <w:vAlign w:val="center"/>
          </w:tcPr>
          <w:p>
            <w:pPr>
              <w:pStyle w:val="TableContents"/>
              <w:bidi w:val="0"/>
              <w:spacing w:before="0" w:after="0"/>
              <w:ind w:left="0" w:right="0" w:hanging="0"/>
              <w:jc w:val="left"/>
              <w:rPr/>
            </w:pPr>
            <w:r>
              <w:rPr/>
              <w:t>​</w:t>
            </w:r>
          </w:p>
        </w:tc>
        <w:tc>
          <w:tcPr>
            <w:tcW w:w="878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44" w:type="dxa"/>
            <w:tcBorders/>
            <w:vAlign w:val="center"/>
          </w:tcPr>
          <w:p>
            <w:pPr>
              <w:pStyle w:val="TableContents"/>
              <w:bidi w:val="0"/>
              <w:spacing w:before="0" w:after="0"/>
              <w:ind w:left="0" w:right="0" w:hanging="0"/>
              <w:jc w:val="left"/>
              <w:rPr/>
            </w:pPr>
            <w:hyperlink w:anchor="PARTIII_202751">
              <w:r>
                <w:rPr>
                  <w:rStyle w:val="InternetLink"/>
                  <w:rFonts w:ascii="Times New Roman;Times;serif" w:hAnsi="Times New Roman;Times;serif"/>
                  <w:b w:val="false"/>
                  <w:i w:val="false"/>
                  <w:caps w:val="false"/>
                  <w:smallCaps w:val="false"/>
                  <w:sz w:val="20"/>
                </w:rPr>
                <w:t>PART III</w:t>
              </w:r>
            </w:hyperlink>
          </w:p>
        </w:tc>
        <w:tc>
          <w:tcPr>
            <w:tcW w:w="878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183</w:t>
            </w:r>
          </w:p>
        </w:tc>
      </w:tr>
      <w:tr>
        <w:trPr/>
        <w:tc>
          <w:tcPr>
            <w:tcW w:w="844"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789"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183</w:t>
            </w:r>
          </w:p>
        </w:tc>
      </w:tr>
      <w:tr>
        <w:trPr/>
        <w:tc>
          <w:tcPr>
            <w:tcW w:w="844" w:type="dxa"/>
            <w:tcBorders/>
            <w:vAlign w:val="center"/>
          </w:tcPr>
          <w:p>
            <w:pPr>
              <w:pStyle w:val="TableContents"/>
              <w:bidi w:val="0"/>
              <w:spacing w:before="0" w:after="0"/>
              <w:ind w:left="0" w:right="0" w:hanging="0"/>
              <w:jc w:val="left"/>
              <w:rPr/>
            </w:pPr>
            <w:hyperlink w:anchor="Item11EXECUTIVECOMPENSATION_440495">
              <w:r>
                <w:rPr>
                  <w:rStyle w:val="InternetLink"/>
                  <w:rFonts w:ascii="Times New Roman;Times;serif" w:hAnsi="Times New Roman;Times;serif"/>
                  <w:b w:val="false"/>
                  <w:i w:val="false"/>
                  <w:caps w:val="false"/>
                  <w:smallCaps w:val="false"/>
                  <w:sz w:val="20"/>
                </w:rPr>
                <w:t>Item 11.</w:t>
              </w:r>
            </w:hyperlink>
          </w:p>
        </w:tc>
        <w:tc>
          <w:tcPr>
            <w:tcW w:w="8789" w:type="dxa"/>
            <w:tcBorders/>
            <w:vAlign w:val="center"/>
          </w:tcPr>
          <w:p>
            <w:pPr>
              <w:pStyle w:val="TableContents"/>
              <w:bidi w:val="0"/>
              <w:spacing w:before="0" w:after="0"/>
              <w:ind w:left="0" w:right="0" w:hanging="0"/>
              <w:jc w:val="left"/>
              <w:rPr/>
            </w:pPr>
            <w:hyperlink w:anchor="Item11EXECUTIVECOMPENSATION_440495">
              <w:r>
                <w:rPr>
                  <w:rStyle w:val="InternetLink"/>
                  <w:rFonts w:ascii="Times New Roman;Times;serif" w:hAnsi="Times New Roman;Times;serif"/>
                  <w:b w:val="false"/>
                  <w:i w:val="false"/>
                  <w:caps w:val="false"/>
                  <w:smallCaps w:val="false"/>
                  <w:sz w:val="20"/>
                </w:rPr>
                <w:t>Executive Compensation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183</w:t>
            </w:r>
          </w:p>
        </w:tc>
      </w:tr>
      <w:tr>
        <w:trPr/>
        <w:tc>
          <w:tcPr>
            <w:tcW w:w="844"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789"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183</w:t>
            </w:r>
          </w:p>
        </w:tc>
      </w:tr>
      <w:tr>
        <w:trPr/>
        <w:tc>
          <w:tcPr>
            <w:tcW w:w="844"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789"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183</w:t>
            </w:r>
          </w:p>
        </w:tc>
      </w:tr>
      <w:tr>
        <w:trPr/>
        <w:tc>
          <w:tcPr>
            <w:tcW w:w="844"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p>
        </w:tc>
        <w:tc>
          <w:tcPr>
            <w:tcW w:w="8789"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844" w:type="dxa"/>
            <w:tcBorders/>
            <w:vAlign w:val="center"/>
          </w:tcPr>
          <w:p>
            <w:pPr>
              <w:pStyle w:val="TableContents"/>
              <w:bidi w:val="0"/>
              <w:spacing w:before="0" w:after="0"/>
              <w:ind w:left="0" w:right="0" w:hanging="0"/>
              <w:jc w:val="left"/>
              <w:rPr/>
            </w:pPr>
            <w:r>
              <w:rPr/>
              <w:t>​</w:t>
            </w:r>
          </w:p>
        </w:tc>
        <w:tc>
          <w:tcPr>
            <w:tcW w:w="878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844" w:type="dxa"/>
            <w:tcBorders/>
            <w:vAlign w:val="center"/>
          </w:tcPr>
          <w:p>
            <w:pPr>
              <w:pStyle w:val="TableContents"/>
              <w:bidi w:val="0"/>
              <w:spacing w:before="0" w:after="0"/>
              <w:ind w:left="0" w:right="0" w:hanging="0"/>
              <w:jc w:val="left"/>
              <w:rPr/>
            </w:pPr>
            <w:hyperlink w:anchor="PARTIV_428777">
              <w:r>
                <w:rPr>
                  <w:rStyle w:val="InternetLink"/>
                  <w:rFonts w:ascii="Times New Roman;Times;serif" w:hAnsi="Times New Roman;Times;serif"/>
                  <w:b w:val="false"/>
                  <w:i w:val="false"/>
                  <w:caps w:val="false"/>
                  <w:smallCaps w:val="false"/>
                  <w:sz w:val="20"/>
                </w:rPr>
                <w:t>PART IV</w:t>
              </w:r>
            </w:hyperlink>
          </w:p>
        </w:tc>
        <w:tc>
          <w:tcPr>
            <w:tcW w:w="878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184</w:t>
            </w:r>
          </w:p>
        </w:tc>
      </w:tr>
      <w:tr>
        <w:trPr/>
        <w:tc>
          <w:tcPr>
            <w:tcW w:w="844"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789"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184</w:t>
            </w:r>
          </w:p>
        </w:tc>
      </w:tr>
      <w:tr>
        <w:trPr/>
        <w:tc>
          <w:tcPr>
            <w:tcW w:w="844" w:type="dxa"/>
            <w:tcBorders/>
            <w:vAlign w:val="center"/>
          </w:tcPr>
          <w:p>
            <w:pPr>
              <w:pStyle w:val="TableContents"/>
              <w:bidi w:val="0"/>
              <w:spacing w:before="0" w:after="0"/>
              <w:ind w:left="0" w:right="0" w:hanging="0"/>
              <w:jc w:val="left"/>
              <w:rPr/>
            </w:pPr>
            <w:hyperlink w:anchor="Item16FORM10KSUMMARY_539239">
              <w:r>
                <w:rPr>
                  <w:rStyle w:val="InternetLink"/>
                  <w:rFonts w:ascii="Times New Roman;Times;serif" w:hAnsi="Times New Roman;Times;serif"/>
                  <w:b w:val="false"/>
                  <w:i w:val="false"/>
                  <w:caps w:val="false"/>
                  <w:smallCaps w:val="false"/>
                  <w:sz w:val="20"/>
                </w:rPr>
                <w:t>Item 16.</w:t>
              </w:r>
            </w:hyperlink>
          </w:p>
        </w:tc>
        <w:tc>
          <w:tcPr>
            <w:tcW w:w="8789" w:type="dxa"/>
            <w:tcBorders/>
            <w:vAlign w:val="center"/>
          </w:tcPr>
          <w:p>
            <w:pPr>
              <w:pStyle w:val="TableContents"/>
              <w:bidi w:val="0"/>
              <w:spacing w:before="0" w:after="0"/>
              <w:ind w:left="0" w:right="0" w:hanging="0"/>
              <w:jc w:val="left"/>
              <w:rPr/>
            </w:pPr>
            <w:hyperlink w:anchor="Item16FORM10KSUMMARY_539239">
              <w:r>
                <w:rPr>
                  <w:rStyle w:val="InternetLink"/>
                  <w:rFonts w:ascii="Times New Roman;Times;serif" w:hAnsi="Times New Roman;Times;serif"/>
                  <w:b w:val="false"/>
                  <w:i w:val="false"/>
                  <w:caps w:val="false"/>
                  <w:smallCaps w:val="false"/>
                  <w:sz w:val="20"/>
                </w:rPr>
                <w:t xml:space="preserve">Form 10-K Summary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188</w:t>
            </w:r>
          </w:p>
        </w:tc>
      </w:tr>
      <w:tr>
        <w:trPr/>
        <w:tc>
          <w:tcPr>
            <w:tcW w:w="844" w:type="dxa"/>
            <w:tcBorders/>
            <w:vAlign w:val="center"/>
          </w:tcPr>
          <w:p>
            <w:pPr>
              <w:pStyle w:val="TableContents"/>
              <w:bidi w:val="0"/>
              <w:spacing w:before="0" w:after="0"/>
              <w:ind w:left="0" w:right="0" w:hanging="0"/>
              <w:jc w:val="left"/>
              <w:rPr/>
            </w:pPr>
            <w:r>
              <w:rPr/>
              <w:t>​</w:t>
            </w:r>
          </w:p>
        </w:tc>
        <w:tc>
          <w:tcPr>
            <w:tcW w:w="8789" w:type="dxa"/>
            <w:tcBorders/>
            <w:vAlign w:val="center"/>
          </w:tcPr>
          <w:p>
            <w:pPr>
              <w:pStyle w:val="TableContents"/>
              <w:bidi w:val="0"/>
              <w:spacing w:before="0" w:after="0"/>
              <w:ind w:left="0" w:right="0" w:hanging="0"/>
              <w:jc w:val="left"/>
              <w:rPr/>
            </w:pPr>
            <w:hyperlink w:anchor="SIGNATURES_158387">
              <w:r>
                <w:rPr>
                  <w:rStyle w:val="InternetLink"/>
                  <w:rFonts w:ascii="Times New Roman;Times;serif" w:hAnsi="Times New Roman;Times;serif"/>
                  <w:b w:val="false"/>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37" w:name="_4373cc6b_9ea0_4513_b007_56767bf8d45b"/>
      <w:bookmarkEnd w:id="37"/>
      <w:r>
        <w:rPr>
          <w:rFonts w:ascii="Times New Roman;Times;serif" w:hAnsi="Times New Roman;Times;serif"/>
          <w:sz w:val="20"/>
        </w:rPr>
        <w:t xml:space="preserve">In this Annual Report on form 10-K (“Annual Report”), the terms “we,” “us,” “our,” “Company” and “TMC” mean TMC the metals company Inc. and our subsidiaries (“TMC”). Our common shares and warrants to purchase common shares are traded on the Nasdaq Global Select Market (“Nasdaq”) under the symbols “TMC” and “TMCWW,” respectively. </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As used in this Annual Report, “Mtpa” refers to millions of tonnes per year, “dmtu” refers to dry metric tonne unit, “TWh” refers to trillion-watt hours, “CO</w:t>
      </w:r>
      <w:r>
        <w:rPr>
          <w:rFonts w:ascii="Times New Roman;Times;serif" w:hAnsi="Times New Roman;Times;serif"/>
          <w:sz w:val="15"/>
        </w:rPr>
        <w:t>2</w:t>
      </w:r>
      <w:r>
        <w:rPr>
          <w:rFonts w:ascii="Times New Roman;Times;serif" w:hAnsi="Times New Roman;Times;serif"/>
          <w:sz w:val="20"/>
        </w:rPr>
        <w:t>e” refers to metric tonnes of carbon dioxide emissions equivalents, “kt” refers to thousand of tonnes, “m</w:t>
      </w:r>
      <w:r>
        <w:rPr>
          <w:rFonts w:ascii="Times New Roman;Times;serif" w:hAnsi="Times New Roman;Times;serif"/>
          <w:sz w:val="15"/>
        </w:rPr>
        <w:t>2</w:t>
      </w:r>
      <w:r>
        <w:rPr>
          <w:rFonts w:ascii="Times New Roman;Times;serif" w:hAnsi="Times New Roman;Times;serif"/>
          <w:sz w:val="20"/>
        </w:rPr>
        <w:t>” refers to square meters, “Mwmtpa” refers to million wet metric tonnes per year, “kg/m</w:t>
      </w:r>
      <w:r>
        <w:rPr>
          <w:rFonts w:ascii="Times New Roman;Times;serif" w:hAnsi="Times New Roman;Times;serif"/>
          <w:sz w:val="15"/>
        </w:rPr>
        <w:t>2</w:t>
      </w:r>
      <w:r>
        <w:rPr>
          <w:rFonts w:ascii="Times New Roman;Times;serif" w:hAnsi="Times New Roman;Times;serif"/>
          <w:sz w:val="20"/>
        </w:rPr>
        <w:t>” refers to kilograms per square meters, “t” refers to tonnes, and “w/w” refers to weight for weight.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Unless otherwise indicated or required by the context, as used in this Annual Report, “critical metals” refers to the four metals (nickel, copper, cobalt and manganese) and the additional rare earth elements contained in polymetallic nodules.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and Industry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Market and other statistical data included in this Annual Report were obtained from industry publications, market research and publicly available information as well as publications and research conducted by or on behalf of TMC. Industry publications generally state that the information contained therein has been obtained from sources believed to be reliable, but that the accuracy and completeness of such information is not guaranteed. Similarly, market research and publicly available information, while believed to be reliable, have not been independently verified, and we do not make any representation as to the accuracy of such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Trademarks, Service marks and Trade Names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service marks, trademarks and trade names appearing in this Annual Report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Annual Report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Annual Report include, but are not limited to, statements about:</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and technical feasibility of seafloor polymetallic nodule collection and processing;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partners’ development and operational plans, including with respect to the planned uses of polymetallic nodules, where and how nodules will be obtained and processed, the expected environmental, social and governance (“ESG”) impacts thereof and our plans to assess these impacts and the timing and scope of these plans, including our commercialization plans;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and demand for nickel, cobalt, copper, manganese ores and their end uses;</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prices of nickel, cobalt, copper, manganese ores and their end uses;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exploration license and commercial recovery permit and consolidated applications review by the National Oceanographic and Atmospheric Administration (“NOAA”) of the United States under the Deep Seabed Hard Mineral Resources Act of 1980 (“DSHMRA”);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expectations with respect to the extension of our exploration contracts with the International Seabed Authority (“ISA”) and the receipt of exploitation contracts from the ISA;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and national regulation of mineral extraction from the deep seafloor in the high seas and changes in mining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operational, environmental, social and governance risks of developing and deploying equipment to collect and ship polymetallic nodules at sea, and to process such nodules on 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and timing of potential revenue as well as the timing and amount of estimated future production, costs of production, other expenses, capital expenditures and requirements for additional capital;</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provided by operating activities;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activities of our partners under our key strategic relationships;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on hand to meet our working capital and capital expenditure requirements, the need for additional financing and our ability to continue as a going concern;</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financing in the future, the nature of any such financing and our plans with respect thereto;</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to which we are a party;</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limitations on insurance coverage;</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mitigate our material weakness in our internal control over financial reporting;</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metallurgical and geotechnical studies and opinions;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reserve and resource estimates, and our ability to define and declare further mineral reserve estimates;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passive foreign investment company; and</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financial performance.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forward-looking statements are based on information available as of the date of this Annual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this Annual Report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 w:name="PARTI_3353"/>
      <w:bookmarkStart w:id="39" w:name="_ca120dbf_30e2_4c6b_82fd_c71237483f76"/>
      <w:bookmarkEnd w:id="38"/>
      <w:bookmarkEnd w:id="39"/>
      <w:r>
        <w:rPr>
          <w:rFonts w:ascii="Times New Roman;Times;serif" w:hAnsi="Times New Roman;Times;serif"/>
          <w:b/>
          <w:sz w:val="20"/>
        </w:rPr>
        <w:t>PART I</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0" w:name="Item1BUSINESS_847648"/>
      <w:bookmarkEnd w:id="40"/>
      <w:r>
        <w:rPr>
          <w:rFonts w:ascii="Times New Roman;Times;serif" w:hAnsi="Times New Roman;Times;serif"/>
          <w:b/>
          <w:i w:val="false"/>
          <w:caps w:val="false"/>
          <w:smallCaps w:val="false"/>
          <w:sz w:val="20"/>
        </w:rPr>
        <w:t>Item 1.</w:t>
      </w:r>
      <w:r>
        <w:rPr>
          <w:rFonts w:ascii="Times New Roman;Times;serif" w:hAnsi="Times New Roman;Times;serif"/>
          <w:b/>
          <w:sz w:val="20"/>
        </w:rPr>
        <w:t>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deep seabed minerals developer focused on the collection, processing and refining of polymetallic nodules found on the seafloor in international waters of the Clarion Clipperton Zone (“CCZ”), approximately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alongside meaningful concentrations of rare earth elements (REE) in a single rock.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mission is to build a carefully managed, shared stock of metal (a “metal commons”) that can be used, recovered and reused for generations to come. We believe significant quantities of newly mined metal are required because existing metal stocks are insufficient to meet rapidly rising demand.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four metals and REEs contained in the polymetallic nodules are on the U.S. Department of Interior’s “2025 List of Critical Minerals, with end-uses in strategic sectors including semiconductors and AI data centers, steel manufacturing, the defense and marine industrial base. Nickel was included on the list of 13 minerals selected by the U.S. Department of War in March 2026 for targeted procurement efforts through the Defense Industrial Base Consortium. Our resource definition work to date shows that nodules in our contract areas represent the world’s largest estimated undeveloped resource of several of these critical metals. If we are able to collect polymetallic nodules from the seafloor on a commercial scale, we plan to use such nodules to initially produce nickel-, cobalt- and copper-bearing intermediate and metal cathode products as well as a manganese silicate product of approximately 40% manganese comparable to medium-grade manganese ore. Once in production, we may explore expanding into other product formats including silicomanganese alloy, battery-grade sulfates and precursor Cathode Active Materials (pCAM), as well as extracting REEs contained in nodules.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now in the development stage following the release of the results of a pre-feasibility study on one of our development areas in a report titled </w:t>
      </w:r>
      <w:r>
        <w:rPr>
          <w:rFonts w:ascii="Times New Roman;Times;serif" w:hAnsi="Times New Roman;Times;serif"/>
          <w:i/>
          <w:sz w:val="20"/>
        </w:rPr>
        <w:t>S-K 1300 Prefeasibility Study for NORI Area D: Technical Report Summary</w:t>
      </w:r>
      <w:r>
        <w:rPr>
          <w:rFonts w:ascii="Times New Roman;Times;serif" w:hAnsi="Times New Roman;Times;serif"/>
          <w:sz w:val="20"/>
        </w:rPr>
        <w:t xml:space="preserve">, dated August 4, 2025, prepared by AMC Consultants Pty Lt. and other qualified persons (the “NORI-D PFS”), which declared the world’s first mineral reserves for a seafloor polymetallic nodule project demonstrating the project’s economic viability. We also recently released an initial assessment of our other development areas in a report titled </w:t>
      </w:r>
      <w:r>
        <w:rPr>
          <w:rFonts w:ascii="Times New Roman;Times;serif" w:hAnsi="Times New Roman;Times;serif"/>
          <w:i/>
          <w:sz w:val="20"/>
        </w:rPr>
        <w:t>S-K 1300 Technical Report Summary—Initial Assessment of TOML and NORI Properties, Clarion-Clipperton Zone</w:t>
      </w:r>
      <w:r>
        <w:rPr>
          <w:rFonts w:ascii="Times New Roman;Times;serif" w:hAnsi="Times New Roman;Times;serif"/>
          <w:sz w:val="20"/>
        </w:rPr>
        <w:t>, dated August 4, 2025, prepared by AMC Consultants Pty Lt. and other qualified persons (the “TOML and NORI IA” together with the NORI-D PFS, the “Technical Reports”). We have yet to obtain a commercial recovery permit or other related offshore and onshore permits from the regulators. Additionally, we do not yet hold the environmental or other permits required to construct and operate commercial-scale polymetallic nodule processing and refining facilities on land.</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Two parallel regulatory regimes exist to regulate deep seabed exploration and extraction activities in the high seas. The United States adopted the Deep Seabed Hard Mineral Resources Act of 1980 (“DSHMRA”), a U.S. domestic statute administered by the U.S. Department of Commerce through the National Oceanic and Atmospheric Administration (“NOAA”) to regulate deep-sea mining activities of its citizens in the high seas. NOAA implemented regulations for exploration licenses in 1981 and for commercial recovery permits in 1989 and amended these regulations introducing a consolidated exploration license and commercial recovery permit application process in 2026. In parallel, the International Seabed Authority (“ISA”), comprised today of 171 countries and the European Union was established in 1994, pursuant to the United Nations Convention on the Law of the Sea (“UNCLOS”) to regulate deep seabed exploration and exploitation activities of the nationals of Member States. The ISA has adopted exploration regulations in 2000 (amended in 2013 and 2014) and issued 19 polymetallic nodule exploration contracts (17 of which are located in the CCZ) but has been unable to adopt the final exploitation regulations, standards and guidelines despite initiating work in 2014. Almost 30 countries, including the United States, have not ratified UNCLOS and are not Member States of the ISA. The United States has remained a persistent objector to UNCLOS ratification, primarily due to its Part XI seabed mining provisions.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TMC’s properties under two parallel regulatory regimes and technical reports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table below provides an overview of the properties that TMC holds or has applied for through its subsidiaries NORI, TOML and TMC USA) with both regulators, ISA and NOAA. It also shows what areas are covered by our technical reports and lifecycle assessments (“LCAs”).</w:t>
      </w:r>
    </w:p>
    <w:p>
      <w:pPr>
        <w:pStyle w:val="TextBody"/>
        <w:bidi w:val="0"/>
        <w:spacing w:before="0" w:after="240"/>
        <w:ind w:left="0" w:right="0" w:hanging="0"/>
        <w:jc w:val="center"/>
        <w:rPr/>
      </w:pPr>
      <w:r>
        <w:rPr/>
        <w:drawing>
          <wp:inline distT="0" distB="0" distL="0" distR="0">
            <wp:extent cx="6295390" cy="27330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95390" cy="2733040"/>
                    </a:xfrm>
                    <a:prstGeom prst="rect">
                      <a:avLst/>
                    </a:prstGeom>
                  </pic:spPr>
                </pic:pic>
              </a:graphicData>
            </a:graphic>
          </wp:inline>
        </w:drawing>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continue focusing on advancing our commercial production strategy under the DSHMRA regime. In April 2025, our wholly owned subsidiary, The Metals Company USA, LLC, (“TMC USA”), submitted two exploration license applications (covering 187,017 square kilometers in the CCZ referred to as TMC USA-A and TMC USA-B) and one commercial recovery permit application (covering 25,160 square kilometers in the CCZ referred to as TMC USA-A) to NOAA. Following the introduction of the consolidated application process by NOAA in January 2026, TMC USA submitted a consolidated exploration license and commercial recovery permit application covering a subset of TMC USA-A area previously applied over in April 2025. The application areas in total are estimated to hold approximately 1.639 billion wet tonnes of measured, indicated and inferred mineral resources. Together, the mineral resources are estimated to contain approximately 15.5 million tonnes of nickel, 12.8 million tonnes of copper, 2.0 million tonnes of cobalt, and 345 million tonnes of manganese. </w:t>
      </w:r>
    </w:p>
    <w:p>
      <w:pPr>
        <w:pStyle w:val="TextBody"/>
        <w:bidi w:val="0"/>
        <w:spacing w:before="0" w:after="240"/>
        <w:ind w:left="0" w:right="0" w:hanging="0"/>
        <w:jc w:val="center"/>
        <w:rPr/>
      </w:pPr>
      <w:r>
        <w:rPr/>
        <w:drawing>
          <wp:inline distT="0" distB="0" distL="0" distR="0">
            <wp:extent cx="5175250" cy="29038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75250" cy="2903855"/>
                    </a:xfrm>
                    <a:prstGeom prst="rect">
                      <a:avLst/>
                    </a:prstGeom>
                  </pic:spPr>
                </pic:pic>
              </a:graphicData>
            </a:graphic>
          </wp:inline>
        </w:drawing>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that DSHMRA provides a viable and robust regulatory path to commercial production, distinct from the ISA regime under UNCLOS, which despite expectations to the contrary, has repeatedly failed to adopt the Regulations and Standards and Guidelines on the Exploitation of Mineral Resources in the Area. On April 24, 2025, the Executive Order 14825, titled “Unleashing America’s Offshore Critical Minerals and Resources” directed the Commerce Secretary to implement an expedited permitting process under DSHMRA. In addition to directing the International Development Finance Corporation, Export-Import Bank and Trade and Development Agency to identify tools to support this new industry, the Executive Order instructed the Departments of War and Energy to assess the use of the National Defense Stockpile for nodule-derived minerals and of entering into offtake agreements for the procurement of these minerals. These departments were also directed to review and support domestic processing capabilities for seabed mineral resources.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the same time as we pursue the U.S. regulatory pathway, we continue to maintain our ISA contracts and comply with all of our contractual obligations under the ISA system. While the ISA does not have jurisdiction over activities conducted under the regulatory authority of the United States, we maintain two ISA exploration contracts in the CCZ, one held by our subsidiary Nauru Ocean Resources Inc. (“NORI”), sponsored by the Republic of Nauru (“Nauru”), and another held by Tonga Offshore Mining Limited (“TOML”), sponsored by the Kingdom of Tonga (“Tonga”). Operations by NORI and TOML in the CCZ are being conducted under our ISA exploration contracts and will be conducted under these contracts until TMC USA receives an exploration license or commercial recovery permit under DSHMRA from NOAA.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key strategic partnerships with (i) Allseas, a leading global offshore engineering contractor, which developed and tested a pilot collection system, and is now modifying it into the first commercial production system, (ii) Pacific Metals Co. Ltd. (“PAMCO”), an experienced Japanese ferronickel producer, which is responsible for pre-feasibility and feasibility studies on nodule processing at their smelting facilities in Hachinohe, Japan, (iii) Korea Zinc, a world leader in non-ferrous metal refining and precursor Cathode Active Material (“pCAM”) technology, partnering to advance development in the U.S., (iv) Mariana Minerals, a software-first mineral developer and operator working as part of TMC USA’s owners’ team to accelerate the development of potential domestic onshore processing and refining facilities (“Mariana”) and (v) Glencore International AG (“Glencore”) which holds offtake rights to 50% of the NORI nickel and copper production if produced from a TMC-owned or controlled facility. In addition, we are working with engineering firm Hatch Ltd. (“Hatch”) and consultants Kingston Process Metallurgy Inc. (“KPM”) to develop, test and engineer a near-zero solid waste flowsheet. The primary processing stages of the flowsheet from nodule to NiCuCo matte intermediate were demonstrated as part of our pilot plant program at FLSmidth facilities in Pennsylvania, USA and XPS’ (Glencore subsidiary) facilities in Ontario, Canada; and later at industrial scale at PAMCO’s facilities in Hachinohe, Japan. The matte refining stages have been tested at an SGS facility in Lakefield Canada with positive results. The near-zero solid waste flowsheet provides a design that is expected to serve as the basis for our onshore processing facilities. On March 19, 2026, we signed a Strategic Partnership Agreement with Mariana focusing on the potential development of a nodule processing and refining facility in the Port of Brownsville, Texas as part of our owner’s team.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reach our objective and initiate commercial production, we are working to: (i) further refine our project economics, (ii) complete the development of and commission a commercial offshore nodule collection system, (iii) continue to assess the environmental, social and cultural impacts of offshore nodule collection, and (iv) secure existing foreign and/or develop new domestic U.S. onshore facilities to process collected polymetallic nodules into a manganese silicate product, an intermediate nickel-copper-cobalt matte product and end-products of nickel, cobalt and copper metal.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Polymetallic Nodules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Deep-sea polymetallic nodules form on and just below the sediment-covered seafloor of the abyssal plains. Nodules contain significant amounts of metals, and their unique characteristic compared to terrestrial deposits is the presence of the four critical metals, nickel, copper, cobalt and manganese in one deposit. Nodules also contain meaningful quantities of REEs, which we may explore extracting after we begin commercial activities.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Polymetallic nodules in the CCZ possess the following characteristics: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0" w:type="dxa"/>
        </w:tblCellMar>
      </w:tblPr>
      <w:tblGrid>
        <w:gridCol w:w="4103"/>
        <w:gridCol w:w="109"/>
        <w:gridCol w:w="5993"/>
      </w:tblGrid>
      <w:tr>
        <w:trPr/>
        <w:tc>
          <w:tcPr>
            <w:tcW w:w="4103"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Characteristic</w:t>
            </w:r>
          </w:p>
        </w:tc>
        <w:tc>
          <w:tcPr>
            <w:tcW w:w="109"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40"/>
              <w:ind w:left="0" w:right="0" w:hanging="0"/>
              <w:jc w:val="center"/>
              <w:rPr/>
            </w:pPr>
            <w:r>
              <w:rPr/>
              <w:t>​</w:t>
            </w:r>
          </w:p>
        </w:tc>
        <w:tc>
          <w:tcPr>
            <w:tcW w:w="5993"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What it means</w:t>
            </w:r>
          </w:p>
        </w:tc>
      </w:tr>
      <w:tr>
        <w:trPr/>
        <w:tc>
          <w:tcPr>
            <w:tcW w:w="4103"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Far removed from human communities </w:t>
            </w:r>
          </w:p>
        </w:tc>
        <w:tc>
          <w:tcPr>
            <w:tcW w:w="109"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40"/>
              <w:ind w:left="0" w:right="0" w:hanging="0"/>
              <w:jc w:val="both"/>
              <w:rPr/>
            </w:pPr>
            <w:r>
              <w:rPr/>
              <w:t>​</w:t>
            </w:r>
          </w:p>
        </w:tc>
        <w:tc>
          <w:tcPr>
            <w:tcW w:w="5993"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need for social displacement</w:t>
            </w:r>
          </w:p>
        </w:tc>
      </w:tr>
      <w:tr>
        <w:trPr/>
        <w:tc>
          <w:tcPr>
            <w:tcW w:w="4103" w:type="dxa"/>
            <w:tcBorders>
              <w:top w:val="single" w:sz="2" w:space="0" w:color="000000"/>
              <w:left w:val="single" w:sz="2" w:space="0" w:color="000000"/>
              <w:bottom w:val="single" w:sz="2" w:space="0" w:color="000000"/>
            </w:tcBorders>
            <w:shd w:fill="A9AAAD"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vegetation or other obstructions covering access to nodules</w:t>
            </w:r>
          </w:p>
        </w:tc>
        <w:tc>
          <w:tcPr>
            <w:tcW w:w="109" w:type="dxa"/>
            <w:tcBorders>
              <w:top w:val="single" w:sz="2" w:space="0" w:color="000000"/>
              <w:bottom w:val="single" w:sz="2" w:space="0" w:color="000000"/>
              <w:right w:val="single" w:sz="2" w:space="0" w:color="000000"/>
            </w:tcBorders>
            <w:shd w:fill="A9AAAD" w:val="clear"/>
            <w:tcMar>
              <w:left w:w="0" w:type="dxa"/>
              <w:right w:w="28" w:type="dxa"/>
            </w:tcMar>
            <w:vAlign w:val="center"/>
          </w:tcPr>
          <w:p>
            <w:pPr>
              <w:pStyle w:val="TableContents"/>
              <w:bidi w:val="0"/>
              <w:spacing w:before="0" w:after="240"/>
              <w:ind w:left="0" w:right="0" w:hanging="0"/>
              <w:jc w:val="both"/>
              <w:rPr/>
            </w:pPr>
            <w:r>
              <w:rPr/>
              <w:t>​</w:t>
            </w:r>
          </w:p>
        </w:tc>
        <w:tc>
          <w:tcPr>
            <w:tcW w:w="5993" w:type="dxa"/>
            <w:tcBorders>
              <w:top w:val="single" w:sz="2" w:space="0" w:color="000000"/>
              <w:left w:val="single" w:sz="2" w:space="0" w:color="000000"/>
              <w:bottom w:val="single" w:sz="2" w:space="0" w:color="000000"/>
              <w:right w:val="single" w:sz="2" w:space="0" w:color="000000"/>
            </w:tcBorders>
            <w:shd w:fill="A9AAAD" w:val="clear"/>
            <w:tcMar>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need to remove overburden, no rock cutting or blasting</w:t>
            </w:r>
          </w:p>
        </w:tc>
      </w:tr>
      <w:tr>
        <w:trPr/>
        <w:tc>
          <w:tcPr>
            <w:tcW w:w="4103"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Unbound to the seafloor, 96% of nodule mass in the top 5 cm of seafloor</w:t>
            </w:r>
          </w:p>
        </w:tc>
        <w:tc>
          <w:tcPr>
            <w:tcW w:w="109"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40"/>
              <w:ind w:left="0" w:right="0" w:hanging="0"/>
              <w:jc w:val="both"/>
              <w:rPr/>
            </w:pPr>
            <w:r>
              <w:rPr/>
              <w:t>​</w:t>
            </w:r>
          </w:p>
        </w:tc>
        <w:tc>
          <w:tcPr>
            <w:tcW w:w="5993"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need for destructive rock cutting and excavation</w:t>
            </w:r>
          </w:p>
        </w:tc>
      </w:tr>
      <w:tr>
        <w:trPr/>
        <w:tc>
          <w:tcPr>
            <w:tcW w:w="4103" w:type="dxa"/>
            <w:tcBorders>
              <w:top w:val="single" w:sz="2" w:space="0" w:color="000000"/>
              <w:left w:val="single" w:sz="2" w:space="0" w:color="000000"/>
              <w:bottom w:val="single" w:sz="2" w:space="0" w:color="000000"/>
            </w:tcBorders>
            <w:shd w:fill="A9AAAD"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High grades of four critical metals in a single ore</w:t>
            </w:r>
          </w:p>
        </w:tc>
        <w:tc>
          <w:tcPr>
            <w:tcW w:w="109" w:type="dxa"/>
            <w:tcBorders>
              <w:top w:val="single" w:sz="2" w:space="0" w:color="000000"/>
              <w:bottom w:val="single" w:sz="2" w:space="0" w:color="000000"/>
              <w:right w:val="single" w:sz="2" w:space="0" w:color="000000"/>
            </w:tcBorders>
            <w:shd w:fill="A9AAAD" w:val="clear"/>
            <w:tcMar>
              <w:left w:w="0" w:type="dxa"/>
              <w:right w:w="28" w:type="dxa"/>
            </w:tcMar>
            <w:vAlign w:val="center"/>
          </w:tcPr>
          <w:p>
            <w:pPr>
              <w:pStyle w:val="TableContents"/>
              <w:bidi w:val="0"/>
              <w:spacing w:before="0" w:after="240"/>
              <w:ind w:left="0" w:right="0" w:hanging="0"/>
              <w:jc w:val="both"/>
              <w:rPr/>
            </w:pPr>
            <w:r>
              <w:rPr/>
              <w:t>​</w:t>
            </w:r>
          </w:p>
        </w:tc>
        <w:tc>
          <w:tcPr>
            <w:tcW w:w="5993" w:type="dxa"/>
            <w:tcBorders>
              <w:top w:val="single" w:sz="2" w:space="0" w:color="000000"/>
              <w:left w:val="single" w:sz="2" w:space="0" w:color="000000"/>
              <w:bottom w:val="single" w:sz="2" w:space="0" w:color="000000"/>
              <w:right w:val="single" w:sz="2" w:space="0" w:color="000000"/>
            </w:tcBorders>
            <w:shd w:fill="A9AAAD" w:val="clear"/>
            <w:tcMar>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mass to process compared to land ores</w:t>
            </w:r>
          </w:p>
        </w:tc>
      </w:tr>
      <w:tr>
        <w:trPr/>
        <w:tc>
          <w:tcPr>
            <w:tcW w:w="4103"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Low head-grade variability </w:t>
            </w:r>
          </w:p>
        </w:tc>
        <w:tc>
          <w:tcPr>
            <w:tcW w:w="109"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40"/>
              <w:ind w:left="0" w:right="0" w:hanging="0"/>
              <w:jc w:val="both"/>
              <w:rPr/>
            </w:pPr>
            <w:r>
              <w:rPr/>
              <w:t>​</w:t>
            </w:r>
          </w:p>
        </w:tc>
        <w:tc>
          <w:tcPr>
            <w:tcW w:w="5993"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Potentially easy to process</w:t>
            </w:r>
          </w:p>
        </w:tc>
      </w:tr>
      <w:tr>
        <w:trPr/>
        <w:tc>
          <w:tcPr>
            <w:tcW w:w="4103" w:type="dxa"/>
            <w:tcBorders>
              <w:top w:val="single" w:sz="2" w:space="0" w:color="000000"/>
              <w:left w:val="single" w:sz="2" w:space="0" w:color="000000"/>
              <w:bottom w:val="single" w:sz="2" w:space="0" w:color="000000"/>
            </w:tcBorders>
            <w:shd w:fill="A9AAAD"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2-10 cm diameter </w:t>
            </w:r>
          </w:p>
        </w:tc>
        <w:tc>
          <w:tcPr>
            <w:tcW w:w="109" w:type="dxa"/>
            <w:tcBorders>
              <w:top w:val="single" w:sz="2" w:space="0" w:color="000000"/>
              <w:bottom w:val="single" w:sz="2" w:space="0" w:color="000000"/>
              <w:right w:val="single" w:sz="2" w:space="0" w:color="000000"/>
            </w:tcBorders>
            <w:shd w:fill="A9AAAD" w:val="clear"/>
            <w:tcMar>
              <w:left w:w="0" w:type="dxa"/>
              <w:right w:w="28" w:type="dxa"/>
            </w:tcMar>
            <w:vAlign w:val="center"/>
          </w:tcPr>
          <w:p>
            <w:pPr>
              <w:pStyle w:val="TableContents"/>
              <w:bidi w:val="0"/>
              <w:spacing w:before="0" w:after="240"/>
              <w:ind w:left="0" w:right="0" w:hanging="0"/>
              <w:jc w:val="both"/>
              <w:rPr/>
            </w:pPr>
            <w:r>
              <w:rPr/>
              <w:t>​</w:t>
            </w:r>
          </w:p>
        </w:tc>
        <w:tc>
          <w:tcPr>
            <w:tcW w:w="5993" w:type="dxa"/>
            <w:tcBorders>
              <w:top w:val="single" w:sz="2" w:space="0" w:color="000000"/>
              <w:left w:val="single" w:sz="2" w:space="0" w:color="000000"/>
              <w:bottom w:val="single" w:sz="2" w:space="0" w:color="000000"/>
              <w:right w:val="single" w:sz="2" w:space="0" w:color="000000"/>
            </w:tcBorders>
            <w:shd w:fill="A9AAAD" w:val="clear"/>
            <w:tcMar>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Potentially easy to handle</w:t>
            </w:r>
          </w:p>
        </w:tc>
      </w:tr>
      <w:tr>
        <w:trPr/>
        <w:tc>
          <w:tcPr>
            <w:tcW w:w="4103"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Microporous</w:t>
            </w:r>
          </w:p>
        </w:tc>
        <w:tc>
          <w:tcPr>
            <w:tcW w:w="109"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40"/>
              <w:ind w:left="0" w:right="0" w:hanging="0"/>
              <w:jc w:val="both"/>
              <w:rPr/>
            </w:pPr>
            <w:r>
              <w:rPr/>
              <w:t>​</w:t>
            </w:r>
          </w:p>
        </w:tc>
        <w:tc>
          <w:tcPr>
            <w:tcW w:w="5993"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Potentially easy to smelt</w:t>
            </w:r>
          </w:p>
        </w:tc>
      </w:tr>
      <w:tr>
        <w:trPr/>
        <w:tc>
          <w:tcPr>
            <w:tcW w:w="4103" w:type="dxa"/>
            <w:tcBorders>
              <w:top w:val="single" w:sz="2" w:space="0" w:color="000000"/>
              <w:left w:val="single" w:sz="2" w:space="0" w:color="000000"/>
              <w:bottom w:val="single" w:sz="2" w:space="0" w:color="000000"/>
            </w:tcBorders>
            <w:shd w:fill="A9AAAD"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Very low concentrations of certain hazardous elements like arsenic, antimony and mercury</w:t>
            </w:r>
          </w:p>
        </w:tc>
        <w:tc>
          <w:tcPr>
            <w:tcW w:w="109" w:type="dxa"/>
            <w:tcBorders>
              <w:top w:val="single" w:sz="2" w:space="0" w:color="000000"/>
              <w:bottom w:val="single" w:sz="2" w:space="0" w:color="000000"/>
              <w:right w:val="single" w:sz="2" w:space="0" w:color="000000"/>
            </w:tcBorders>
            <w:shd w:fill="A9AAAD" w:val="clear"/>
            <w:tcMar>
              <w:left w:w="0" w:type="dxa"/>
              <w:right w:w="28" w:type="dxa"/>
            </w:tcMar>
            <w:vAlign w:val="center"/>
          </w:tcPr>
          <w:p>
            <w:pPr>
              <w:pStyle w:val="TableContents"/>
              <w:bidi w:val="0"/>
              <w:spacing w:before="0" w:after="240"/>
              <w:ind w:left="0" w:right="0" w:hanging="0"/>
              <w:jc w:val="both"/>
              <w:rPr/>
            </w:pPr>
            <w:r>
              <w:rPr/>
              <w:t>​</w:t>
            </w:r>
          </w:p>
        </w:tc>
        <w:tc>
          <w:tcPr>
            <w:tcW w:w="5993" w:type="dxa"/>
            <w:tcBorders>
              <w:top w:val="single" w:sz="2" w:space="0" w:color="000000"/>
              <w:left w:val="single" w:sz="2" w:space="0" w:color="000000"/>
              <w:bottom w:val="single" w:sz="2" w:space="0" w:color="000000"/>
              <w:right w:val="single" w:sz="2" w:space="0" w:color="000000"/>
            </w:tcBorders>
            <w:shd w:fill="A9AAAD" w:val="clear"/>
            <w:tcMar>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Potential to productize almost 100% of nodule mass and design a metallurgical flowsheet that generates no tailings and leaves almost no solid waste streams behind</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above characteristics of polymetallic nodules may provide an opportunity to compress lifecycle environmental and social impacts of producing the critical metals contained in nodules as compared to land ores. In order to extract nickel, copper, cobalt and manganese from land ores, at least three different mines would typically be needed.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the critical metals contained therein can help reduce several of these impacts associated with mining land ores. If our nodules are to be processed and refined in the United States, we can also compress the length of current supply chain that some materials need to travel before reaching the United States from 50,000 down to 3,800 nautical miles, while reducing dependency on China which currently dominates refining these critical metals, including through Chinese-owned businesses in jurisdictions like Indonesia and the Democratic Republic of Congo (“DRC”).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Opportunity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minerals contained in polymetallic nodules (copper, nickel, manganese, cobalt and REEs) are classified as critical by the United States, meaning they are both essential to the country’s welfare and face considerable supply chain vulnerabilities. In 2025, the United States imported 100% of primary nickel, cobalt and manganese and 46% of primary copper. Mining and, to a greater extent, processing of these metals are concentrated in or controlled by China. China is the largest producer of refined manganese, cobalt, and copper; while it is the second largest producer of refined nickel, it has substantial control of nickel processing in Indonesia, today’s leading global nickel supplier. An array of policies and agreements have been initiated in 2025 by the U.S. government to combat critical mineral concentration including an Executive Order establishing a national energy emergency inclusive of mineral development and processing, unleashing offshore minerals, plans to expedite mining and processing permitting, a variety of critical mineral agreements abroad, plans to locate metal refining on military bases, and an increase on tariffs for imported Chinese goods.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it is important to ensure that these large amounts of critical metals contained in nodules are sourced economically and with the lowest possible impacts on people and nature. As the global supply of ore remains concentrated in high-biodiversity areas, high-grade ore remains limited or declining and metal demand increases, we can expect a larger environmental and social footprint, potential supply shortages and volatility in metal prices should land ores remain the only viable source of the critical metals contained in nodules, in line with current predictions by many metal analysts.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Critical metals contained in nodules are used across key sectors viewed as strategic by the United States’ government: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Semiconductors and AI Data Centers</w:t>
            </w:r>
            <w:r>
              <w:rPr>
                <w:rFonts w:ascii="Times New Roman;Times;serif" w:hAnsi="Times New Roman;Times;serif"/>
                <w:b w:val="false"/>
                <w:i w:val="false"/>
                <w:caps w:val="false"/>
                <w:smallCaps w:val="false"/>
                <w:sz w:val="20"/>
              </w:rPr>
              <w:t>: Copper, nickel, cobalt and manganese are integral to semiconductor devices (e.g., chips, transistors) and the equipment used to manufacture them (e.g., deposition tools, etching systems). While not primary constituents of semiconductor wafers themselves, these materials enable advanced fabrication processes, interconnects, and component durability. At a functional level, copper is the most widely used for conductivity in devices, cobalt enhances interconnect reliability in advanced nodes, nickel provides barrier and plating functions, and manganese supports emerging memory technologies. Copper is also foundational for power transmission, wiring, busbars, heat exchangers, and cooling systems in hyperscale facilities, with AI-driven data centers projected to consume up to 500,000 tonnes annually by 2030 due to their electricity intensity and thermal management needs. Nickel enhances anticorrosive coatings for connectors and battery terminals, while also contributing to structural alloys and electroplating for corrosion resistance in server components. Cobalt improves battery stability and longevity in uninterruptible power supplies (UPS) using lithium-ion technologies and supports high-performance electronic components under thermal stress. Manganese bolsters mechanical strength in alloys for server racks and infrastructure and is integral to nickel-manganese-cobalt (NMC) cathode chemistries in backup batteries for reliable energy storage during outages.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Energy and Grid Infrastructure</w:t>
            </w:r>
            <w:r>
              <w:rPr>
                <w:rFonts w:ascii="Times New Roman;Times;serif" w:hAnsi="Times New Roman;Times;serif"/>
                <w:b w:val="false"/>
                <w:i w:val="false"/>
                <w:caps w:val="false"/>
                <w:smallCaps w:val="false"/>
                <w:sz w:val="20"/>
              </w:rPr>
              <w:t>: Copper enables efficient electrical grids, transformers, and wiring for new power plant integration and transmission. Manganese enhances steel alloys for transmission towers, and geothermal well casings; nickel and cobalt form superalloys for high-efficiency generators and turbines in hydroelectric, solar and nuclear reactors (e.g., for control rods and vessel linings resistant to radiation and high temperatures), and geothermal systems, improving durability, corrosion resistance, and energy output in harsh environments.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Aerospace and Defense</w:t>
            </w:r>
            <w:r>
              <w:rPr>
                <w:rFonts w:ascii="Times New Roman;Times;serif" w:hAnsi="Times New Roman;Times;serif"/>
                <w:b w:val="false"/>
                <w:i w:val="false"/>
                <w:caps w:val="false"/>
                <w:smallCaps w:val="false"/>
                <w:sz w:val="20"/>
              </w:rPr>
              <w:t>: Nickel and cobalt are critical for high-temperature superalloys in jet engines and turbine blades, enabling superior heat resistance and performance in aircraft and missiles; manganese strengthens structural steels for airframes and armor; copper provides essential conductivity in avionics wiring and electrical systems, supporting radar and communication equipment.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Steel Manufacturing</w:t>
            </w:r>
            <w:r>
              <w:rPr>
                <w:rFonts w:ascii="Times New Roman;Times;serif" w:hAnsi="Times New Roman;Times;serif"/>
                <w:b w:val="false"/>
                <w:i w:val="false"/>
                <w:caps w:val="false"/>
                <w:smallCaps w:val="false"/>
                <w:sz w:val="20"/>
              </w:rPr>
              <w:t>: Manganese is a key alloying element for deoxidizing, desulfurizing, and strengthening steel, making it tougher, more impact-resistant, and essential in low-carbon and high-strength steels (up to 1.8% content in specialized varieties used in pipelines and transportation). Nickel enhances stainless steel’s corrosion resistance, strength, and ductility. Cobalt contributes to high-strength and oxidation-resistant alloys. Copper is occasionally alloyed to improve weather resistance in certain steels.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Shipbuilding and Marine Applications</w:t>
            </w:r>
            <w:r>
              <w:rPr>
                <w:rFonts w:ascii="Times New Roman;Times;serif" w:hAnsi="Times New Roman;Times;serif"/>
                <w:b w:val="false"/>
                <w:i w:val="false"/>
                <w:caps w:val="false"/>
                <w:smallCaps w:val="false"/>
                <w:sz w:val="20"/>
              </w:rPr>
              <w:t>: Copper-nickel alloys are ideal for hull cladding, seawater piping, propellers, and intakes due to their superior corrosion resistance, biofouling prevention, and durability in marine environments, reducing maintenance and fuel costs. Manganese strengthens structural steels for hulls and frameworks; nickel and cobalt enhance alloys for valves, pumps, and high-stress components in offshore platforms and naval vessels.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Batteries</w:t>
            </w:r>
            <w:r>
              <w:rPr>
                <w:rFonts w:ascii="Times New Roman;Times;serif" w:hAnsi="Times New Roman;Times;serif"/>
                <w:b w:val="false"/>
                <w:i w:val="false"/>
                <w:caps w:val="false"/>
                <w:smallCaps w:val="false"/>
                <w:sz w:val="20"/>
              </w:rPr>
              <w:t>: Nickel, cobalt, and manganese are essential for high-energy-density lithium-ion batteries that boost range and stability in electric vehicles (“EVs”) and other battery-powered applications like drones and robots. Copper supports wiring, motors, and charging infrastructure.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Chemical and Industrial Applications</w:t>
            </w:r>
            <w:r>
              <w:rPr>
                <w:rFonts w:ascii="Times New Roman;Times;serif" w:hAnsi="Times New Roman;Times;serif"/>
                <w:b w:val="false"/>
                <w:i w:val="false"/>
                <w:caps w:val="false"/>
                <w:smallCaps w:val="false"/>
                <w:sz w:val="20"/>
              </w:rPr>
              <w:t>: All four metals found in nodules serve as catalysts in chemical processes (e.g., cobalt and nickel in hydrogenation); alloys for corrosion-resistant equipment (nickel and manganese in stainless steel); and specialized components like copper in heat exchangers and cobalt in pigments, enhancing efficiency in manufacturing, oil refining, and environmental technologies.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1066"/>
        <w:gridCol w:w="346"/>
        <w:gridCol w:w="8793"/>
      </w:tblGrid>
      <w:tr>
        <w:trPr/>
        <w:tc>
          <w:tcPr>
            <w:tcW w:w="1066" w:type="dxa"/>
            <w:tcBorders>
              <w:bottom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Metal</w:t>
            </w:r>
          </w:p>
        </w:tc>
        <w:tc>
          <w:tcPr>
            <w:tcW w:w="346" w:type="dxa"/>
            <w:tcBorders>
              <w:bottom w:val="single" w:sz="2" w:space="0" w:color="000000"/>
            </w:tcBorders>
            <w:vAlign w:val="center"/>
          </w:tcPr>
          <w:p>
            <w:pPr>
              <w:pStyle w:val="TableContents"/>
              <w:bidi w:val="0"/>
              <w:spacing w:lineRule="auto" w:line="304" w:before="0" w:after="0"/>
              <w:ind w:left="0" w:right="0" w:hanging="0"/>
              <w:jc w:val="left"/>
              <w:rPr/>
            </w:pPr>
            <w:r>
              <w:rPr/>
              <w:t>  ​ ​ ​</w:t>
            </w:r>
          </w:p>
        </w:tc>
        <w:tc>
          <w:tcPr>
            <w:tcW w:w="8793" w:type="dxa"/>
            <w:tcBorders>
              <w:bottom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Top end use segments</w:t>
            </w:r>
          </w:p>
        </w:tc>
      </w:tr>
      <w:tr>
        <w:trPr/>
        <w:tc>
          <w:tcPr>
            <w:tcW w:w="1066"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Nickel</w:t>
            </w:r>
          </w:p>
        </w:tc>
        <w:tc>
          <w:tcPr>
            <w:tcW w:w="346" w:type="dxa"/>
            <w:tcBorders>
              <w:top w:val="single" w:sz="2" w:space="0" w:color="000000"/>
              <w:right w:val="single" w:sz="2" w:space="0" w:color="000000"/>
            </w:tcBorders>
            <w:tcMar>
              <w:top w:w="28" w:type="dxa"/>
              <w:bottom w:w="0" w:type="dxa"/>
              <w:right w:w="28" w:type="dxa"/>
            </w:tcMar>
            <w:vAlign w:val="center"/>
          </w:tcPr>
          <w:p>
            <w:pPr>
              <w:pStyle w:val="TableContents"/>
              <w:bidi w:val="0"/>
              <w:spacing w:lineRule="auto" w:line="304" w:before="0" w:after="0"/>
              <w:ind w:left="0" w:right="0" w:hanging="0"/>
              <w:jc w:val="left"/>
              <w:rPr/>
            </w:pPr>
            <w:r>
              <w:rPr/>
              <w:t>​</w:t>
            </w:r>
          </w:p>
        </w:tc>
        <w:tc>
          <w:tcPr>
            <w:tcW w:w="8793" w:type="dxa"/>
            <w:tcBorders>
              <w:top w:val="single" w:sz="2" w:space="0" w:color="000000"/>
              <w:left w:val="single" w:sz="2" w:space="0" w:color="000000"/>
            </w:tcBorders>
            <w:shd w:fill="F2F2F2" w:val="clear"/>
            <w:tcMar>
              <w:top w:w="28" w:type="dxa"/>
              <w:left w:w="28" w:type="dxa"/>
              <w:bottom w:w="0"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Stainless steel (66%), batteries (15%), non-ferrous (aerospace &amp; defense) (8%), electroplating (5%), alloy steel (3%), foundry &amp; castings (1%), other (2%)</w:t>
            </w:r>
            <w:r>
              <w:rPr>
                <w:rFonts w:ascii="Times New Roman;Times;serif" w:hAnsi="Times New Roman;Times;serif"/>
                <w:sz w:val="15"/>
              </w:rPr>
              <w:t>1</w:t>
            </w:r>
          </w:p>
        </w:tc>
      </w:tr>
      <w:tr>
        <w:trPr/>
        <w:tc>
          <w:tcPr>
            <w:tcW w:w="10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Copper</w:t>
            </w:r>
          </w:p>
        </w:tc>
        <w:tc>
          <w:tcPr>
            <w:tcW w:w="346" w:type="dxa"/>
            <w:tcBorders>
              <w:right w:val="single" w:sz="2" w:space="0" w:color="000000"/>
            </w:tcBorders>
            <w:tcMar>
              <w:bottom w:w="0" w:type="dxa"/>
              <w:right w:w="28" w:type="dxa"/>
            </w:tcMar>
            <w:vAlign w:val="center"/>
          </w:tcPr>
          <w:p>
            <w:pPr>
              <w:pStyle w:val="TableContents"/>
              <w:bidi w:val="0"/>
              <w:spacing w:lineRule="auto" w:line="304" w:before="0" w:after="0"/>
              <w:ind w:left="0" w:right="0" w:hanging="0"/>
              <w:jc w:val="left"/>
              <w:rPr/>
            </w:pPr>
            <w:r>
              <w:rPr/>
              <w:t>​</w:t>
            </w:r>
          </w:p>
        </w:tc>
        <w:tc>
          <w:tcPr>
            <w:tcW w:w="8793" w:type="dxa"/>
            <w:tcBorders>
              <w:left w:val="single" w:sz="2" w:space="0" w:color="000000"/>
            </w:tcBorders>
            <w:tcMar>
              <w:left w:w="28" w:type="dxa"/>
              <w:bottom w:w="0"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Electrical Infrastructure (30%), construction (24%), consumer appliances and goods (21%), transport (14%), industrial machinery (6%), other diverse uses (5%)</w:t>
            </w:r>
            <w:r>
              <w:rPr>
                <w:rFonts w:ascii="Times New Roman;Times;serif" w:hAnsi="Times New Roman;Times;serif"/>
                <w:sz w:val="15"/>
              </w:rPr>
              <w:t>2</w:t>
            </w:r>
          </w:p>
        </w:tc>
      </w:tr>
      <w:tr>
        <w:trPr/>
        <w:tc>
          <w:tcPr>
            <w:tcW w:w="10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Cobalt</w:t>
            </w:r>
          </w:p>
        </w:tc>
        <w:tc>
          <w:tcPr>
            <w:tcW w:w="346" w:type="dxa"/>
            <w:tcBorders>
              <w:right w:val="single" w:sz="2" w:space="0" w:color="000000"/>
            </w:tcBorders>
            <w:tcMar>
              <w:bottom w:w="0" w:type="dxa"/>
              <w:right w:w="28" w:type="dxa"/>
            </w:tcMar>
            <w:vAlign w:val="center"/>
          </w:tcPr>
          <w:p>
            <w:pPr>
              <w:pStyle w:val="TableContents"/>
              <w:bidi w:val="0"/>
              <w:spacing w:lineRule="auto" w:line="304" w:before="0" w:after="0"/>
              <w:ind w:left="0" w:right="0" w:hanging="0"/>
              <w:jc w:val="left"/>
              <w:rPr/>
            </w:pPr>
            <w:r>
              <w:rPr/>
              <w:t>​</w:t>
            </w:r>
          </w:p>
        </w:tc>
        <w:tc>
          <w:tcPr>
            <w:tcW w:w="8793" w:type="dxa"/>
            <w:tcBorders>
              <w:left w:val="single" w:sz="2" w:space="0" w:color="000000"/>
            </w:tcBorders>
            <w:shd w:fill="F2F2F2" w:val="clear"/>
            <w:tcMar>
              <w:left w:w="28" w:type="dxa"/>
              <w:bottom w:w="0"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EV batteries (42%), portable device batteries (30%), superalloys (9%), hard metals (4%), pigments &amp; ceramics (4%), catalysts (3%), magnets (2%), other (6%)</w:t>
            </w:r>
            <w:r>
              <w:rPr>
                <w:rFonts w:ascii="Times New Roman;Times;serif" w:hAnsi="Times New Roman;Times;serif"/>
                <w:sz w:val="15"/>
              </w:rPr>
              <w:t>3</w:t>
            </w:r>
          </w:p>
        </w:tc>
      </w:tr>
      <w:tr>
        <w:trPr/>
        <w:tc>
          <w:tcPr>
            <w:tcW w:w="1066"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Manganese</w:t>
            </w:r>
          </w:p>
        </w:tc>
        <w:tc>
          <w:tcPr>
            <w:tcW w:w="346" w:type="dxa"/>
            <w:tcBorders>
              <w:right w:val="single" w:sz="2" w:space="0" w:color="000000"/>
            </w:tcBorders>
            <w:tcMar>
              <w:bottom w:w="0" w:type="dxa"/>
              <w:right w:w="28" w:type="dxa"/>
            </w:tcMar>
            <w:vAlign w:val="center"/>
          </w:tcPr>
          <w:p>
            <w:pPr>
              <w:pStyle w:val="TableContents"/>
              <w:bidi w:val="0"/>
              <w:spacing w:lineRule="auto" w:line="304" w:before="0" w:after="0"/>
              <w:ind w:left="0" w:right="0" w:hanging="0"/>
              <w:jc w:val="left"/>
              <w:rPr/>
            </w:pPr>
            <w:r>
              <w:rPr/>
              <w:t>​</w:t>
            </w:r>
          </w:p>
        </w:tc>
        <w:tc>
          <w:tcPr>
            <w:tcW w:w="8793" w:type="dxa"/>
            <w:tcBorders>
              <w:left w:val="single" w:sz="2" w:space="0" w:color="000000"/>
            </w:tcBorders>
            <w:tcMar>
              <w:left w:w="28" w:type="dxa"/>
              <w:bottom w:w="0"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Steel (96%), batteries (3%), agricultural products (1%)</w:t>
            </w:r>
            <w:r>
              <w:rPr>
                <w:rFonts w:ascii="Times New Roman;Times;serif" w:hAnsi="Times New Roman;Times;serif"/>
                <w:sz w:val="15"/>
              </w:rPr>
              <w:t>4</w:t>
            </w:r>
          </w:p>
        </w:tc>
      </w:tr>
    </w:tbl>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Global Demand by Sector</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The below charts provided by Benchmark Mineral Intelligence (“Benchmark Mineral”) and CRU International Limited (“CRU”) show increasing global demand by end-use application for nickel, copper, cobalt and manganese, through 2040. Benchmark Mineral is a leading London-based agency providing specialized, independent intelligence, price reporting, and consultancy for the lithium-ion battery and electric vehicle (EV) supply chain, while CRU is a global, independent provider of market insights with comprehensive services for the manganese market. </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Metals contained in polymetallic nodules serve a wide variety of applications as evidenced by the demand by sector graphs below: increasing battery demand is a key driver for all metals while steel production and electrical infrastructure continue to underpin nickel and manganese, and copper demand, respectively. </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Source: Benchmark Mineral Intelligence, Q4 2025 Forecasts for nickel and cobalt, February 2026 Forecast for copper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Nickel (kt)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4999990" cy="26473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999990" cy="264731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Benchmark Mineral Intelligence Nickel Forecast, 2025 global data</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xml:space="preserve"> Benchmark Mineral Intelligence Copper Forecast, 2025 global data</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 xml:space="preserve"> Benchmark Mineral Intelligence Cobalt Forecast, 2025 global data</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 xml:space="preserve"> IGF Critical Mineral Insights, page 2: afdb.org/sites/default/files/documents/publications/manganese_factsheet_copy_1.pdf.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Cobalt (kt)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047615" cy="26473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047615" cy="264731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Copper (kt)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019040" cy="299021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19040" cy="299021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Manganese (kt)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Source: CRU Consulting Preliminary market research report, September 24, 2024, licensed for public use</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3123565" cy="31426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123565" cy="314261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Key Drivers of Metal Demand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coming decade, global critical mineral demand is forecast to grow as mineral-intensive technologies and infrastructure become more widely used. At the same time, minerals to power infrastructure and energy systems could face double-digit percent supply shortfalls. Metals contained in polymetallic nodules are used in a wide variety of applications including but not limited to energy, infrastructure, defense, manufacturing, non-ferrous (super) alloys, and lithium-ion batteries.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314440" cy="25615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314440" cy="25615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 xml:space="preserve">Energy and Infrastructure </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Global steel production is projected to grow by 8% through 2030, to 2 billion tonnes;</w:t>
      </w:r>
      <w:r>
        <w:rPr>
          <w:rFonts w:ascii="Times New Roman;Times;serif" w:hAnsi="Times New Roman;Times;serif"/>
          <w:sz w:val="15"/>
        </w:rPr>
        <w:t>5</w:t>
      </w:r>
      <w:r>
        <w:rPr>
          <w:rFonts w:ascii="Times New Roman;Times;serif" w:hAnsi="Times New Roman;Times;serif"/>
          <w:sz w:val="20"/>
        </w:rPr>
        <w:t xml:space="preserve"> while production in certain regions saw a decline in 2025, production in the United States and India increased (3.1% and 10.4%, respectively). It is projected that demand for steel in the United States will grow by 40% by 2035.</w:t>
      </w:r>
      <w:r>
        <w:rPr>
          <w:rFonts w:ascii="Times New Roman;Times;serif" w:hAnsi="Times New Roman;Times;serif"/>
          <w:sz w:val="15"/>
        </w:rPr>
        <w:t>6</w:t>
      </w:r>
      <w:r>
        <w:rPr>
          <w:rFonts w:ascii="Times New Roman;Times;serif" w:hAnsi="Times New Roman;Times;serif"/>
          <w:sz w:val="20"/>
        </w:rPr>
        <w:t xml:space="preserve"> 66% of global nickel demand and over 90% of global manganese demand is driven by steel production which is critical to energy and industrial infrastructure.</w:t>
      </w:r>
      <w:r>
        <w:rPr>
          <w:rFonts w:ascii="Times New Roman;Times;serif" w:hAnsi="Times New Roman;Times;serif"/>
          <w:sz w:val="15"/>
        </w:rPr>
        <w:t>7</w:t>
      </w:r>
      <w:r>
        <w:rPr>
          <w:rFonts w:ascii="Times New Roman;Times;serif" w:hAnsi="Times New Roman;Times;serif"/>
          <w:sz w:val="20"/>
        </w:rPr>
        <w:t xml:space="preserve"> Furthermore, as artificial intelligence (AI) workloads grow, data centers are poised to become one of the most mineral-intensive components of the digital economy, increasing from 440,000 tonnes in 2025 to around 690,000 tonnes of copper by 2030. More broadly, copper is foundational for power transmission, wiring, busbars, heat exchangers, and cooling systems in hyperscale facilities. These systems and supporting infrastructure cannot be constructed without the metals contained in CCZ polymetallic nodules.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 xml:space="preserve">Non-Ferrous Alloys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Nickel and cobalt are critical to produce superalloys necessary for the aviation industry, power generation, and a wide variety of engineered parts including marine structures. Nickel forms the fundamental matrix of most superalloys, maintaining mechanical integrity, while cobalt enhances corrosion resistance. Copper is also used for corrosion protection in specialty alloys. While not the largest end-use of metals found in polymetallic nodules by volume, nickel, cobalt and to a lesser extent copper are irreplaceable inputs to alloys used in industrial, energy and defense systems. In the United States, a key driver of nickel and cobalt demand are superalloys found in rotating aircraft and power generation parts, along with other engineering equipment, prosthetics, and thermal spray. </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 xml:space="preserve">Lithium-Ion Batteries </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McKinsey Battery Insights expects a global battery market size of 4.2 TWh in 2030 and 6.8 TWh by 2035, with more than 85% of this demand driven by lithium-ion batteries (LIBs) primarily due to demand growth for battery electric vehicles (EVs) and energy storage, but with increasing demand expected from drones and robots.</w:t>
      </w:r>
      <w:r>
        <w:rPr>
          <w:rFonts w:ascii="Times New Roman;Times;serif" w:hAnsi="Times New Roman;Times;serif"/>
          <w:sz w:val="15"/>
        </w:rPr>
        <w:t>8</w:t>
      </w:r>
      <w:r>
        <w:rPr>
          <w:rFonts w:ascii="Times New Roman;Times;serif" w:hAnsi="Times New Roman;Times;serif"/>
          <w:sz w:val="20"/>
        </w:rPr>
        <w:t xml:space="preserve"> According to CRU, battery applications are expected to drive significant nickel and cobalt demand growth, rising to 38% and 72% of total demand in 2035, respectively.</w:t>
      </w:r>
      <w:r>
        <w:rPr>
          <w:rFonts w:ascii="Times New Roman;Times;serif" w:hAnsi="Times New Roman;Times;serif"/>
          <w:sz w:val="15"/>
        </w:rPr>
        <w:t>9</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global LIB demand increased by 29% to reach 1.59TWh. Battery chemistries that require metals contained in CCZ polymetallic nodules - nickel, cobalt and manganese - deliver high energy densities and are typically deployed in vehicles requiring long range (e.g., luxury and upmarket passenger cars) and power (trucks). Manganese is being increasingly used in non-nickel-based cathode materials (LMFP and LMR) to increase battery energy density. In 2025, these battery chemistries accounted for 40% of overall battery manufacturing, which represented a relatively small portion of the overall global use of nickel (~35%), cobalt (48%) and manganese (&lt;1% of manganese demand). While lithium iron phosphate (LFP), which do not utilize metals found in nodules, remained the fastest growing battery chemistry, accounting for 60% of global battery production in 2025, this growth was underpinned by the battery energy stationary storage (BESS) market and by continued expansion of China’s domestic EV market. Moreover, production of LFP cathode materials is concentrated nearly entirely in China.</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 xml:space="preserve"> https://www.iea.org/data-and-statistics/charts/global-steel-production-in-the-net-zero-scenario-2010-2030</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 xml:space="preserve"> CRU US Sales Potential Study, 2025 (increase to 365 kt 2035 from 259kt)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 xml:space="preserve"> https://www.usgs.gov/centers/national-minerals-information-center/manganese-statistics-and-information?utm_source=chatgpt.com</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8</w:t>
      </w:r>
      <w:r>
        <w:rPr>
          <w:rFonts w:ascii="Times New Roman;Times;serif" w:hAnsi="Times New Roman;Times;serif"/>
          <w:sz w:val="20"/>
        </w:rPr>
        <w:t xml:space="preserve"> https://www.mckinsey.com/features/mckinsey-center-for-future-mobility/our-insights/battery-2035-building-new-advantages</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9</w:t>
      </w:r>
      <w:r>
        <w:rPr>
          <w:rFonts w:ascii="Times New Roman;Times;serif" w:hAnsi="Times New Roman;Times;serif"/>
          <w:sz w:val="20"/>
        </w:rPr>
        <w:t xml:space="preserve"> 2024 CRU-TMC consulting study (Specific % given for Ni, 200/375 kt Co)</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3456305" cy="410273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456305" cy="4102735"/>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Source: BMI Nickel Forecast Report, Q4 2025</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By contrast, production of nickel-based cathode materials is more diversified with production in South Korea, Japan, and to a lesser extent, Europe and North America. Mid and high-level performance EVs will be the primary driver of battery nickel demand growth in the coming years, particularly in Western markets. Outside China, nickel-based cathodes are forecasted to retain approximately 60% of overall market share through 2030, with production increasingly pivoting towards high-nickel content longer term.</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Supply Demand Balance and Commodity Prices </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Cobalt prices rallied in 2025, primarily driven by export restrictions in the DRC. While nickel prices remained stable for the majority of 2025 as oversupply from Indonesia and China continued, a tightening of mining quotas in Indonesia led to significant price increases at the end of the year. Export and mining restrictions drove intermediate payables upward, helping to offset significant rises in sulphur costs for Indonesian High-Pressure Acid Leach (HPAL) producers. Copper prices also surged in 2025 due to disruptions in mined supply, increased demand and stagnant mine supply.</w:t>
      </w:r>
      <w:r>
        <w:rPr>
          <w:rFonts w:ascii="Times New Roman;Times;serif" w:hAnsi="Times New Roman;Times;serif"/>
          <w:sz w:val="15"/>
        </w:rPr>
        <w:t>10</w:t>
      </w:r>
      <w:r>
        <w:rPr>
          <w:rFonts w:ascii="Times New Roman;Times;serif" w:hAnsi="Times New Roman;Times;serif"/>
          <w:sz w:val="20"/>
        </w:rPr>
        <w:t xml:space="preserve"> Initial manganese price spikes in the beginning of 2025 driven by reduced supply from Australia softened through the remainder of the year as supply recovered and Chinese steel demand remained weak. 2025 illustrated metal price sensitivity to supply disruptions and national policies.</w:t>
      </w:r>
    </w:p>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sz w:val="20"/>
        </w:rPr>
        <w:t>As shown in the tables below, several analysts predict potential shortages beginning in early 2030s. In the case of copper, supply shortages have already commenced and are projected to worsen to 8 million tonnes by 2035, and 10 million tonnes by 2040.</w:t>
      </w:r>
      <w:r>
        <w:rPr>
          <w:rFonts w:ascii="Times New Roman;Times;serif" w:hAnsi="Times New Roman;Times;serif"/>
          <w:sz w:val="15"/>
        </w:rPr>
        <w:t>11</w:t>
      </w:r>
    </w:p>
    <w:p>
      <w:pPr>
        <w:pStyle w:val="TextBody"/>
        <w:bidi w:val="0"/>
        <w:spacing w:before="0" w:after="0"/>
        <w:ind w:left="0" w:right="0" w:firstLine="36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10</w:t>
      </w:r>
      <w:r>
        <w:rPr>
          <w:rFonts w:ascii="Times New Roman;Times;serif" w:hAnsi="Times New Roman;Times;serif"/>
          <w:sz w:val="20"/>
        </w:rPr>
        <w:t xml:space="preserve"> investingnews.com/benchmark-mineral-intelligence-copper-forecast/</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 xml:space="preserve">11 </w:t>
      </w:r>
      <w:r>
        <w:rPr>
          <w:rFonts w:ascii="Times New Roman;Times;serif" w:hAnsi="Times New Roman;Times;serif"/>
          <w:sz w:val="20"/>
        </w:rPr>
        <w:t>https://www.spglobal.com/energy/en/news-research/latest-news/metals/010826-copper-supply-gap-to-widen-24-by-2040-as-electrification-accelerates-study</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Nickel market balance (t)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4544695" cy="238252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544695" cy="238252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Cobalt market balance (t)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4709160" cy="251206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709160" cy="251206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Copper market balance (kt)</w:t>
      </w:r>
    </w:p>
    <w:p>
      <w:pPr>
        <w:pStyle w:val="TextBody"/>
        <w:bidi w:val="0"/>
        <w:spacing w:before="0" w:after="240"/>
        <w:ind w:left="0" w:right="0" w:hanging="0"/>
        <w:jc w:val="center"/>
        <w:rPr/>
      </w:pPr>
      <w:r>
        <w:rPr/>
        <w:drawing>
          <wp:inline distT="0" distB="0" distL="0" distR="0">
            <wp:extent cx="4709160" cy="27673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709160" cy="2767330"/>
                    </a:xfrm>
                    <a:prstGeom prst="rect">
                      <a:avLst/>
                    </a:prstGeom>
                  </pic:spPr>
                </pic:pic>
              </a:graphicData>
            </a:graphic>
          </wp:inline>
        </w:drawing>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Manganese market balance (kt)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066665" cy="224726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66665" cy="224726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Government Support for Nodule Resource Development from the United States </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The development of deep seabed polymetallic nodule resources was made a strategic national priority for the United States when the recent Executive Order 14285 was signed by President Trump on April 24, 2025, titled “Unleashing America’s Offshore Critical Minerals and Resources”, which directs the Commerce Secretary to implement an expedited permitting process under DSHMRA. In addition to directing the International Development Finance Corporation, Export-Import Bank and Trade and Development Agency to identify tools to support this new industry, the Executive Order instructs the Departments of Defense and Energy to assess the use of the National Defense Stockpile for nodule-derived minerals and of entering into offtake agreements for the procurement of these minerals. In addition, these departments are also directed to review and support domestic processing capabilities for seabed mineral resources. America’s Maritime Action Plan published in early 2026, further prioritizes the expansion of seabed activities, such as deep-sea science, mapping, and marine technologies to characterize and mine seabed critical mineral and ore resources.</w:t>
      </w:r>
      <w:r>
        <w:rPr>
          <w:rFonts w:ascii="Times New Roman;Times;serif" w:hAnsi="Times New Roman;Times;serif"/>
          <w:sz w:val="15"/>
        </w:rPr>
        <w:t>12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Environmental Opportunity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Today, all nickel, copper, cobalt and manganese are produced from land ores or recycled metal stock. Existing metal stocks available for recycling are insufficient to meet current demand. Even with high end-of-life product recycling rates, most of the new demand over the coming decades will have to be met by new mining. We believe the land-based mining sector is fundamentally challenged: ore grades are falling, production is moving to some of the more biodiverse and conflict-prone regions in the world,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a real challenge on seismically active and wet tropical islands in countries like Indonesia that accounts for most of the growth in nickel supply.</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12</w:t>
      </w:r>
      <w:r>
        <w:rPr>
          <w:rFonts w:ascii="Times New Roman;Times;serif" w:hAnsi="Times New Roman;Times;serif"/>
          <w:sz w:val="20"/>
        </w:rPr>
        <w:t xml:space="preserve"> whitehouse.gov/wp-content/uploads/2026/02/Restoring-Americas-Maritime-Dominance.pdf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a vigorous campaign by several non-governmental organizations, some participants in the global supply chain have called for a general moratorium on all forms of deep seabed mining until there is more knowledge about marine impacts of nodule collection operations. In contrast, the comprehensive research completed to date using in-situ data shows how nodules can potentially provide an opportunity to significantly compress most lifecycle environmental and social impacts associated with conventional metal production from land ores. We have completed several comparative LCAs on the impacts of critical metal production from terrestrial sources versus polymetallic nodules from NORI-D in the CCZ as well as the Environmental and Social Impact Assessment (“ESIA”) and the Cultural Heritage Impact Assessment (“CHIA”) for offshore nodule collection segment of the NORI Area D project.</w:t>
      </w:r>
    </w:p>
    <w:p>
      <w:pPr>
        <w:pStyle w:val="TextBody"/>
        <w:bidi w:val="0"/>
        <w:spacing w:before="0" w:after="0"/>
        <w:ind w:left="0" w:right="0" w:hanging="0"/>
        <w:jc w:val="center"/>
        <w:rPr/>
      </w:pPr>
      <w:r>
        <w:rPr/>
        <w:drawing>
          <wp:inline distT="0" distB="0" distL="0" distR="0">
            <wp:extent cx="5504815" cy="329501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504815" cy="329501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To quantify environmental footprints of metal production from nodules as compared to conventional land ores, we commissioned several LCAs looking at the cradle-to-gate impacts of producing nickel, copper, cobalt and manganese products from polymetallic nodules and how it compares to land-based routes. An LCA white paper examining a comprehensive set of impacts was commissioned by us and co-authored by certain of our executive officers in 2018 and reviewed by subject matter specialists and published on our website in April 2020; an LCA research paper focusing on climate change impacts was peer-reviewed and published in the Elsevier Journal of Cleaner Production in December 2020; an LCA research paper focusing on solid waste streams was peer-reviewed and published in the Yale Journal of Industrial Ecology in January 2022 and an independent LCA compliant with the International Organization for Standardization Standard 14040 on our NORI Area D project was conducted by Benchmark Minerals and released in March 2023. In 2024, we commissioned Minviro to update the NORI Area D model to reflect the latest data and assumptions on how and where we could process our nodules, and an ever more detailed understanding of our potential impact hotspots. Published in May 2025, the Minviro ISO-compliant LCA quantifies the expected environmental impacts of pyrometallurgical processing in Japan or Indonesia, and hydrometallurgical refining in South Korea. Most recently, following the publication of NORI-D PFS, in September 2025, we published a new ISO-compliant LCA completed by Ecoquant which focused on evaluating the expected environmental impacts of the NORI Area D project updated to match the NORI-D PFS data. This LCA also provides a comparative analysis against today’s dominant terrestrial supply chains, using increasingly granular datasets to more accurately assess these routes. The methodological choices made by Ecoquant are consistent with earlier project-specific LCAs done by Benchmark Mineral (2023) and Minviro (2025). Based on all our research including these LCA assessments, we believe that we are positioned to become one of the lowest environmental and social footprint metal companies in the industry.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September 2025 LCA by Ecoquant assessed three scenarios for our onshore processing of nodules. In the first scenario, both pyrometallurgical and hydrometallurgical processes take place in Texas. In the second scenario, the pyrometallurgical process takes place in Japan and then matte is transported to South Korea to undergo hydrometallurgy (NORI-D Japan). In the third scenario, the pyrometallurgical circuit takes place in Indonesia and then the matte is transported to South Korea for hydrometallurgical processing (NORI-D Indonesia). The Ecoquant LCA also assesses the production of nickel and cobalt sulfate, copper cathode and silicomanganese via traditional land-based routes and compares them to the same products from NORI Area D. The selection of the terrestrial routes reflects the most common current pathways for sourcing these metals, while also including a few lower impact routes to provide a broader and more balanced perspective.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LCA supports our belief that the production of nickel sulfate and cobalt sulfate from the NORI Area D Project (particularly NORI-D Texas) consistently results in the lowest environmental costs among the impact categories evaluated compared to all evaluated routes. This is due to the high grade of these minerals in the nodules, the relatively low environmental costs of offshore operations, and the unique processing pathway which produces multiple co-products that share the environmental load. For the production of copper cathode, the NORI Area D scenarios generally perform better than all evaluated routes across the assessed impact categories, except for the DRC route in the climate change and energy use categories. The DRC route, however, performs poorly in acidification due to diesel and sulfur use. While most of these reductions are attributable to the unique characteristics of the polymetallic nodule resource, the near elimination of solid processing waste streams onshore is made possible by our investment in a near-zero-waste flowsheet design and part of the projected low carbon emissions are due to our strong preference to locate onshore processing facilities in places with access to low-carbon power.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Nickel from NORI Area D Project shows lowest impact:</w:t>
      </w:r>
    </w:p>
    <w:p>
      <w:pPr>
        <w:pStyle w:val="TextBody"/>
        <w:bidi w:val="0"/>
        <w:spacing w:before="0" w:after="240"/>
        <w:ind w:left="0" w:right="0" w:hanging="0"/>
        <w:jc w:val="center"/>
        <w:rPr/>
      </w:pPr>
      <w:r>
        <w:rPr/>
        <w:drawing>
          <wp:inline distT="0" distB="0" distL="0" distR="0">
            <wp:extent cx="6272530" cy="448056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272530" cy="4480560"/>
                    </a:xfrm>
                    <a:prstGeom prst="rect">
                      <a:avLst/>
                    </a:prstGeom>
                  </pic:spPr>
                </pic:pic>
              </a:graphicData>
            </a:graphic>
          </wp:inline>
        </w:drawing>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each route of the terrestrial comparisons, Ecoquant used the best available data which can be found in credible, published literature sources such as company and governmental reports. Where data was not available, mass and energy balances, or proxy data was used.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processes were modelled using data from the NORI-D PFS in which annual marine fuel usage was calculated with data provided by Allseas, who designed and retrofitted our production vessel; as well as information provided by large shipping companies that have worked with us. For onshore operations, the LCA looked at process data derived from mass and energy balance models. The mass and energy balance modelling was conducted by Hatch, an engineering and development consultancy, who utilized the industry standard Metsim™ software package and qualified experienced process engineers. The design basis for the model development included analogous commercial operations in nickel processing, our test-work results as well as employing extensive data from literature, and fundamental thermodynamics.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ESIA we conducted for offshore operations in the NORI Area D in partnership with world leading deep-sea research institutions and contractors, we also assessed the impacts of the NORI Area D Project on marine ecosystem function and services, including biodiversity. The CCZ abyssal plains are one of the most common and least populated habitats on the planet, akin to deserts on land. The CCZ abyssal seafloor is plant-free, food-poor and dominated by bacterial life forms. It has been studied extensively since the 1960s with over 194,000 papers published on polymetallic nodules in general and over 50,000 on nodules in eastern CCZ where NORI Area D is located.</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The largest driver of uncertainty in assessing the potential future impact of nodule collection operations on marine biodiversity is our ability to measure biodiversity itself. Unlike biodiversity, biomass measured as carbon contained in live organisms per m</w:t>
      </w:r>
      <w:r>
        <w:rPr>
          <w:rFonts w:ascii="Times New Roman;Times;serif" w:hAnsi="Times New Roman;Times;serif"/>
          <w:sz w:val="15"/>
        </w:rPr>
        <w:t>2</w:t>
      </w:r>
      <w:r>
        <w:rPr>
          <w:rFonts w:ascii="Times New Roman;Times;serif" w:hAnsi="Times New Roman;Times;serif"/>
          <w:sz w:val="20"/>
        </w:rPr>
        <w:t xml:space="preserve"> of habitat, is easier to measure and compare. Based on available data we have collected and reviewed, we believe that the CCZ is one of lowest biomass locations on the planet. We believe metal production from nodules could reduce biomass at risk by over 90% compared to producing the same amount of metals from conventional land ores.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contrast, land-based mining for nickel and cobalt occurs in biodiverse countries as identified by Benchmark Mineral in a study commissioned by us and published in November 2023. In both Indonesia and the DRC, which are the world’s largest producers of nickel and cobalt respectively, the extraction of metal ores through open pit mines requires the complete removal of overlying ecosystems and contained carbon sinks, in turn eliminating the carbon sequestration. The study found that 1 kilogram of nickel mined from saprolite and limonite ore in Sulawesi, Indonesia removes forests containing carbon stock equivalent to 7.0 and 9.4 kilograms of CO</w:t>
      </w:r>
      <w:r>
        <w:rPr>
          <w:rFonts w:ascii="Times New Roman;Times;serif" w:hAnsi="Times New Roman;Times;serif"/>
          <w:sz w:val="15"/>
        </w:rPr>
        <w:t>2</w:t>
      </w:r>
      <w:r>
        <w:rPr>
          <w:rFonts w:ascii="Times New Roman;Times;serif" w:hAnsi="Times New Roman;Times;serif"/>
          <w:sz w:val="20"/>
        </w:rPr>
        <w:t>e, and 3.6 kilograms of CO</w:t>
      </w:r>
      <w:r>
        <w:rPr>
          <w:rFonts w:ascii="Times New Roman;Times;serif" w:hAnsi="Times New Roman;Times;serif"/>
          <w:sz w:val="15"/>
        </w:rPr>
        <w:t>2</w:t>
      </w:r>
      <w:r>
        <w:rPr>
          <w:rFonts w:ascii="Times New Roman;Times;serif" w:hAnsi="Times New Roman;Times;serif"/>
          <w:sz w:val="20"/>
        </w:rPr>
        <w:t>e in the case of cobalt mined in Katanga, DRC. Due to the resulting vegetation change, mining activities cause carbon sequestration services loss of 4.8 grams and 6.5 grams of CO</w:t>
      </w:r>
      <w:r>
        <w:rPr>
          <w:rFonts w:ascii="Times New Roman;Times;serif" w:hAnsi="Times New Roman;Times;serif"/>
          <w:sz w:val="15"/>
        </w:rPr>
        <w:t>2</w:t>
      </w:r>
      <w:r>
        <w:rPr>
          <w:rFonts w:ascii="Times New Roman;Times;serif" w:hAnsi="Times New Roman;Times;serif"/>
          <w:sz w:val="20"/>
        </w:rPr>
        <w:t>e respectively for nickel, and 9.3 grams of CO</w:t>
      </w:r>
      <w:r>
        <w:rPr>
          <w:rFonts w:ascii="Times New Roman;Times;serif" w:hAnsi="Times New Roman;Times;serif"/>
          <w:sz w:val="15"/>
        </w:rPr>
        <w:t>2</w:t>
      </w:r>
      <w:r>
        <w:rPr>
          <w:rFonts w:ascii="Times New Roman;Times;serif" w:hAnsi="Times New Roman;Times;serif"/>
          <w:sz w:val="20"/>
        </w:rPr>
        <w:t>e for cobalt per year.</w:t>
      </w:r>
    </w:p>
    <w:p>
      <w:pPr>
        <w:pStyle w:val="TextBody"/>
        <w:bidi w:val="0"/>
        <w:spacing w:before="0" w:after="240"/>
        <w:ind w:left="0" w:right="0" w:hanging="0"/>
        <w:jc w:val="center"/>
        <w:rPr/>
      </w:pPr>
      <w:r>
        <w:rPr/>
        <w:drawing>
          <wp:inline distT="0" distB="0" distL="0" distR="0">
            <wp:extent cx="4466590" cy="445706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466590" cy="4457065"/>
                    </a:xfrm>
                    <a:prstGeom prst="rect">
                      <a:avLst/>
                    </a:prstGeom>
                  </pic:spPr>
                </pic:pic>
              </a:graphicData>
            </a:graphic>
          </wp:inline>
        </w:drawing>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precautionary environmental management and protection measure, the ISA has already set aside 43% of the CCZ or 1.97 million square kilometers as protected areas, or Areas of Particular Environmental Interest (APEIs), aiming to ensure that all types of habitats that could be impacted by exploitation are represented and preserved within APEIs. For comparison, only approximately 9.75% of global oceans are protected today and the global target agreed in the High Seas Treaty in March 2023 is to protect 30% of the oceans by 2030. Additional marine impact mitigation measures such as setting aside more no-take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to design plans that could mitigate marine impacts of nodule collection through collection system design and adaptive management systems.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entire CCZ area currently under exploration under the ISA regulatory regime (1.24 million square kilometers) were to be exploited over a 30-year period (which we believe is extremely unlikely), these nodule collection operations would impact 41,500 square kilometers of the abyssal seafloor per year in one of the least productive areas of the ocean (with respect to the abundance of marine life). This is less than 1% of the estimated 4,900,000 square kilometers of the seafloor currently impacted every year by trawling operations that take place primarily in highly productive coastal waters.</w:t>
      </w:r>
    </w:p>
    <w:p>
      <w:pPr>
        <w:pStyle w:val="TextBody"/>
        <w:bidi w:val="0"/>
        <w:spacing w:before="0" w:after="0"/>
        <w:ind w:left="0" w:right="0" w:hanging="0"/>
        <w:jc w:val="center"/>
        <w:rPr/>
      </w:pPr>
      <w:r>
        <w:rPr/>
        <w:drawing>
          <wp:inline distT="0" distB="0" distL="0" distR="0">
            <wp:extent cx="6290945" cy="35369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290945" cy="353695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Potential future commercial-scale nodule collection operations in the CCZ are likely to disturb marine wildlife in the directly mined areas. We have completed studies baselining wildlife and ecosystem function, piloting the nodule collection system, and assessing impacts arising from the use of this system immediately following the collector test and 12 months after the collector test in NORI Area D. In total, over 1 petabyte of environmental data has been collected and processed. For comparison, the world’s largest library, the Library of Congress, manages 29 petabytes in its core digital collection. Assessment of impacts based on collected data has been completed and a draft EIS will be published and available for public comment as part of the permitting process. Given the significant volume of deep water and the difficulty of sampling or retrieving biological specimens in the CCZ, a complete biological inventory might never be established. Accordingly, impacts on CCZ biodiversity may never be entirely and definitively known. However, we believe similar challenges are faced on land, with an estimated 70-80% of terrestrial species still undescribed. We will continue collecting data during commercial operations, and our understanding of the impacts of a full-scale mining system will improve over time, which we believe will enable the development of better mitigation measures and risk reduction as the industry matures. We currently believe, however, that as the abyssal plains are the most ubiquitous habitat on the planet with low levels of biodiversity compared to the main metal-producing areas on land, it is likely that the impacts of nodule collection on global biodiversity will be less significant than those estimated for land-based mining for a similar amount of produced metal.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It is also currently not definitively known how effectively the risk of biodiversity loss in the CCZ could be eliminated or reduced through mitigation strategies like setting aside large preservation and no-take areas or how long it will take for disturbed seabed areas to recover naturally. We believe there is also an uncertainty as to the effect of terrestrial mining operations in biodiversity hotspots, such as the Indonesian rainforests. Prior research indicates that the density, diversity and function of fauna representing the majority of the resident biomass in the abyssal plain (i.e., microbes, representing approximately 80% of the biomass) are expected to recover naturally within years following the cessation of mining. Some uncertainty still exists around the recovery rate of fauna that requires the hard substrate of nodules for critical life function. Recent research suggests that carbon (food) availability is likely to be a more significant limiting factor to the ecosystem’s capacity to support nodule-obligate fauna populations than hard-substrate habitat availability.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strategies such as leaving behind partial nodule cover and setting aside no-take areas to aid recruitment and recovery of nodule-dependent species in impacted areas are promising mitigation strategies that will be investigated. For example, recent research in NORI Area D indicates that sediment-covered nodules left behind after pilot collection activities ceased were exposed and became available as a source of hard-substrate habitat within just 12 months. The effectiveness of these strategies in supporting self-sustaining populations of nodule-obligate fauna after nodule collection will be the focus of future long-term monitoring studies.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now in the development stage following in August 2025, the release of the NORI-D PFS where we declared mining reserves for one of our seafloor polymetallic nodule projects. We have not yet obtained a commercial recovery permit and all other related offshore permits from the regulators. Additionally, we do not yet hold the environmental or other permits required to construct and operate commercial-scale polymetallic nodule processing and refining facilities on land.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extractive industries result in impacts on the receiving environment. Nodule collection is no exception and will impact the deep-sea marine environment through nodule removal, disturbance of seafloor sediment (“seafloor plumes”) and return of seawater used for nodule transport that is expected to contain residual sediment and nodule fines back in the water column (“midwater plumes”). Baselining the impacted marine environment by characterizing the ecosystem and then developing measures to avoid and mitigate these impacts was the central focus of our offshore ESIA program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international protected areas in the CCZ or other areas set aside by other regulators and additional no-take areas set aside by us, (2) the extent to which residual nodule cover will aid recruitment and recovery of these species in impacted areas and (3) how sedimentation impacts benthic species outside the directly mined areas. Disturbance of the seafloor by nodule collector vehicles is expected to also disturb (mostly microbial) organisms living in and on the sediments. Impact severity will depend on the depth of sediment disturbance expected to be approximately 3-5 centimeters based on modelling, laboratory tests, and recent collector tests completed in the CCZ by our subsidiary NORI and two other nodule contract-holders, Belgium’s Global Sea Mineral Resources NV (GSR) and the German’s Federal Institute for Geosciences and Natural Resources (BGR) and the impact this disturbance has on benthic ecosystem function. A research paper on seafloor sediment plumes published by MIT and the Scripps Institution of Oceanography in September 2022 found that 92-98% of benthic plume generated from the pilot nodule collector vehicle rose only two meters above the seafloor and settled locally within 10s to 100s of meters from the source of the disturbance, a result that was confirmed by the results of the collector test completed by NORI in 2022 on the NORI Area D property.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Over 90% of the entrained sediment is expected to be separated from nodules inside the collector vehicle and discharged by the collector vehicle on the seafloor settling back to the seafloor mostly within the mined area.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vehicle will be transported with nodules and seawater through the riser pipe to the surface production vessel where nodules are dewatered and residual water, sediment and nodules fines will be returned at a depth of 2,000 meters in the water column below the highly productive photic zone and the measured lower limit of diel vertical migration of zooplankton in the pelagic zone. Potential impacts from the mid-water sediment plume could include clogging of the delicate respiratory and filter-feeding structures of pelagic zooplankton species, such as jellyfish and krill. However, the mid-water discharge has been shown by the collector test to have very low solid particle concentration and quickly dilutes to close to background levels. According to a research paper on midwater sediment plumes published by researchers from the Massachusetts Institute of Technology (“MIT”) in Communications Earth &amp; Environment in July 2021, entrained sediment from the return of seawater used for nodule transport dilutes to natural background levels within a few hundred meters of the outlet. This finding is supported by the monitoring results of the collector test completed by NORI in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Strategic Positioning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we are well-positioned to meet the expected U.S. demand for the critical metals contained in polymetallic nodules: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Large seafloor nodule resource, aligned with U.S. national security and economic priorities: </w:t>
            </w:r>
            <w:r>
              <w:rPr>
                <w:rFonts w:ascii="Times New Roman;Times;serif" w:hAnsi="Times New Roman;Times;serif"/>
                <w:b w:val="false"/>
                <w:i w:val="false"/>
                <w:caps w:val="false"/>
                <w:smallCaps w:val="false"/>
                <w:sz w:val="20"/>
              </w:rPr>
              <w:t xml:space="preserve">We are developing the world’s largest polymetallic nodule resource that could support globally significant operations— a resource large enough to one day potentially allow us to become the world’s largest producer of nickel and manganese, fourth largest producer of cobalt and a top10 producer of copper. The United States’ investment in strategic sectors (e.g., semiconductors, AI data centers, energy) and revitalization of the defense industrial base is expected to create multiple simultaneous drivers of demand for all four metals contained in our nodule resource. Today, all four metals contained in our nodule resource are on the U.S. Department of Interior’s “2025 List of Critical Minerals.” The United States is dependent on imports for 100% of its primary nickel, cobalt, and manganese and 46% for its primary copper. The size of our resource has the potential to eliminate U.S. dependence on foreign sources for nickel, cobalt and manganese and add significant additional copper.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End-to-end U.S. control of supply chain</w:t>
            </w:r>
            <w:r>
              <w:rPr>
                <w:rFonts w:ascii="Times New Roman;Times;serif" w:hAnsi="Times New Roman;Times;serif"/>
                <w:b w:val="false"/>
                <w:i w:val="false"/>
                <w:caps w:val="false"/>
                <w:smallCaps w:val="false"/>
                <w:sz w:val="20"/>
              </w:rPr>
              <w:t>: Our offshore activities can occur in international waters under U.S.-issued permits while our onshore processing and refining can be located in the United States or at its allies, potentially creating an integrated, secure U.S.-based chain insulated from foreign interference.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Accelerated execution through partnerships</w:t>
            </w:r>
            <w:r>
              <w:rPr>
                <w:rFonts w:ascii="Times New Roman;Times;serif" w:hAnsi="Times New Roman;Times;serif"/>
                <w:b w:val="false"/>
                <w:i w:val="false"/>
                <w:caps w:val="false"/>
                <w:smallCaps w:val="false"/>
                <w:sz w:val="20"/>
              </w:rPr>
              <w:t>: From the outset, our strategy has been to develop our projects through best-in-class partners. Offshore nodule collection is led by Allseas, with over 40+ years of deep-sea experience, a proven track record in pioneering technologies (including heavy-lift systems), a successful pilot of our collection technology, and status as our largest strategic investor. Onshore processing and refining is supported by multiple partners: PAMCO, an experienced Japanese operator of a nickel laterite smelting complex delivered a successful nodule calcining and smelting campaign at their industrial scale facilities in Hachinohe. Korea Zinc, the world’s largest non-ferrous smelting company with over 40+ years in direct-reduction smelters (DRS) and multi-metal refining, is a strategic investor and advisor on nickel refining technology and potential to adapt their DRS technology to smelting nodules and downstream intermediates. Mariana, a software-first mineral developer and operator with recent U.S. mineral-processing project experience, is part of TMC USA’s owner’s team focusing on AI-enabled project execution and operations aiming to fast-track permitting, construction, and commissioning while reducing operating costs of potential domestic facilities.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Resilient project economics: </w:t>
            </w:r>
            <w:r>
              <w:rPr>
                <w:rFonts w:ascii="Times New Roman;Times;serif" w:hAnsi="Times New Roman;Times;serif"/>
                <w:b w:val="false"/>
                <w:i w:val="false"/>
                <w:caps w:val="false"/>
                <w:smallCaps w:val="false"/>
                <w:sz w:val="20"/>
              </w:rPr>
              <w:t>Our high-grade resource is expected to place our projects at the bottom of the nickel cost curve, enabling economics that remain viable through commodity price cycles that challenge most other developers and producers.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Better impact profile</w:t>
            </w:r>
            <w:r>
              <w:rPr>
                <w:rFonts w:ascii="Times New Roman;Times;serif" w:hAnsi="Times New Roman;Times;serif"/>
                <w:b w:val="false"/>
                <w:i w:val="false"/>
                <w:caps w:val="false"/>
                <w:smallCaps w:val="false"/>
                <w:sz w:val="20"/>
              </w:rPr>
              <w:t>: Our approach is expected to deliver a differentiated impact profile on people and nature as compared to most land-based projects: no displacement of communities, manageable impacts on deep-sea ecosystems through environmentally informed technology innovation, near-zero solid waste processing and superior lifecycle outcomes.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Our Competitive Advantages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we are better positioned than other domestic developers to provide a solution to the growing need for the critical metals contained in nodules due to several advantages: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Abundant and high-grade resource unlike any other domestic U.S. project:</w:t>
            </w:r>
            <w:r>
              <w:rPr>
                <w:caps w:val="false"/>
                <w:smallCaps w:val="false"/>
              </w:rPr>
              <w:t xml:space="preserve"> </w:t>
            </w:r>
            <w:r>
              <w:rPr>
                <w:rFonts w:ascii="Times New Roman;Times;serif" w:hAnsi="Times New Roman;Times;serif"/>
                <w:b w:val="false"/>
                <w:i w:val="false"/>
                <w:caps w:val="false"/>
                <w:smallCaps w:val="false"/>
                <w:sz w:val="20"/>
              </w:rPr>
              <w:t>Our estimated resource is larger and higher-grade than most other domestic U.S. projects of the same critical minerals on land (see table below). Offshore, several U.S. companies have applied to NOAA for seafloor nodule exploration licenses. None of these companies, however, have published standards-compliant resource statements and we believe it will likely be years before any of these companies will be in position to do so.</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both"/>
        <w:rPr>
          <w:rFonts w:ascii="Times New Roman;Times;serif" w:hAnsi="Times New Roman;Times;serif"/>
          <w:b/>
          <w:sz w:val="20"/>
        </w:rPr>
      </w:pPr>
      <w:r>
        <w:rPr>
          <w:rFonts w:ascii="Times New Roman;Times;serif" w:hAnsi="Times New Roman;Times;serif"/>
          <w:b/>
          <w:sz w:val="20"/>
        </w:rPr>
        <w:t>U.S. Developers of Base Metals</w:t>
      </w:r>
    </w:p>
    <w:p>
      <w:pPr>
        <w:pStyle w:val="TextBody"/>
        <w:bidi w:val="0"/>
        <w:spacing w:before="0" w:after="240"/>
        <w:ind w:left="0" w:right="0" w:hanging="0"/>
        <w:jc w:val="center"/>
        <w:rPr/>
      </w:pPr>
      <w:r>
        <w:rPr/>
        <w:drawing>
          <wp:inline distT="0" distB="0" distL="0" distR="0">
            <wp:extent cx="5833745" cy="278066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833745" cy="278066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World-leading deep-sea research and Environmental Impact Assessment (EIA)</w:t>
            </w:r>
            <w:r>
              <w:rPr>
                <w:rFonts w:ascii="Times New Roman;Times;serif" w:hAnsi="Times New Roman;Times;serif"/>
                <w:b w:val="false"/>
                <w:i w:val="false"/>
                <w:caps w:val="false"/>
                <w:smallCaps w:val="false"/>
                <w:sz w:val="20"/>
              </w:rPr>
              <w:t xml:space="preserve">: We are the only company in the world to have completed a comprehensive seafloor-to-surface environmental baseline and impact assessment for offshore nodule collection operations. This assessment took 22 offshore campaigns spread over many years and required approximately $250 million in total investment. While learning from our experience and taking advantage of the more than 1 petabyte dataset we have generated will enable other American nodule companies to accelerate their EIA programs, considerable time and investment is required of these companies to baseline the marine environments in their chosen exploration sites and assess the impacts of their chosen offshore technology.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Demonstrated offshore and onshore technology: </w:t>
            </w:r>
            <w:r>
              <w:rPr>
                <w:rFonts w:ascii="Times New Roman;Times;serif" w:hAnsi="Times New Roman;Times;serif"/>
                <w:b w:val="false"/>
                <w:i w:val="false"/>
                <w:caps w:val="false"/>
                <w:smallCaps w:val="false"/>
                <w:sz w:val="20"/>
              </w:rPr>
              <w:t>We are the only company in the world to have demonstrated technology across the integrated project, from offshore nodule collection to onshore nodule processing and refining into marketable product formats. Nodule collection technology:</w:t>
            </w:r>
            <w:r>
              <w:rPr>
                <w:caps w:val="false"/>
                <w:smallCaps w:val="false"/>
              </w:rPr>
              <w:t xml:space="preserve"> </w:t>
            </w:r>
            <w:r>
              <w:rPr>
                <w:rFonts w:ascii="Times New Roman;Times;serif" w:hAnsi="Times New Roman;Times;serif"/>
                <w:b w:val="false"/>
                <w:i w:val="false"/>
                <w:caps w:val="false"/>
                <w:smallCaps w:val="false"/>
                <w:sz w:val="20"/>
              </w:rPr>
              <w:t>In November 2022, together with our partner Allseas we completed a pilot mining test where approximately 4,500 tonnes of wet nodules were collected and more than 3,000 tonnes of wet nodules were lifted 4.3 kilometers to the surface after the collector vehicle traversed over 80 kilometers of the seafloor in the NORI Area D, achieving a sustained production rate of 86.4 tonnes per hour with a prototype seafloor nodule collector vehicle. While several other companies have tested various seafloor collection machines, no other company has demonstrated an integrated nodule collection system since the 1970s. The 3,000-tonne nodule sample we collected made it possible to test our onshore processing technology at industrial scale. Nodule processing technology: In 2021, we successfully completed the calcining and smelting of nodules into a manganese silicate product and nickel-copper-cobalt alloy intermediate product, followed by conversion and sulfidation of the alloy into matte. Test work has been successfully conducted on all process stages with the generation of test quantities of battery-grade nickel and cobalt sulfates in April 2024 and June 2024, respectively. We believe a demonstration trial at PAMCO’s Hachinohe facilities in 2024 and 2025 using 2,000 tonnes of nodules collected during the 2022 mining pilot, further de-risked the project. In addition, PAMCO completed a feasibility study in June 2025 which concluded that processing nodules at the Hachinohe facility is technically feasible.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Execution ready: </w:t>
            </w:r>
            <w:r>
              <w:rPr>
                <w:rFonts w:ascii="Times New Roman;Times;serif" w:hAnsi="Times New Roman;Times;serif"/>
                <w:b w:val="false"/>
                <w:i w:val="false"/>
                <w:caps w:val="false"/>
                <w:smallCaps w:val="false"/>
                <w:sz w:val="20"/>
              </w:rPr>
              <w:t>We are the only company in the world taking steps to be in a position to start offshore and onshore nodule production in the short-term. Offshore, we have focused on reducing our time to production by reusing existing offshore assets. In 2020, our partner Allseas acquired a drillship that was repurposed and classified as the world’s first deep-sea mining vessel. This vessel was used in the 2022 pilot mining test and is now being upgraded into a commercial scale system. Onshore, we have selected a nodule processing and refining flowsheet that relies on conventional equipment with an existing global supply chain, thereby eliminating the need to develop new, unproven custom-built equipment required by novel metallurgical processes. This approach enables us to repurpose existing facilities (e.g., RKEFs in Japan and Indonesia; nickel refineries in Norway, South Korea, Japan and Canada) and build potential new domestic facilities.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Exploration Contracts and Exploration License Applications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subsidiaries NORI and TOML hold exclusive exploration rights to certain polymetallic nodule areas in the CCZ granted by the ISA pursuant to the international regulatory regime. Our subsidiary TMC USA has applied for exploration licenses for similar (but not identical) areas in the CCZ to NOAA pursuant to the U.S. regulatory regime.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NORI.</w:t>
      </w:r>
      <w:r>
        <w:rPr>
          <w:rFonts w:ascii="Times New Roman;Times;serif" w:hAnsi="Times New Roman;Times;serif"/>
          <w:sz w:val="20"/>
        </w:rPr>
        <w:t xml:space="preserve"> NORI our wholly-owned subsidiary, holds exploration rights to four blocks (NORI Area A, B, C, and D, the “NORI Contract Area”) covering 74,830 square kilometers in the CCZ that were granted by the ISA in July 2011. NORI is sponsored by Nauru pursuant to a certificate of sponsorship signed by Nauru on April 11, 2011. In September 2017, Nauru and NORI entered into a sponsorship agreement formalizing certain obligations of the parties in relation to NORI’s exploration and potential collection of nodules in the NORI Contract Area, which was revised in May 2025. In January 2026, NORI submitted an exploration contract extension request to the ISA, requesting a five-year extension to its exploration contract, which expires in July 2026. The NORI Area D is the seafloor parcel where we have performed the most resource definition and environmental work to date and is the area in which we declared mineral reserves in August 2025 pursuant to the NORI-D PFS. The remaining three areas of the NORI Contract Area are covered by the TOML and NORI IA also released in August 2025.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TOML.</w:t>
      </w:r>
      <w:r>
        <w:rPr>
          <w:rFonts w:ascii="Times New Roman;Times;serif" w:hAnsi="Times New Roman;Times;serif"/>
          <w:sz w:val="20"/>
        </w:rPr>
        <w:t xml:space="preserve"> TOML our wholly-owned subsidiary which we acquired in March 2020, holds exploration rights to an area covering 74,713 square kilometers in the CCZ that were granted by the ISA in January 2012 (the “TOML Contract Area”). In 2008, Tonga and TOML entered into a sponsorship agreement formalizing certain obligations of the parties in relation to TOML’s exploration and potential collection of nodules in the TOML Contract Area, which was most recently revised in August 2025. TOML’s exploration contract expires on January 10, 2027 and TOML expects to submit an exploration contract extension request to the ISA in 2026, requesting a five-year extension. The TOML Contract Area is covered by the TOML and NORI IA released in August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TMC USA</w:t>
      </w:r>
      <w:r>
        <w:rPr>
          <w:rFonts w:ascii="Times New Roman;Times;serif" w:hAnsi="Times New Roman;Times;serif"/>
          <w:sz w:val="20"/>
        </w:rPr>
        <w:t>. In April 2025, TMC USA, our wholly owned subsidiary, submitted to NOAA under DSHMRA two exploration license applications covering 187,017 square kilometers in the CCZ, referred to as TMC USA-A and TMC USA-B, and one commercial recovery permit application covering 25,160 square kilometers in the CCZ, referred to as TMC USA-A. In January 2026, TMC USA submitted a consolidated exploration license and commercial recovery permit application covering the entire area of TMC USA-A of 65,187 square kilometers under NOAA’s consolidated review process. The consolidated application covers areas previously included in the April 2025 submissions. The areas of the TMC USA-A and TMC USA-B applications include the entirety of the NORI and TOML exploration contract area and some additional open ground within the CCZ which we believe is not subject to any competing title under international or domestic U.S. regime.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applications are currently under review by NOAA. There can be no assurance that NOAA will issue the requested exploration licenses or commercial recovery permit on a timely basis, on commercially viable terms, or at all.</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290945" cy="352996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290945" cy="352996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Strategy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contemplated business spans the entire lifecycle from the resource acquisition and definition stage through the collection and transportation phases offshore into the processing and refining of nodules onshore and finally in product marketing and offtake (and eventually recycling of end-of-life products containing nodule-derived metals). We develop our integrated nodule projects through deep strategic partnerships with leading offshore and onshore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key strategic alliances include: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Allseas: </w:t>
      </w:r>
      <w:r>
        <w:rPr>
          <w:rFonts w:ascii="Times New Roman;Times;serif" w:hAnsi="Times New Roman;Times;serif"/>
          <w:sz w:val="20"/>
        </w:rPr>
        <w:t>Allseas, a leading global offshore contractor, developed and tested a pilot nodule collection system in the NORI Area D, completed in the fourth quarter of 2022. The experience from the development and testing program of the pilot system combined with insights from our EIA program informed the design of upgrades and modifications of the pilot system into the commercial production system. Allseas continues to progress engineering work on these upgrades and modifications, so that we will be in a position to quickly commence commercial operations in a timely manner if we receive a commercial recovery permit from NOAA.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Glencore: </w:t>
      </w:r>
      <w:r>
        <w:rPr>
          <w:rFonts w:ascii="Times New Roman;Times;serif" w:hAnsi="Times New Roman;Times;serif"/>
          <w:sz w:val="20"/>
        </w:rPr>
        <w:t>Glencore International AG (Glencore) holds offtake rights to 50% of the NORI nickel and copper production. Glencore has the right to purchase from DeepGreen Engineering Pte Ltd, a 100% owned subsidiary of TMC (“DGE”) 50% of the annual quantity of copper material and 50% of the annual quantity of nickel material produced by DGE from ore derived from the NORI Contract Area at a processing plant directly owned or controlled by DGE.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Hatch and KPM: </w:t>
      </w:r>
      <w:r>
        <w:rPr>
          <w:rFonts w:ascii="Times New Roman;Times;serif" w:hAnsi="Times New Roman;Times;serif"/>
          <w:sz w:val="20"/>
        </w:rPr>
        <w:t>We have worked with engineering firm Hatch Ltd. (“Hatch”) and consultants Kingston Process Metallurgy Inc. (“KPM”) to develop a near-zero solid waste flowsheet while maximizing product-market fit of resulting production. The primary processing stages of the flowsheet from nodule to nickel-copper-cobalt (“NiCuCo”) alloy and matte intermediate were demonstrated as part of our pilot plant program at FLSmidth and Xpert Process Solutions, a Glencore company (“XPS”), facilities. The matte refining stages were tested at SGS Lakefield and the ability to produce high purity nickel and cobalt sulfates was demonstrated. The near-zero solid waste flowsheet is expected to serve as the basis for our onshore processing facilities.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PAMCO: </w:t>
      </w:r>
      <w:r>
        <w:rPr>
          <w:rFonts w:ascii="Times New Roman;Times;serif" w:hAnsi="Times New Roman;Times;serif"/>
          <w:sz w:val="20"/>
        </w:rPr>
        <w:t>In November 2022, we entered into a non-binding memorandum of understanding (“MoU”) with PAMCO of Japan under which PAMCO conducted a prefeasibility study of processing nodules in PAMCO’s Hachinohe facility, which is located on the coast in northern Japan and is equipped with port and processing infrastructure required to receive and process polymetallic nodules and to ship products to customers. Following the successful completion of the prefeasibility study in November 2023, we entered into a binding MoU with PAMCO under which PAMCO conducted a feasibility study of toll treating 1.3 million tonnes of wet polymetallic nodules per year at its Hachinohe facility. PAMCO completed the feasibility study in June 2025 after successfully processing 2000t of wet nodules to produce Mn silicate product and nickel-copper-cobalt alloy.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feasibility study confirmed operating parameters (e.g. tapping temperatures and dusting rates) and product specifications for PAMCO’s dedicated production line and defined the scope and execution plan for required equipment modifications.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Korea Zinc: </w:t>
      </w:r>
      <w:r>
        <w:rPr>
          <w:rFonts w:ascii="Times New Roman;Times;serif" w:hAnsi="Times New Roman;Times;serif"/>
          <w:sz w:val="20"/>
        </w:rPr>
        <w:t xml:space="preserve">We partnered with Korea Zinc, a world leader in non-ferrous metal smelting, refining and precursor Cathode Active Material technology, to advance development activities in the United States. Korea Zinc and TMC are exploring opportunities to partner on several initiatives that include refining nodule-derived matte in Korea Zinc’s Ulsan All-In-One Nickel Refinery in South Korea, reusing Korea Zinc’s nickel refinery design for future nickel refinery in the United States, adapting Korea Zinc’s direct reduction smelting technology to smelting nodules and nodule-derived manganese silicate and potentially building a pCAM plant in the United States.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Mariana Minerals: </w:t>
      </w:r>
      <w:r>
        <w:rPr>
          <w:rFonts w:ascii="Times New Roman;Times;serif" w:hAnsi="Times New Roman;Times;serif"/>
          <w:sz w:val="20"/>
        </w:rPr>
        <w:t>In April 2025, we entered into a non-binding MoU with Mariana, an American software-first mineral developer and operator to explore the potential to accelerate the timeline of developing future metallurgical projects in the United States and reduce the operating costs of such facilities through deployment of AI-driven process controls. In 2025, Mariana developed a concept plan exploring the scope and project economics of building a nodule processing and refining facility in Brownsville, Texas. In March 2026, we signed a Strategic Partnership and Development Agreement. Pursuant to this agreement, Mariana is joining our owner’s team to develop a feasibility study for a potential nodule processing and refining facility in Brownsville, Texas.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Phased Project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August 4, 2025, we released the NORI-D PFS, which declared the world’s first mineral reserves for a seafloor polymetallic nodule project demonstrating the project’s potential economic viability, and the TOML and NORI IA. The NORI-D PFS covers a portion of the area that is included in NORI’s ISA exploration contract and in TMC USA’s consolidated application for exploration license and commercial recovery permit under DSHMRA.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that based on current regulatory timelines, we could receive a commercial recovery permit for TMC USA-A from NOAA within one year, commence the commissioning of the first commercial nodule collection system in the fourth quarter of 2027 and commence production during the current administration. We anticipate a phased ramp-up strategy, with production offshore commencing, using the </w:t>
      </w:r>
      <w:r>
        <w:rPr>
          <w:rFonts w:ascii="Times New Roman;Times;serif" w:hAnsi="Times New Roman;Times;serif"/>
          <w:i/>
          <w:sz w:val="20"/>
        </w:rPr>
        <w:t>Hidden Gem</w:t>
      </w:r>
      <w:r>
        <w:rPr>
          <w:rFonts w:ascii="Times New Roman;Times;serif" w:hAnsi="Times New Roman;Times;serif"/>
          <w:sz w:val="20"/>
        </w:rPr>
        <w:t xml:space="preserve"> vessel which, subject to further modifications, is expected to be upgraded to a maximum capacity of 3.0 Mtpa of wet nodules, with the addition of another three (3) production vessels each collecting nominally 3.0 Mtpa to achieve approximately 12 Mtpa of wet nodules at steady state (expected 2031 through 2045).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To align offshore and onshore development schedules, our NORI-D PFS assumed nodules would be transported to PAMCO’s existing smelting facilities in Japan (1.3Mtpa years 1 through 5 only) and Indonesia (excess processing above 1.3Mwmtpa) for initial processing into nickel-cobalt- copper alloy/matte and manganese silicate. We then assumed that from year 6, 50% of matte production would be transported in stages from Indonesia to a new refining facility expected to be constructed in Texas, United States, increasing to 100% from year 10. Life of mine was estimated at 19 years.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TMC USA is evaluating alternative execution scenarios that would reduce the reliance on foreign processing by transporting polymetallic nodules directly to a fully integrated processing facility in the United States. Economics assessments of these scenarios are underway and will be used to inform the scope and timing of any subsequent feasibility study we prepare. There can be no assurances that any alternative strategy will be implemented or that the results of these assessments will result in changes to our development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Current Work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the publication by NOAA of new regulations introducing a consolidated application process in January 2026, our U.S. subsidiary, TMC USA, submitted a consolidated application to NOAA for an exploration license and a commercial recovery permit for polymetallic nodules in international waters of the CCZ. The application increased the commercial recovery area from ~25,000 to ~65,000 km2, with an estimated resource of 619 million tonnes (Mt) of wet nodules and a potential exploration upside of an additional 200 Mt. TMC USA was able to apply under NOAA’s new consolidated process because NOAA believes it can demonstrate the scientific, technical and financial capability to pursue commercial recovery activities expeditiously.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reach our objective and initiate commercial production, we are working to: (i) refine our project economics, (ii) complete the development of and commission a commercial offshore nodule collection system, (iii) continue to assess the environmental, social and cultural impacts of offshore nodule collection, and (iv) secure existing foreign and/or develop new domestic U.S. onshore facilities to process collected polymetallic nodules into a manganese silicate product, an intermediate nickel-copper-cobalt matte product and end-products of nickel, cobalt and copper metal.</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Resource definition and project economics: </w:t>
            </w:r>
            <w:r>
              <w:rPr>
                <w:rFonts w:ascii="Times New Roman;Times;serif" w:hAnsi="Times New Roman;Times;serif"/>
                <w:b w:val="false"/>
                <w:i w:val="false"/>
                <w:caps w:val="false"/>
                <w:smallCaps w:val="false"/>
                <w:sz w:val="20"/>
              </w:rPr>
              <w:t>Having completed a total of nine offshore resource definition campaigns, collected samples and completed subsea surveys for resource evaluation, we defined the size and quality of our resource in the NORI and TOML areas and, in August 2025, we released the NORI-D PFS and the TOML and NORI IA. From this work, both NORI and TOML have reported measured, indicated and inferred mineral resources in both the NORI and TOML ISA contract areas and</w:t>
            </w:r>
            <w:r>
              <w:rPr>
                <w:rFonts w:ascii="Times New Roman;Times;serif" w:hAnsi="Times New Roman;Times;serif"/>
                <w:b w:val="false"/>
                <w:i/>
                <w:sz w:val="20"/>
              </w:rPr>
              <w:t xml:space="preserve">, </w:t>
            </w:r>
            <w:r>
              <w:rPr>
                <w:rFonts w:ascii="Times New Roman;Times;serif" w:hAnsi="Times New Roman;Times;serif"/>
                <w:b w:val="false"/>
                <w:i w:val="false"/>
                <w:caps w:val="false"/>
                <w:smallCaps w:val="false"/>
                <w:sz w:val="20"/>
              </w:rPr>
              <w:t>we made the world’s first declaration of probable mineral reserves for seafloor polymetallic nodules within the NORI-D ISA contract area. See Item 2 entitled “</w:t>
            </w:r>
            <w:r>
              <w:rPr>
                <w:rFonts w:ascii="Times New Roman;Times;serif" w:hAnsi="Times New Roman;Times;serif"/>
                <w:b w:val="false"/>
                <w:i/>
                <w:sz w:val="20"/>
              </w:rPr>
              <w:t>Properties</w:t>
            </w:r>
            <w:r>
              <w:rPr>
                <w:caps w:val="false"/>
                <w:smallCaps w:val="false"/>
              </w:rPr>
              <w:t xml:space="preserve">” </w:t>
            </w:r>
            <w:r>
              <w:rPr>
                <w:rFonts w:ascii="Times New Roman;Times;serif" w:hAnsi="Times New Roman;Times;serif"/>
                <w:b w:val="false"/>
                <w:i w:val="false"/>
                <w:caps w:val="false"/>
                <w:smallCaps w:val="false"/>
                <w:sz w:val="20"/>
              </w:rPr>
              <w:t>included in this Annual Report for additional information about these reported measured, indicated and inferred mineral resources and declared probable mineral reserves.</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0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Offshore nodule collection system: </w:t>
            </w:r>
            <w:r>
              <w:rPr>
                <w:rFonts w:ascii="Times New Roman;Times;serif" w:hAnsi="Times New Roman;Times;serif"/>
                <w:b w:val="false"/>
                <w:i w:val="false"/>
                <w:caps w:val="false"/>
                <w:smallCaps w:val="false"/>
                <w:sz w:val="20"/>
              </w:rPr>
              <w:t xml:space="preserve">We are working with our strategic partner and investor, Allseas, to complete the development and commission of a system to collect, lift and transport nodules from the seafloor to shore. The offshore collection system consists of nodule collector vehicles on the seafloor, a riser and lift system, a surface production support vessel and a surface nodule transfer vessel. The nodules are collected from the seafloor by self-propelled, tracked nodule collector vehicles using seawater jets aimed at nodules in parallel with the seafloor. No rock cutting, digging, drill-and-blast or other breakage is required at the point of collection. The collectors are remotely controlled and supplied with electric power via umbilical cables from the production support vessel, the </w:t>
            </w:r>
            <w:r>
              <w:rPr>
                <w:rFonts w:ascii="Times New Roman;Times;serif" w:hAnsi="Times New Roman;Times;serif"/>
                <w:b w:val="false"/>
                <w:i/>
                <w:sz w:val="20"/>
              </w:rPr>
              <w:t>Hidden Gem</w:t>
            </w:r>
            <w:r>
              <w:rPr>
                <w:rFonts w:ascii="Times New Roman;Times;serif" w:hAnsi="Times New Roman;Times;serif"/>
                <w:b w:val="false"/>
                <w:i w:val="false"/>
                <w:caps w:val="false"/>
                <w:smallCaps w:val="false"/>
                <w:sz w:val="20"/>
              </w:rPr>
              <w:t xml:space="preserve">. To test the system and assess its environmental impacts, we entered into a contract with Allseas to undertake a pilot trial of the collection system in the NORI Area D, which was completed in November 2022. The successful completion of the pilot trial informed our exploration license and commercial recovery permit applications with NOAA. The surface production support vessel, the </w:t>
            </w:r>
            <w:r>
              <w:rPr>
                <w:rFonts w:ascii="Times New Roman;Times;serif" w:hAnsi="Times New Roman;Times;serif"/>
                <w:b w:val="false"/>
                <w:i/>
                <w:sz w:val="20"/>
              </w:rPr>
              <w:t>Hidden Gem</w:t>
            </w:r>
            <w:r>
              <w:rPr>
                <w:rFonts w:ascii="Times New Roman;Times;serif" w:hAnsi="Times New Roman;Times;serif"/>
                <w:b w:val="false"/>
                <w:i w:val="false"/>
                <w:caps w:val="false"/>
                <w:smallCaps w:val="false"/>
                <w:sz w:val="20"/>
              </w:rPr>
              <w:t>, was acquired by Allseas in March 2020 and has strategic importance to us, since it supported the pilot trial and is now being upgraded to the first commercial production system. The vessel and collector system successfully completed trials in shallow and deepwater in the first half of 2022 prior to completing the collector test in NORI Area D in the fall of 2022, where approximately 4,500 tonnes of wet nodules were collected and more than 3000 tonnes of wet nodules were lifted 4.3 kilometers to the surface after traversing over 80 kilometers of the seafloor, achieving a production rate of 86.4 tonnes per hour.</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As a result of the successful collector test, we believe that Allseas can complete the upgrade of the pilot nodule collection system, including the </w:t>
      </w:r>
      <w:r>
        <w:rPr>
          <w:rFonts w:ascii="Times New Roman;Times;serif" w:hAnsi="Times New Roman;Times;serif"/>
          <w:i/>
          <w:sz w:val="20"/>
        </w:rPr>
        <w:t>Hidden Gem</w:t>
      </w:r>
      <w:r>
        <w:rPr>
          <w:rFonts w:ascii="Times New Roman;Times;serif" w:hAnsi="Times New Roman;Times;serif"/>
          <w:sz w:val="20"/>
        </w:rPr>
        <w:t>, into the first production system, which we refer to as Production System #1 (“PV1”).</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We continued to work with Allseas throughout 2025 with engineering studies progressing across the six major work packages: collector, vertical transport system, storage &amp; offloading, control &amp; automation, electrical &amp; instrumentation, and flow assurance. Allseas supported our ongoing work to complete a pre-feasibility study and applications for our exploration licenses and commercial recovery permit to NOAA, including assistance in establishing cost estimates, schedules, and pre-feasibility study level engineering deliverables. Discussions continued regarding system design specifics and further cost considerations. </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Further to the non-binding term sheet entered into in March 2022 with Allseas, we continue discussions with Allseas regarding the scope and timing of vessel upgrades and development (engineering and fabrication) of PV1. We anticipate reaching agreements with Allseas in 2026 on definitive contract terms for completing the development of PV1 (including preparation of the Hidden Gem and the first nodule collection system), commissioning and starting commercial production using PV1. We expect that the definitive agreement with Allseas will extend our exclusive use agreement with respect to the </w:t>
      </w:r>
      <w:r>
        <w:rPr>
          <w:rFonts w:ascii="Times New Roman;Times;serif" w:hAnsi="Times New Roman;Times;serif"/>
          <w:i/>
          <w:sz w:val="20"/>
        </w:rPr>
        <w:t>Hidden Gem</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There can be no assurances, however, that we will enter into definitive agreements with Allseas in a particular time period, or at all, or on terms similar to those currently expected, or that if such definitive agreements are entered into that the PV1 nodule collection system will be successfully commissioned or operated.</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4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Environmental Impact Statement for offshore nodule collection</w:t>
            </w:r>
            <w:r>
              <w:rPr>
                <w:rFonts w:ascii="Times New Roman;Times;serif" w:hAnsi="Times New Roman;Times;serif"/>
                <w:b w:val="false"/>
                <w:i w:val="false"/>
                <w:caps w:val="false"/>
                <w:smallCaps w:val="false"/>
                <w:sz w:val="20"/>
              </w:rPr>
              <w:t xml:space="preserve">: An Environmental Impact Statement (“EIS”) is required to be produced as part of the NOAA application approval process. In preparation for the EIS, our Environmental Impact Assessment (EIA) programs consisted of over 100 studies and relied on the work of multiple independent deep-sea research institutions and expert consultants. In 2022, we undertook the collector test monitoring campaigns which included completion of pre-collector test baseline data collection, monitoring of the collector test and completion of post collection surveys to determine the immediate impact to the environment of the collector vehicle. The monitoring was undertaken using the </w:t>
            </w:r>
            <w:r>
              <w:rPr>
                <w:rFonts w:ascii="Times New Roman;Times;serif" w:hAnsi="Times New Roman;Times;serif"/>
                <w:b w:val="false"/>
                <w:i/>
                <w:sz w:val="20"/>
              </w:rPr>
              <w:t>Island Pride</w:t>
            </w:r>
            <w:r>
              <w:rPr>
                <w:rFonts w:ascii="Times New Roman;Times;serif" w:hAnsi="Times New Roman;Times;serif"/>
                <w:b w:val="false"/>
                <w:i w:val="false"/>
                <w:caps w:val="false"/>
                <w:smallCaps w:val="false"/>
                <w:sz w:val="20"/>
              </w:rPr>
              <w:t>, a vessel contracted from Ocean Infinity Group Limited, deploying two remotely operated vehicles (“ROVs”), three autonomous underwater vehicles (“AUVs”) and an array of more than 50 seafloor sensors, supervised by multiple teams of scientists and sediment plume expert consultants, DHI Water and Environment Inc. and HR Wallingford who conducted a noise assessment. These campaigns commenced on July 15, 2022 and were completed on December 23, 2022, representing 146 operational days at sea. The preliminary plume results from the collector test have been shared with a wide range of stakeholders and presentations were conducted at the ISA during the fourth quarter of 2023. The results showed that the benthic plume behaves as a density current with most material staying within 2 meters of the seafloor and settling within 1 kilometer from the source.</w:t>
            </w:r>
          </w:p>
        </w:tc>
      </w:tr>
    </w:tbl>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In October 2023, we conducted an assessment of the benthic impact of the 2022 collector test in NORI Area D approximately 12 months post the collector test activities (“Campaign 8A”), which we believe will strengthen the quality of our EIS and Environmental Management and Monitoring Plan (“EMMP”) by providing additional information on the environmental regeneration in the collection test area. The key activities completed during Campaign 8A were box cores, multicores, benthic and covariance lander works, and megafauna and sedimentation survey around the test field area. The data collected during the campaign has been reviewed and we believe supports the commercial collection of seafloor nodules.</w:t>
      </w:r>
    </w:p>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 xml:space="preserve">In early 2025, a multidisciplinary EIS workshop was held in Brisbane, Australia, bringing together the social performance and environmental teams to review findings, align methodologies, and strengthen integration across impact pathways. </w:t>
      </w:r>
    </w:p>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Key external engagement during the year included presentation of preliminary SIA and CHIA findings at the International Association for Impact Assessment (“IAIA”) Conference in Italy, and presentation of the CHIA findings at the Underwater Mining Conference (“UMC”) in Florida, United States. These engagements provided an opportunity to share methodologies and emerging results with the international impact assessment and deepsea mining industry communities. The results are being incorporated into our broader EIS.</w:t>
      </w:r>
    </w:p>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5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Onshore nodule processing and refining: </w:t>
            </w:r>
            <w:r>
              <w:rPr>
                <w:rFonts w:ascii="Times New Roman;Times;serif" w:hAnsi="Times New Roman;Times;serif"/>
                <w:b w:val="false"/>
                <w:i w:val="false"/>
                <w:caps w:val="false"/>
                <w:smallCaps w:val="false"/>
                <w:sz w:val="20"/>
              </w:rPr>
              <w:t>With the support of engineering firm Hatch and consultants KPM, we have developed a near-zero solid waste flowsheet. The primary processing stages of the flowsheet from nodule to an Fe-NiCuCo alloy and subsequent NiCuCo matte intermediate were demonstrated as part of our pilot plant program at FLSmidth (FLS, calcining) and eXpert Process Solutions, a Glencore company (XPS, smelting, sulfidation and converting), facilities. The matte refining stages were tested at SGS Lakefield and the ability to produce high purity nickel and cobalt sulfates was demonstrated. The near-zero solid waste flowsheet is expected to serve as the basis for our onshore processing facilities. This flowsheet was tested at industrial scale during the PAMCO feasibility study completed in 2025 and PAMCO’s facilities remain under consideration as the venue for the initial processing of nodules. Following President Trump’s Executive Order 14285 encouraging various government agencies to support domestic U.S. processing of offshore minerals, we engaged Mariana to develop a concept study of the scope and economics of potential integrated nodule processing and refining facilities in the U.S. Following encouraging results and to support further development of prefeasibility and feasibility studies required for any government support, in 2025 we entered into exclusive negotiations with the Port of Brownsville, Texas for lease option over land in Brownsville, Texas, we believe could be suitable for domestic nodule processing and refining facilities. NORI-D PFS update is currently underway to reflect a domestic processing scenario.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Summary of Mineral Resources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Below is a summary table of estimated mineral resources in NORI and TOML ISA contract areas as of December 31, 2025. The estimated mineral resources in these areas were determined on June 30, 2025, and also reflect the estimated mineral resources as of December 31, 2025, as none of the mineral resources in these areas were depleted by mining or any other activities. See Item 2 entitled “</w:t>
      </w:r>
      <w:r>
        <w:rPr>
          <w:rFonts w:ascii="Times New Roman;Times;serif" w:hAnsi="Times New Roman;Times;serif"/>
          <w:i/>
          <w:sz w:val="20"/>
        </w:rPr>
        <w:t>Properties</w:t>
      </w:r>
      <w:r>
        <w:rPr>
          <w:rFonts w:ascii="Times New Roman;Times;serif" w:hAnsi="Times New Roman;Times;serif"/>
          <w:sz w:val="20"/>
        </w:rPr>
        <w:t>” below for additional information about our estimated mineral resources. The NORI-D contract area is in the development stage and the other NORI and TOML contract areas are in the exploration stage. These resources are supported by the NORI-D PFS and the TOML and NORI IA.</w:t>
      </w:r>
    </w:p>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b/>
          <w:sz w:val="20"/>
        </w:rPr>
        <w:t>Summary Mineral Resources (exclusive of mineral reserves), In-Situ, at end of the fiscal year ended December 31, 2025 at 4kg/m</w:t>
      </w:r>
      <w:r>
        <w:rPr>
          <w:rFonts w:ascii="Times New Roman;Times;serif" w:hAnsi="Times New Roman;Times;serif"/>
          <w:b/>
          <w:sz w:val="15"/>
        </w:rPr>
        <w:t>2</w:t>
      </w:r>
      <w:r>
        <w:rPr>
          <w:rFonts w:ascii="Times New Roman;Times;serif" w:hAnsi="Times New Roman;Times;serif"/>
          <w:sz w:val="20"/>
        </w:rPr>
        <w:t xml:space="preserve"> </w:t>
      </w:r>
      <w:r>
        <w:rPr>
          <w:rFonts w:ascii="Times New Roman;Times;serif" w:hAnsi="Times New Roman;Times;serif"/>
          <w:b/>
          <w:sz w:val="20"/>
        </w:rPr>
        <w:t>abundance cut-off and based on nickel metal 20,295/t ($21,633/t nickel sulfate); copper metal 11,440/t; cobalt metal 56,117/t ($55,198/t cobalt sulfate); manganese in manganese silicate $5.46/dmtu Mn.</w:t>
      </w:r>
    </w:p>
    <w:p>
      <w:pPr>
        <w:pStyle w:val="TextBody"/>
        <w:bidi w:val="0"/>
        <w:spacing w:before="0" w:after="0"/>
        <w:ind w:left="0" w:right="0" w:hanging="0"/>
        <w:jc w:val="left"/>
        <w:rPr/>
      </w:pPr>
      <w:r>
        <w:rPr/>
        <w:t>​</w:t>
      </w:r>
    </w:p>
    <w:tbl>
      <w:tblPr>
        <w:tblW w:w="9662" w:type="dxa"/>
        <w:jc w:val="left"/>
        <w:tblInd w:w="0" w:type="dxa"/>
        <w:tblLayout w:type="fixed"/>
        <w:tblCellMar>
          <w:top w:w="0" w:type="dxa"/>
          <w:left w:w="0" w:type="dxa"/>
          <w:bottom w:w="0" w:type="dxa"/>
          <w:right w:w="0" w:type="dxa"/>
        </w:tblCellMar>
      </w:tblPr>
      <w:tblGrid>
        <w:gridCol w:w="1726"/>
        <w:gridCol w:w="346"/>
        <w:gridCol w:w="661"/>
        <w:gridCol w:w="346"/>
        <w:gridCol w:w="631"/>
        <w:gridCol w:w="346"/>
        <w:gridCol w:w="661"/>
        <w:gridCol w:w="346"/>
        <w:gridCol w:w="631"/>
        <w:gridCol w:w="346"/>
        <w:gridCol w:w="616"/>
        <w:gridCol w:w="346"/>
        <w:gridCol w:w="631"/>
        <w:gridCol w:w="346"/>
        <w:gridCol w:w="661"/>
        <w:gridCol w:w="346"/>
        <w:gridCol w:w="676"/>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096010" cy="175260"/>
                      <wp:effectExtent l="0" t="0" r="0" b="0"/>
                      <wp:wrapNone/>
                      <wp:docPr id="19" name="Frame1"/>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0"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19735" cy="175260"/>
                      <wp:effectExtent l="0" t="0" r="0" b="0"/>
                      <wp:wrapNone/>
                      <wp:docPr id="21" name="Frame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2"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00685" cy="175260"/>
                      <wp:effectExtent l="0" t="0" r="0" b="0"/>
                      <wp:wrapNone/>
                      <wp:docPr id="23" name="Frame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24"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19735" cy="175260"/>
                      <wp:effectExtent l="0" t="0" r="0" b="0"/>
                      <wp:wrapNone/>
                      <wp:docPr id="25" name="Frame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26"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00685" cy="175260"/>
                      <wp:effectExtent l="0" t="0" r="0" b="0"/>
                      <wp:wrapNone/>
                      <wp:docPr id="27" name="Frame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28"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91160" cy="175260"/>
                      <wp:effectExtent l="0" t="0" r="0" b="0"/>
                      <wp:wrapNone/>
                      <wp:docPr id="29" name="Frame1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0"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00685" cy="175260"/>
                      <wp:effectExtent l="0" t="0" r="0" b="0"/>
                      <wp:wrapNone/>
                      <wp:docPr id="31" name="Frame1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2"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19735" cy="175260"/>
                      <wp:effectExtent l="0" t="0" r="0" b="0"/>
                      <wp:wrapNone/>
                      <wp:docPr id="33" name="Frame1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34"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29260" cy="175260"/>
                      <wp:effectExtent l="0" t="0" r="0" b="0"/>
                      <wp:wrapNone/>
                      <wp:docPr id="35" name="Frame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9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Measured +</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3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Measured mineral</w:t>
            </w:r>
          </w:p>
        </w:tc>
        <w:tc>
          <w:tcPr>
            <w:tcW w:w="346" w:type="dxa"/>
            <w:tcBorders/>
            <w:vAlign w:val="center"/>
          </w:tcPr>
          <w:p>
            <w:pPr>
              <w:pStyle w:val="TableContents"/>
              <w:bidi w:val="0"/>
              <w:spacing w:before="0" w:after="0"/>
              <w:ind w:left="0" w:right="0" w:hanging="0"/>
              <w:jc w:val="left"/>
              <w:rPr/>
            </w:pPr>
            <w:r>
              <w:rPr/>
              <w:t>​</w:t>
            </w:r>
          </w:p>
        </w:tc>
        <w:tc>
          <w:tcPr>
            <w:tcW w:w="163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Indicated mineral</w:t>
            </w:r>
          </w:p>
        </w:tc>
        <w:tc>
          <w:tcPr>
            <w:tcW w:w="346" w:type="dxa"/>
            <w:tcBorders/>
            <w:vAlign w:val="center"/>
          </w:tcPr>
          <w:p>
            <w:pPr>
              <w:pStyle w:val="TableContents"/>
              <w:bidi w:val="0"/>
              <w:spacing w:before="0" w:after="0"/>
              <w:ind w:left="0" w:right="0" w:hanging="0"/>
              <w:jc w:val="left"/>
              <w:rPr/>
            </w:pPr>
            <w:r>
              <w:rPr/>
              <w:t>​</w:t>
            </w:r>
          </w:p>
        </w:tc>
        <w:tc>
          <w:tcPr>
            <w:tcW w:w="159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indicated mineral</w:t>
            </w:r>
          </w:p>
        </w:tc>
        <w:tc>
          <w:tcPr>
            <w:tcW w:w="346" w:type="dxa"/>
            <w:tcBorders/>
            <w:vAlign w:val="center"/>
          </w:tcPr>
          <w:p>
            <w:pPr>
              <w:pStyle w:val="TableContents"/>
              <w:bidi w:val="0"/>
              <w:spacing w:before="0" w:after="0"/>
              <w:ind w:left="0" w:right="0" w:hanging="0"/>
              <w:jc w:val="left"/>
              <w:rPr/>
            </w:pPr>
            <w:r>
              <w:rPr/>
              <w:t>​</w:t>
            </w:r>
          </w:p>
        </w:tc>
        <w:tc>
          <w:tcPr>
            <w:tcW w:w="168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Inferred mineral</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resources</w:t>
            </w:r>
          </w:p>
        </w:tc>
        <w:tc>
          <w:tcPr>
            <w:tcW w:w="346" w:type="dxa"/>
            <w:tcBorders/>
            <w:vAlign w:val="center"/>
          </w:tcPr>
          <w:p>
            <w:pPr>
              <w:pStyle w:val="TableContents"/>
              <w:bidi w:val="0"/>
              <w:spacing w:before="0" w:after="0"/>
              <w:ind w:left="0" w:right="0" w:hanging="0"/>
              <w:jc w:val="left"/>
              <w:rPr/>
            </w:pPr>
            <w:r>
              <w:rPr/>
              <w:t>​</w:t>
            </w:r>
          </w:p>
        </w:tc>
        <w:tc>
          <w:tcPr>
            <w:tcW w:w="16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resources</w:t>
            </w:r>
          </w:p>
        </w:tc>
        <w:tc>
          <w:tcPr>
            <w:tcW w:w="346" w:type="dxa"/>
            <w:tcBorders/>
            <w:vAlign w:val="center"/>
          </w:tcPr>
          <w:p>
            <w:pPr>
              <w:pStyle w:val="TableContents"/>
              <w:bidi w:val="0"/>
              <w:spacing w:before="0" w:after="0"/>
              <w:ind w:left="0" w:right="0" w:hanging="0"/>
              <w:jc w:val="left"/>
              <w:rPr/>
            </w:pPr>
            <w:r>
              <w:rPr/>
              <w:t>​</w:t>
            </w:r>
          </w:p>
        </w:tc>
        <w:tc>
          <w:tcPr>
            <w:tcW w:w="15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resources</w:t>
            </w:r>
          </w:p>
        </w:tc>
        <w:tc>
          <w:tcPr>
            <w:tcW w:w="346" w:type="dxa"/>
            <w:tcBorders/>
            <w:vAlign w:val="center"/>
          </w:tcPr>
          <w:p>
            <w:pPr>
              <w:pStyle w:val="TableContents"/>
              <w:bidi w:val="0"/>
              <w:spacing w:before="0" w:after="0"/>
              <w:ind w:left="0" w:right="0" w:hanging="0"/>
              <w:jc w:val="left"/>
              <w:rPr/>
            </w:pPr>
            <w:r>
              <w:rPr/>
              <w:t>​</w:t>
            </w:r>
          </w:p>
        </w:tc>
        <w:tc>
          <w:tcPr>
            <w:tcW w:w="16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resources</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Million </w:t>
            </w:r>
          </w:p>
        </w:tc>
        <w:tc>
          <w:tcPr>
            <w:tcW w:w="346" w:type="dxa"/>
            <w:tcBorders/>
            <w:vAlign w:val="center"/>
          </w:tcPr>
          <w:p>
            <w:pPr>
              <w:pStyle w:val="TableContents"/>
              <w:bidi w:val="0"/>
              <w:spacing w:before="0" w:after="0"/>
              <w:ind w:left="0" w:right="0" w:hanging="0"/>
              <w:jc w:val="left"/>
              <w:rPr/>
            </w:pPr>
            <w:r>
              <w:rPr/>
              <w:t>  ​ ​ ​</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Million </w:t>
            </w:r>
          </w:p>
        </w:tc>
        <w:tc>
          <w:tcPr>
            <w:tcW w:w="346" w:type="dxa"/>
            <w:tcBorders/>
            <w:vAlign w:val="center"/>
          </w:tcPr>
          <w:p>
            <w:pPr>
              <w:pStyle w:val="TableContents"/>
              <w:bidi w:val="0"/>
              <w:spacing w:before="0" w:after="0"/>
              <w:ind w:left="0" w:right="0" w:hanging="0"/>
              <w:jc w:val="left"/>
              <w:rPr/>
            </w:pPr>
            <w:r>
              <w:rPr/>
              <w:t>  ​ ​ ​</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Million</w:t>
            </w:r>
          </w:p>
        </w:tc>
        <w:tc>
          <w:tcPr>
            <w:tcW w:w="346" w:type="dxa"/>
            <w:tcBorders/>
            <w:vAlign w:val="center"/>
          </w:tcPr>
          <w:p>
            <w:pPr>
              <w:pStyle w:val="TableContents"/>
              <w:bidi w:val="0"/>
              <w:spacing w:before="0" w:after="0"/>
              <w:ind w:left="0" w:right="0" w:hanging="0"/>
              <w:jc w:val="left"/>
              <w:rPr/>
            </w:pPr>
            <w:r>
              <w:rPr/>
              <w:t>  ​ ​ ​</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Million </w:t>
            </w:r>
          </w:p>
        </w:tc>
        <w:tc>
          <w:tcPr>
            <w:tcW w:w="346" w:type="dxa"/>
            <w:tcBorders/>
            <w:vAlign w:val="center"/>
          </w:tcPr>
          <w:p>
            <w:pPr>
              <w:pStyle w:val="TableContents"/>
              <w:bidi w:val="0"/>
              <w:spacing w:before="0" w:after="0"/>
              <w:ind w:left="0" w:right="0" w:hanging="0"/>
              <w:jc w:val="left"/>
              <w:rPr/>
            </w:pPr>
            <w:r>
              <w:rPr/>
              <w:t>  ​ ​ ​</w:t>
            </w:r>
          </w:p>
        </w:tc>
        <w:tc>
          <w:tcPr>
            <w:tcW w:w="676" w:type="dxa"/>
            <w:tcBorders/>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tonnes</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Grades</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tonnes </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Grades</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tonnes</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Grades</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tonnes </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Grades</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(wet)</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(wet)</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(wet)</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(wet)</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Ni</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  ​</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  ​</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A</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B</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C</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D</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TOML (Areas A to F)</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17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A</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B</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C</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D</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TOML (Areas A to F)</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A</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0.22</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B</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0.25</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C</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0.21</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D</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0.13</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TOML (Areas A to F)</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0.15</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0.15</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0.19</w:t>
            </w:r>
          </w:p>
        </w:tc>
      </w:tr>
      <w:tr>
        <w:trPr/>
        <w:tc>
          <w:tcPr>
            <w:tcW w:w="17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Mn</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A</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B</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C</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NORI Area D</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TOML (Areas A to F)</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28.7</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 Tonnes are quoted on a wet basis and grades are quoted on a dry basis, which is common practice for bulk commodities. Moisture content was estimated to be 24% w/w for NORI Areas A, B, C and 28% w/w for TOML and NORI Area D. These estimates are presented on an undiluted basis without adjustment for resource recovery.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TOML and NORI IA is a conceptual study of the potential viability of TOML’s and portions of NORI’s mineral resources. This initial assessment indicates that development of the NORI mineral resource is potentially technically viable; however, due to the preliminary nature of project planning and design, and the untested nature of the specific seafloor production systems at a commercial scale, economic viability has not yet been demonstrated. Mineral resources were also reported in the NORI-D PFS for the NORI-D contract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TOML and NORI IA does not include the conversion of mineral resources to mineral reserves.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You are specifically cautioned not to assume that any part or all of the mineral deposits in these categories will ever be converted into mineral reserves, as defined by the SEC. You are also cautioned that mineral resources do not have demonstrated economic value.</w:t>
      </w:r>
      <w:r>
        <w:rPr>
          <w:rFonts w:ascii="Times New Roman;Times;serif" w:hAnsi="Times New Roman;Times;serif"/>
          <w:sz w:val="20"/>
        </w:rPr>
        <w:t xml:space="preserve"> Inferred mineral resources have a high degree of uncertainty as to their existence and to whether they can be economically or legally commercialized. Under SEC rules set forth in subpart 1300 of Regulation S-K (the “SEC Mining Rules”), estimates of inferred mineral resources may not form the basis of an economic analysis supporting mineral reserves.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mineral resource and approximately 7% of the NORI Areas A, B and C and 10% of the TOML mineral resource are categorized as measured or indicated.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Likewise, you are cautioned not to assume that all or any part of measured or indicated mineral resources will ever be upgraded to mineral reserves.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Summary of Mineral 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Below is a summary table of estimated mineral reserves in the NORI D ISA contract area as of December 31, 2025. The estimated mineral reserves in this area were determined on June 30, 2025, and also reflect the estimated mineral reserves as of December 31, 2025, as none of the mineral reserves in this area were depleted by mining or any other activities. See Item 2 entitled “</w:t>
      </w:r>
      <w:r>
        <w:rPr>
          <w:rFonts w:ascii="Times New Roman;Times;serif" w:hAnsi="Times New Roman;Times;serif"/>
          <w:i/>
          <w:sz w:val="20"/>
        </w:rPr>
        <w:t>Properties</w:t>
      </w:r>
      <w:r>
        <w:rPr>
          <w:rFonts w:ascii="Times New Roman;Times;serif" w:hAnsi="Times New Roman;Times;serif"/>
          <w:sz w:val="20"/>
        </w:rPr>
        <w:t>” below for additional information about our estimated mineral reserves. The NORI-D contract area is in the development stage. These mineral reserves are supported by the NORI-D PFS.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Summary Mineral Reserves at end of the fiscal year ended December 31, 2025 based on nickel metal $20,295/t ($21,633/t nickel sulfate); copper metal $11,440/t; cobalt metal $56,117/t (55,198/t cobalt sulfate); manganese in manganese silicate $5.45/dmtu Mn.</w:t>
      </w:r>
    </w:p>
    <w:tbl>
      <w:tblPr>
        <w:tblW w:w="7048" w:type="dxa"/>
        <w:jc w:val="left"/>
        <w:tblInd w:w="0" w:type="dxa"/>
        <w:tblLayout w:type="fixed"/>
        <w:tblCellMar>
          <w:top w:w="0" w:type="dxa"/>
          <w:left w:w="0" w:type="dxa"/>
          <w:bottom w:w="0" w:type="dxa"/>
          <w:right w:w="0" w:type="dxa"/>
        </w:tblCellMar>
      </w:tblPr>
      <w:tblGrid>
        <w:gridCol w:w="1186"/>
        <w:gridCol w:w="346"/>
        <w:gridCol w:w="616"/>
        <w:gridCol w:w="346"/>
        <w:gridCol w:w="631"/>
        <w:gridCol w:w="346"/>
        <w:gridCol w:w="616"/>
        <w:gridCol w:w="346"/>
        <w:gridCol w:w="631"/>
        <w:gridCol w:w="346"/>
        <w:gridCol w:w="616"/>
        <w:gridCol w:w="346"/>
        <w:gridCol w:w="676"/>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53110" cy="175260"/>
                      <wp:effectExtent l="0" t="0" r="0" b="0"/>
                      <wp:wrapNone/>
                      <wp:docPr id="36" name="Frame1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37"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91160" cy="175260"/>
                      <wp:effectExtent l="0" t="0" r="0" b="0"/>
                      <wp:wrapNone/>
                      <wp:docPr id="38" name="Frame2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39"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00685" cy="175260"/>
                      <wp:effectExtent l="0" t="0" r="0" b="0"/>
                      <wp:wrapNone/>
                      <wp:docPr id="40" name="Frame2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1"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91160" cy="175260"/>
                      <wp:effectExtent l="0" t="0" r="0" b="0"/>
                      <wp:wrapNone/>
                      <wp:docPr id="42" name="Frame2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43"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00685" cy="175260"/>
                      <wp:effectExtent l="0" t="0" r="0" b="0"/>
                      <wp:wrapNone/>
                      <wp:docPr id="44" name="Frame2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45"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91160" cy="175260"/>
                      <wp:effectExtent l="0" t="0" r="0" b="0"/>
                      <wp:wrapNone/>
                      <wp:docPr id="46" name="Frame2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47"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29260" cy="175260"/>
                      <wp:effectExtent l="0" t="0" r="0" b="0"/>
                      <wp:wrapNone/>
                      <wp:docPr id="48" name="Frame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Proven Reserve</w:t>
            </w:r>
          </w:p>
        </w:tc>
        <w:tc>
          <w:tcPr>
            <w:tcW w:w="346" w:type="dxa"/>
            <w:tcBorders/>
            <w:vAlign w:val="center"/>
          </w:tcPr>
          <w:p>
            <w:pPr>
              <w:pStyle w:val="TableContents"/>
              <w:bidi w:val="0"/>
              <w:spacing w:before="0" w:after="1"/>
              <w:ind w:left="0" w:right="0" w:hanging="0"/>
              <w:jc w:val="center"/>
              <w:rPr/>
            </w:pPr>
            <w:r>
              <w:rPr/>
              <w:t>​</w:t>
            </w:r>
          </w:p>
        </w:tc>
        <w:tc>
          <w:tcPr>
            <w:tcW w:w="15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Probable Reserve</w:t>
            </w:r>
          </w:p>
        </w:tc>
        <w:tc>
          <w:tcPr>
            <w:tcW w:w="346" w:type="dxa"/>
            <w:tcBorders/>
            <w:vAlign w:val="center"/>
          </w:tcPr>
          <w:p>
            <w:pPr>
              <w:pStyle w:val="TableContents"/>
              <w:bidi w:val="0"/>
              <w:spacing w:before="0" w:after="1"/>
              <w:ind w:left="0" w:right="0" w:hanging="0"/>
              <w:jc w:val="center"/>
              <w:rPr/>
            </w:pPr>
            <w:r>
              <w:rPr/>
              <w:t>​</w:t>
            </w:r>
          </w:p>
        </w:tc>
        <w:tc>
          <w:tcPr>
            <w:tcW w:w="16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Reserve</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Million</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Million</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Million</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tonnes</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Grades</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tonnes</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Grades</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tonnes</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Grades</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(wet)</w:t>
            </w:r>
          </w:p>
        </w:tc>
        <w:tc>
          <w:tcPr>
            <w:tcW w:w="346" w:type="dxa"/>
            <w:tcBorders/>
            <w:vAlign w:val="center"/>
          </w:tcPr>
          <w:p>
            <w:pPr>
              <w:pStyle w:val="TableContents"/>
              <w:bidi w:val="0"/>
              <w:spacing w:before="0" w:after="1"/>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(wet)</w:t>
            </w:r>
          </w:p>
        </w:tc>
        <w:tc>
          <w:tcPr>
            <w:tcW w:w="346" w:type="dxa"/>
            <w:tcBorders/>
            <w:vAlign w:val="center"/>
          </w:tcPr>
          <w:p>
            <w:pPr>
              <w:pStyle w:val="TableContents"/>
              <w:bidi w:val="0"/>
              <w:spacing w:before="0" w:after="1"/>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(wet)</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NORI Area D</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1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NORI Area D</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NORI Area D</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11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Mn</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NORI Area D</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w:t>
            </w:r>
          </w:p>
        </w:tc>
      </w:tr>
    </w:tbl>
    <w:tbl>
      <w:tblPr>
        <w:tblW w:w="10205" w:type="dxa"/>
        <w:jc w:val="left"/>
        <w:tblInd w:w="0" w:type="dxa"/>
        <w:tblLayout w:type="fixed"/>
        <w:tblCellMar>
          <w:top w:w="0" w:type="dxa"/>
          <w:left w:w="0" w:type="dxa"/>
          <w:bottom w:w="0" w:type="dxa"/>
          <w:right w:w="0" w:type="dxa"/>
        </w:tblCellMar>
      </w:tblPr>
      <w:tblGrid>
        <w:gridCol w:w="634"/>
        <w:gridCol w:w="9571"/>
      </w:tblGrid>
      <w:tr>
        <w:trPr/>
        <w:tc>
          <w:tcPr>
            <w:tcW w:w="6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Notes:</w:t>
            </w:r>
          </w:p>
        </w:tc>
        <w:tc>
          <w:tcPr>
            <w:tcW w:w="95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 Mineral reserve estimated in Initial Mining Area (as defined in the NORI-D PFS) only with 1,000-meter buffers for the lease and seamounts.</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Measured and indicated mineral resources are converted to probable mineral reserves.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3. Grades are quoted on a dry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720" w:right="0" w:hanging="0"/>
        <w:jc w:val="both"/>
        <w:rPr>
          <w:rFonts w:ascii="Times New Roman;Times;serif" w:hAnsi="Times New Roman;Times;serif"/>
          <w:sz w:val="20"/>
        </w:rPr>
      </w:pPr>
      <w:r>
        <w:rPr>
          <w:rFonts w:ascii="Times New Roman;Times;serif" w:hAnsi="Times New Roman;Times;serif"/>
          <w:sz w:val="20"/>
        </w:rPr>
        <w:t>4. Zero abundance cut-off used, with nodules &lt;4 kg/m</w:t>
      </w:r>
      <w:r>
        <w:rPr>
          <w:rFonts w:ascii="Times New Roman;Times;serif" w:hAnsi="Times New Roman;Times;serif"/>
          <w:sz w:val="15"/>
        </w:rPr>
        <w:t>2</w:t>
      </w:r>
      <w:r>
        <w:rPr>
          <w:rFonts w:ascii="Times New Roman;Times;serif" w:hAnsi="Times New Roman;Times;serif"/>
          <w:sz w:val="20"/>
        </w:rPr>
        <w:t xml:space="preserve"> used to define the mineral resource included as dilution to generate viable mining blocks.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5. Moisture content assumed to be 28% (mass of solid/(mass of solid + mass of water).</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6. Nodule recovery by the Collector is estimated as 77% for Type 1 and 62% for Type 2 and 3 nodules.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7. Metallurgical recovery to sulfate is estimated as 94.6% Ni, 77.2% Co and 86.2% Cu, and to matte is 94.8% Ni, 77.5% Co, 86.4% Cu and for</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8. 9% for Mn.</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9. Rounding estimates to two significant figures may result in computational discrepancies.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Initial Mining Area described in the NORI-D PFS which was converted to mineral reserves contains approximately 25% of the NORI Area D mineral resource and conversion of mineral resources to mineral reserves is approximately 57%.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mineral reserves are classified by the qualified persons as Probable mineral reserve, due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operating experience with the nodule collection system proposed for NORI Area D to confirm production rates, nodule recovery assumptions, field efficiencies, and operating and capital cost parameters.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other commercial nodule operations to confirm the reasonableness of mine planning parameters, modifying factors and mine plan outcomes;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commercial recovery permit terms and conditions issued by NOAA governing nodule collection operations with which our operations need to comply.</w:t>
            </w:r>
          </w:p>
        </w:tc>
      </w:tr>
    </w:tbl>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The mineral reserves presented above are derived from the NORI-D PFS. The mineral reserves are reported in accordance with Subpart 1300 of SEC Regulation S-K. The mineral reserves are based on a mine plan and economic analysis that assume the receipt of all required regulatory approvals, including exploration licenses and commercial recovery permits under DSHMRA, as well as any required environmental and onshore processing permits. The mineral reserve estimates incorporate modifying factors including mining, metallurgical, processing, economic, marketing, legal, environmental, infrastructure and governmental considerations. Because commercial-scale polymetallic nodule collection has not yet been undertaken, production rates, nodule recovery assumptions, field efficiencies and operating parameters are based on pilot testing, engineering studies and prefeasibility-level analysis, and actual results may differ materially as commercial operations are developed. In addition, the pre-feasibility study included in the NORI-D PFS indicated that the development of NORI Area D is technically and economically viable. The pre-feasibility study, however, does not represent a feasibility study and does not support a development decision, as additional project planning and design are needed to make this decision. The NORI-D PFS also does not include the conversion of all mineral resources included in NORI Area D to mineral reserves and does not include the conversion of any mineral resources to proven mineral reserves. You are cautioned not to assume that all or any part of measured or indicated mineral resources will ever be upgraded to mineral reserves or that probable mineral reserves will ever be upgraded to proven mineral reserves. Until mineral deposits are actually mined and processed, mineral resources and mineral reserves must be considered as estimates only.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Collection and Processing of Polymetallic Nodules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Collection, Transfer and Shipping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We are planning a phased development in the area covered by our consolidated application for TMC USA-A. Polymetallic nodules would be collected using offshore collection systems, comprising of nodule collector vehicles on the seafloor, a riser and lifting system (RALS) in the water column, and a production support vessel on the surface. To maintain productivity of the production vessel, nodules are expected to be recovered from the hold of the production vessel using materials handling conveyors and discharged to a dynamically positioned transfer vessel with an expected 50,000 tonne capacity. We believe that this activity can be performed while the production vessel is simultaneously conducting collection operations. The transfer vessel is expected in turn to load bulk carriers using a similar materials handling system to that of the production vessel. The bulk carriers will ship the nodules to onshore processing facilities.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Through our strategic partnership with Allseas, a former drillship vessel (the </w:t>
      </w:r>
      <w:r>
        <w:rPr>
          <w:rFonts w:ascii="Times New Roman;Times;serif" w:hAnsi="Times New Roman;Times;serif"/>
          <w:i/>
          <w:sz w:val="20"/>
        </w:rPr>
        <w:t>Hidden Gem</w:t>
      </w:r>
      <w:r>
        <w:rPr>
          <w:rFonts w:ascii="Times New Roman;Times;serif" w:hAnsi="Times New Roman;Times;serif"/>
          <w:sz w:val="20"/>
        </w:rPr>
        <w:t xml:space="preserve">) acquired by Allseas in March 2020 has been converted, modified and has delivered a pre-production collector test in which a collector vehicle, RALS and other systems have been tested. If we obtain a commercial recovery permit, the first phase of commercial production (“Initial Mining Area”) would then be expected to commence after the </w:t>
      </w:r>
      <w:r>
        <w:rPr>
          <w:rFonts w:ascii="Times New Roman;Times;serif" w:hAnsi="Times New Roman;Times;serif"/>
          <w:i/>
          <w:sz w:val="20"/>
        </w:rPr>
        <w:t>Hidden Gem</w:t>
      </w:r>
      <w:r>
        <w:rPr>
          <w:rFonts w:ascii="Times New Roman;Times;serif" w:hAnsi="Times New Roman;Times;serif"/>
          <w:sz w:val="20"/>
        </w:rPr>
        <w:t xml:space="preserve"> has been upgraded to become a production support vessel that can produce up to 3 Mtpa (wet) of nodules.</w:t>
      </w:r>
    </w:p>
    <w:p>
      <w:pPr>
        <w:pStyle w:val="TextBody"/>
        <w:bidi w:val="0"/>
        <w:spacing w:before="0" w:after="0"/>
        <w:ind w:left="0" w:right="0" w:hanging="0"/>
        <w:jc w:val="center"/>
        <w:rPr/>
      </w:pPr>
      <w:r>
        <w:rPr/>
        <w:drawing>
          <wp:inline distT="0" distB="0" distL="0" distR="0">
            <wp:extent cx="4855210" cy="6859270"/>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0"/>
                    <a:stretch>
                      <a:fillRect/>
                    </a:stretch>
                  </pic:blipFill>
                  <pic:spPr bwMode="auto">
                    <a:xfrm>
                      <a:off x="0" y="0"/>
                      <a:ext cx="4855210" cy="685927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Illustration of a polymetallic nodule production system operated at 4 kilometers depth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order to test the collection system, we entered into a contract with Allseas to undertake a pre-production collector test, which was successfully completed in the second half of 2022. We expect that the Initial Mining Area commercial recovery would then commence after the upgrading of the </w:t>
      </w:r>
      <w:r>
        <w:rPr>
          <w:rFonts w:ascii="Times New Roman;Times;serif" w:hAnsi="Times New Roman;Times;serif"/>
          <w:i/>
          <w:sz w:val="20"/>
        </w:rPr>
        <w:t>Hidden Gem</w:t>
      </w:r>
      <w:r>
        <w:rPr>
          <w:rFonts w:ascii="Times New Roman;Times;serif" w:hAnsi="Times New Roman;Times;serif"/>
          <w:sz w:val="20"/>
        </w:rPr>
        <w:t xml:space="preserve"> into a production vessel. If we obtain a commercial recovery permit, we expect to commence the Initial Mining Area collection at a rate of 1.3 Mtpa increasing in staged increments to up to 3.0 Mtpa of wet polymetallic nodules. We believe that a fleet of four production vessels, each with multiple dedicated nodule collector vehicles, could be estimated to produce approximately 12 Mtpa of wet nodules at steady state (expected 2030-2045), which we intend to process, either at a new facility to be constructed by us or by potential processing partners, subject to available capital, or at third-party facilities pursuant to a toll treatment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believe that this approach will de-risk the project for a relatively low initial capital investment while retaining operational options, particularly in relation to logistics, to decrease unit operating cost as production is scaled up. Additionally, this phased development will allow for an adaptive approach to environmental management providing learning at small-scale which would be applied as production increases in scale.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Mineral Processing and Refining and Metallurgical Testing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Pyrometallurgical processing of polymetallic nodules has been extensively studied since the early 1970s.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this end, we have worked extensively with leading metallurgical testing service providers with technical support from engineering consultancy Hatch to develop pyrometallurgical processing and hydrometallurgical refining technologies for the production of critical metals feedstocks from nodules. We have developed a near-zero solid waste flowsheet and have executed a metallurgical testing program consisting of multiple phases. The pyrometallurgical processing phases at bench and pilot scales have been completed at KPM, FLSmidth and XPS facilities. A bench scale hydrometallurgical program was completed in 2024 at SGS facilities in Lakefield, Ontario. Pursuant to an engineering and consulting services agreement, Hatch provided support and technical advice during the development of the pilot test program, including analyzing and interpreting the testing results through reports provided by the testing service providers.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that the processing of the polymetallic nodules from the TMC USA-A area would also be ramped up in phases. This plan includes initially toll treating polymetallic nodules at existing RKEF plants, utilizing existing excess industry capacity. We believe that there is significant interest to deploy underutilized RKEF plants which may now have increased capacity capabilities as a result of the Indonesian government nickel laterite ore export ban restricting supply of the nickel laterite feedstock that they have previously utilized. These RKEF plants were originally built to convert nickel laterite to ferro-nickel alloy or nickel pig iron and could potentially be converted to smelt polymetallic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PAMCO completed the feasibility study in June 2025 after successfully processing 2000t of wet nodules to produce Mn silicate product and nickel-copper-cobalt alloy. The feasibility study confirmed operating parameters (e.g. tapping temperatures and dusting rates) and product specifications for PAMCO’s dedicated production line and defined the scope and execution plan for required equipment modifications.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parallel with exploring foreign processing options, we are also exploring the feasibility of building domestic U.S. integrated facilities for nodule processing and refining in Brownsville, Texas.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Strategic Alliances and Key Commercial Agreements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Allseas Agreements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2019, we entered into a Strategic Alliance Agreement with Allseas, whereby the parties will conduct project development of an integrated offshore nodule collection system for use by our subsidiaries. The Strategic Alliance Agreement also contemplated that the parties would enter into other commercial arrangements following the successful completion of the pilot trials of a pilot mining test system (“PMTS”) in the CCZ.</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Alliance Agreement was subsequently amended and, except as provided pursuant to its terms, Allseas may not, without our prior written consent, terminate the Strategic Alliance Agreement before we receive a commercial recovery permit.</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2022, NORI and Allseas entered into a non-binding term sheet for the development and operation of a commercial nodule collection system. We are working with Allseas in the design and implementation of this system.</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 xml:space="preserve">In addition, in August 2023, we entered into an Exclusive Vessel Use Agreement with Allseas pursuant to which Allseas will give exclusive use of the </w:t>
      </w:r>
      <w:r>
        <w:rPr>
          <w:rFonts w:ascii="Times New Roman;Times;serif" w:hAnsi="Times New Roman;Times;serif"/>
          <w:b w:val="false"/>
          <w:i/>
          <w:sz w:val="20"/>
        </w:rPr>
        <w:t>Hidden Gem</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to us in support of the development of PV1 until the system is completed or December 31, 2026, whichever is earlier.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 xml:space="preserve">We anticipate reaching agreements with Allseas in 2026 on definitive contract terms for both the completion of the development of PV1 (including preparation of the </w:t>
      </w:r>
      <w:r>
        <w:rPr>
          <w:rFonts w:ascii="Times New Roman;Times;serif" w:hAnsi="Times New Roman;Times;serif"/>
          <w:b w:val="false"/>
          <w:i/>
          <w:sz w:val="20"/>
        </w:rPr>
        <w:t>Hidden Gem</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and the first nodule collection system), and for initial commercial nodule production. We expect that the definitive agreement with Allseas will extend our exclusive use agreement with respect to the </w:t>
      </w:r>
      <w:r>
        <w:rPr>
          <w:rFonts w:ascii="Times New Roman;Times;serif" w:hAnsi="Times New Roman;Times;serif"/>
          <w:b w:val="false"/>
          <w:i/>
          <w:sz w:val="20"/>
        </w:rPr>
        <w:t>Hidden Gem</w:t>
      </w:r>
      <w:r>
        <w:rPr>
          <w:rFonts w:ascii="Times New Roman;Times;serif" w:hAnsi="Times New Roman;Times;serif"/>
          <w:b w:val="false"/>
          <w:i w:val="false"/>
          <w:caps w:val="false"/>
          <w:smallCaps w:val="false"/>
          <w:sz w:val="20"/>
        </w:rPr>
        <w: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Offtake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TOML). Concurrent with entering into the Glencore Offtake Agreements, Glencore made an equity investment of $5 million into our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Binding MoU with PAMCO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2022, we entered into a non-binding MoU with PAMCO of Japan under which PAMCO conducted a prefeasibility study of processing nodules in PAMCO’s Hachinohe facility, which is located on the coast in northern Japan and is equipped with port and processing infrastructure required to receive and process polymetallic nodules and to ship finished products to customers. Following the successful completion of the prefeasibility study, in November 2023, we entered into a binding MoU with PAMCO under which PAMCO conducted a feasibility study to toll treat 1.3 million tonnes of wet polymetallic nodules per year at its Hachinohe facility. PAMCO completed the feasibility study in June 2025 after successfully processing 2000t of wet nodules to produce Mn silicate product and nickel-copper-cobalt alloy. The feasibility study confirmed operating parameters (e.g. tapping temperatures and dusting rates) and product specifications for PAMCO’s dedicated production line and defined the scope and execution plan for required equipment modifications. The parties are using the results of the feasibility study to finalise a definitive nodule tolling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can be no assurance that we will enter into a definitive strategic alliance with PAMCO in a particular time period, or at all, or on terms similar to those set forth in the binding MoU, or that if a definitive strategic alliance is entered into by us or that the existing facility will be able to successfully process nodules in a particular time period, or at all.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Korea Zinc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June 16, 2025, we announced a partnership with Korea Zinc, a world leader in non-ferrous metal refining and precursor Cathode Active Material technology, to advance development activities in the United States. We are working with Korea Zinc to explore opportunities to partner on several initiatives that include refining nodule-derived matte in Korea Zinc’s Ulsan All-In-One Nickel Refinery in South Korea, reusing Korea Zinc’s nickel refinery design for future nickel refinery in the United States, adapting Korea Zinc’s direct reduction smelting technology to smelting nodules and nodule-derived manganese silicate and potentially building a pCAM plant in the United States.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announcement was followed with a strategic investment by Korea Zinc of approximately $85.2 million in TMC through the purchase of common shares and warrants in a private placement.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Mariana Minerals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19, 2026, we signed a Strategic Partnership Agreement with Mariana focusing on the potential development of the nodule processing and refining facility in the Port of Brownsville, Texas as part of our owner’s team. Mariana brings an AI, software-first approach to the permitting, construction and operation of critical mineral projects: fast-tracked capital project execution, which enabled Tesla to build its Lithium plant in Texas in less than 20 months and is core to how SpaceX and other cutting edge businesses operate, can be even further accelerated via a software-first approach and offers a faster, more modern pathway to re-industrialization.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Terrestrial metals production is capital intensive and competitive. Production of nickel, cobalt and manganese alloys is largely dominated by Chinese or Chinese-funded competitors. Additionally, Chinese resources firms have historically been able to produce minerals and/or process metals from land-based operations in developing countries across the globe (e.g., cobalt in the DRC, nickel in Indonesia and the Philippines) at relatively low costs due to scale, efficiency and regulatory factors, including less stringent environmental and social regulations and lower labor and benefit costs.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Executive Order 14285 in April 2025, generated significant interest in the US regulatory regime and over ten exploration applications have been submitted to NOAA. Additionally, the United States has received interest to explore for deepsea minerals within its exclusive economic zone. In addition to the two contracts held by our subsidiaries, 17 other entities (ISA Member States and private companies sponsored by ISA Member States) currently hold ISA Exploration Contracts for polymetallic nodules in the CCZ, Western Pacific and Indian Ocean Basin. If and when ISA nodule contractors and current NOAA nodule applicants move into the commercial recovery phase, each of these companies could become a potential competitor with respect to the collection of polymetallic nodules and the production of nickel, manganese, copper and cobalt products. Furthermore, several nation-states are working on developing polymetallic nodule resources inside their Exclusive Economic Zones (“EEZs”), with the Cook Islands granting three exploration contracts for polymetallic nodules in February 2022, India announcing an auction of polymetallic nodule exploration tenements in 2024 and a large polymetallic nodule deposit was discovered in the Japanese EEZ in mid-2024, with further exploration and test mining since then, including a successful test mining trial in 2026 to collect seafloor mud containing REEs. Further, in March 2026, the United States and Japan unveiled a new critical minerals action plan aimed at strengthening critical mineral supply chain resilience, and a core component of the plan is a Memorandum of Cooperation to “accelerate joint research and development and industry cooperation on commercially-viable development of deep-sea critical minerals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Beyond polymetallic nodules, nations like Japan, Papua New Guinea, Brazil, India, Oman and the Kingdom of Saudi Arabia are exploring other types of deep-sea resources containing some of the metals contained in polymetallic nodules. There is increasing competition from new and existing marine mineral companies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Laws and Regulations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 Regulatory Regime – Deep Seabed Hard Mineral Resources Act (DSHMRA)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United States is not a party to the United Nations Convention on the Law of the Sea (UNCLOS) and is not a member of the ISA.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establishes a domestic legal regime for U.S. citizens to explore for and commercially recover hard mineral resources from the seabed in areas beyond U.S. national jurisdiction. DSHMRA affirms that deep-sea mining is a lawful freedom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NOAA’s implementing regulations detail the criteria and conditions for issuance of deep seabed exploration licenses and commercial recovery permits to U.S. citizens, including any individual, corporation, or other entity organized under the laws of a U.S. state or territory.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 (iv) is not expected to result in significant adverse environmental effects; and (v) does not pose undue risk to life or property at sea. These findings reflect NOAA’s mandate of advancing U.S. commercial interests in seabed minerals while minimizing environmental and diplomatic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NOAA has historically adopted a cautious and science-based regulatory posture under DSHMRA, coordinating with other U.S. federal agencies and supporting environmental studies to inform future decisions. In the 1980s and 1990s, the United States entered into reciprocal recognition arrangements with other nations with similar domestic seabed mining laws, helping avoid overlapping claims prior to the establishment of the ISA. Once the ISA became operational in the 1990s, most reciprocating states transitioned to the UNCLOS/ISA system. The United States, however, remains outside that framework. NOAA is not restricted under DSHMRA from issuing licenses or permits over areas that are also subject to ISA contracts.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licenses under DSHMRA grant exclusive rights to conduct technical studies in a defined area and are issued for ten-year terms, subject to extension. Commercial recovery permits authorize full-scale extraction for a period of 20 years with option to extension and are subject to enhanced environmental and operational requirements. To date, NOAA has issued exploration licenses over four areas. Two of these licenses (USA-1 and USA-4) remain active and are currently held by Lockheed Martin. These licenses have been renewed until 2027 in accordance with DSHMRA’s statutory provisions, which require NOAA to grant extensions if the licensee has substantially complied with license terms. NOAA has not issued any commercial recovery permits under DSHMRA as no U.S. citizen had applied for a commercial recovery permit prior to TMC USA.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certification process includes an interagency consultation with other U.S. government departments (including the Department of State, the Department of War, and the Environmental Protection Agency). Following certification, an Environmental Impact Statement, or EIS, is expected to be prepared under NEPA, and a public comment period will be provided. Following the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 or unforeseen environmental harm.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and its implementing regulations do not include a statutory deadline for application review. However, the Executive Order signed by President Trump on April 24, 2025, directs the Commerce Secretary to implement an expedited permitting process under DSHMRA.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requires that all mining vessels and at least one transport vessel are U.S. flagged. TMC USA will ensure all vessels contracted for commercial recovery comply with relevant laws pertaining to vessel standards and crew safety. DSHMRA also requires that recovered minerals be processed in the United States unless a waiver is granted, in which case the permittee is required to provide assurances that processed materials are returned to the United States. We are currently evaluating U.S.-based vessel and processing options to satisfy this requirement as well as working with Japan and South Korea-based supply chain to ensure processed materials can be returned to the United States in the event the permit to process outside the United States is granted for an initial period. If necessary, we expect to seek a waiver based on the statutory criteria and applicable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establishes a domestic U.S. legal framework for the issuance of:</w:t>
      </w:r>
    </w:p>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licenses for the exploration of deep seabed hard mineral resources; and</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recovery permits for the recovery, processing and sale of such resources.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NOAA implemented regulations governing exploration licenses in 1981 and commercial recovery permits in 1989. In 2026, NOAA adopted a consolidated application and review process that allows applicants to submit consolidated exploration license and commercial recovery permit applications for review under a unified procedural framework.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NOAA has not issued a commercial recovery permit for polymetallic nodules.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Exploration License Regulations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regulations governing exploration licenses, NOAA may issue exploration licenses to qualified applicants authorizing exploration activities within a defined license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exploration license application must include, among other items:</w:t>
      </w:r>
    </w:p>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proposed exploration area;</w:t>
            </w:r>
          </w:p>
        </w:tc>
      </w:tr>
    </w:tbl>
    <w:tbl>
      <w:tblPr>
        <w:tblW w:w="2781" w:type="dxa"/>
        <w:jc w:val="left"/>
        <w:tblInd w:w="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detailed exploration plan;</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technologies to be used;</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environmental baseline description and monitoring plan;</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assessment of potential environmental impacts; and</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and technical capability information.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licenses are issued for an initial term of up to ten years and may be subject to renewal. Licensees are required to comply with reporting obligations, environmental monitoring requirements and operational conditions imposed by NOAA.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Commercial Recovery Permit Regulations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regulations governing commercial recovery permits, NOAA may issue commercial recovery permits authorizing the recovery and processing of deep seabed hard mineral resources from a defined permit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commercial recovery permit application must include:</w:t>
      </w:r>
    </w:p>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detailed mining plan describing the proposed commercial recovery system;</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EIS prepared in accordance with the National Environmental Policy Act (“NEPA”);</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environmental monitoring and mitigation plan;</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processing and transportation arrangements;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responsibility documentation; and</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demonstrating technical and operational capability.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Commercial recovery permits may be issued for up to 20 years and may be subject to renewal.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Environmental Review and National Environmental Policy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Both exploration licenses and commercial recovery permits are subject to environmental review under NEPA.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commercial recovery permits, NOAA must prepare an EIS evaluating the reasonably foreseeable environmental impacts of the proposed action, alternatives, and mitigation measures. The EIS process includes public scoping, preparation of a draft EIS, public comment, preparation of a final EIS, and issuance of a final record of decision.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licenses may require either an environmental assessment or an EIS, depending on the scope and potential impacts of the proposed activities. Applicants for exploration licenses and commercial recovery permits must submit environmental analyses describing baseline environmental conditions, potential impacts of proposed activities, and measures to avoid or mitigate significant adverse environmental effects. In addition, NOAA prepares EISs for both exploration license and commercial recovery permit decisions. NOAA may impose permit terms and conditions requiring the use of best available technologies to minimize environmental impacts, environmental monitoring and reporting, and operational measures designed to protect marine ecosystems. Licenses and permits may be denied or modified if activities are expected to cause significant adverse environmental effects that cannot be mitigated.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U.S. Laws and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permitting required under DSHMRA and environmental reviews under NEPA, we will be subject us to a complex regulatory system in the United States which we are in the initial stages of analyzing to determine applicability and how compliance will impact our development plans and potential commercial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United Nations Convention on the Law of the Sea (UNCLOS)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Area is defined as the seabed and subsoil beyond the limits of national jurisdiction (UNCLOS Article 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principal policy documents governing the Area, including the CCZ, include:</w:t>
      </w:r>
    </w:p>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Nations Convention on the Law of the Sea, of December 10, 1982 (“UNCLOS”);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1994 Agreement relating to the Implementation of Part XI of the United Nations Convention on the Law of the Sea of December 10, 1982 (the “1994 Implementation Agreement”).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266690" cy="2762885"/>
            <wp:effectExtent l="0" t="0" r="0" b="0"/>
            <wp:docPr id="5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0" descr=""/>
                    <pic:cNvPicPr>
                      <a:picLocks noChangeAspect="1" noChangeArrowheads="1"/>
                    </pic:cNvPicPr>
                  </pic:nvPicPr>
                  <pic:blipFill>
                    <a:blip r:embed="rId21"/>
                    <a:stretch>
                      <a:fillRect/>
                    </a:stretch>
                  </pic:blipFill>
                  <pic:spPr bwMode="auto">
                    <a:xfrm>
                      <a:off x="0" y="0"/>
                      <a:ext cx="5266690" cy="276288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March 2026, UNCLOS had been signed by 171 States (countries) and the European Union.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International Seabed Authority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In so doing, the ISA has the mandate to regulate all mineral related activities in the Area for the benefit of humankind and ensure the effective protection of the marine environment from harmful effects that may arise from deep-seabed related activities. The ISA is comprised of UNCLOS State Parties, 171 Member States, and the European Union. All parties to UNCLOS are members of the ISA. Two principal organs establish the policies and govern the work of the ISA: the Assembly, where all 172 members are represented (the “Assembly”), and a 36-member council elected by the Assembly (the “Council”). The Council has two advisory subsidiary bodies: the Legal Technical Commission (“LTC”) (41 members), which advises the Council on matters relating to the exploration and collection of non-living marine resources, such as polymetallic nodules, polymetallic sulphides and cobalt-rich ferromanganese crusts, and the Finance Committee (15 members), which deals with budgetary and related matters.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All rules, regulations, and procedures issued by the ISA to regulate prospecting, exploration, and exploitation of marine mineral resources are issued within a general legal framework established by UNCLOS and the 1994 Implementation Agreement. To date, the ISA has issued the following regulations </w:t>
      </w:r>
      <w:r>
        <w:rPr>
          <w:rFonts w:ascii="Times New Roman;Times;serif" w:hAnsi="Times New Roman;Times;serif"/>
          <w:i/>
          <w:sz w:val="20"/>
        </w:rPr>
        <w:t>(https://isa.org.jm/the-mining-code/exploration-regulations/</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Prospecting and Exploration for Polymetallic Nodules in the CCZ (adopted July 13, 2000, as amended in 2013 and 2014; the Regulations).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Prospecting and Exploration for Polymetallic Sulphides (adopted May 7, 2010).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Prospecting and Exploration for Cobalt-Rich Ferromanganese Crusts in the CCZ (adopted July 2012).</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No commercial polymetallic nodule collection operations have started anywhere in the world. Currently, ISA exploration activities are aimed at gathering the necessary information on the location, quality and quantity of the minerals of the seabed as well as collecting the necessary environmental and social baseline information. To date, the ISA has approved 17 contracts in the CCZ for exploration of nodules, one in the Indian Ocean and one in the Western Pacific Ocean covering more than 1.35 million square kilometers of the seabed. This represents 0.3 percent of the world’s oceans seafloor. Twelve of these contracts are sponsored by developing countries (including the sponsors of our subsidiaries NORI — Nauru, and TOML — Tonga).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ISA has been working since 2014 to complete the development of a legal framework to regulate the commercialization of mineral development activities but to date has been unable to complete its work.</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targeting to finalize these regulations by July 2020 but did not complete its work. At its July 2023 28</w:t>
      </w:r>
      <w:r>
        <w:rPr>
          <w:rFonts w:ascii="Times New Roman;Times;serif" w:hAnsi="Times New Roman;Times;serif"/>
          <w:sz w:val="15"/>
        </w:rPr>
        <w:t>th</w:t>
      </w:r>
      <w:r>
        <w:rPr>
          <w:rFonts w:ascii="Times New Roman;Times;serif" w:hAnsi="Times New Roman;Times;serif"/>
          <w:sz w:val="20"/>
        </w:rPr>
        <w:t xml:space="preserve"> Session meeting, the Council adopted a decision with a view to adopt final exploitation regulations during the 30</w:t>
      </w:r>
      <w:r>
        <w:rPr>
          <w:rFonts w:ascii="Times New Roman;Times;serif" w:hAnsi="Times New Roman;Times;serif"/>
          <w:sz w:val="15"/>
        </w:rPr>
        <w:t>th</w:t>
      </w:r>
      <w:r>
        <w:rPr>
          <w:rFonts w:ascii="Times New Roman;Times;serif" w:hAnsi="Times New Roman;Times;serif"/>
          <w:sz w:val="20"/>
        </w:rPr>
        <w:t xml:space="preserve"> ISA session in 2025 but once again failed to finalize and adopt the regulations. There is currently no timeline or target agreed to by the ISA Council for the adoption of the exploitation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1, paragraph 15 of the 1994 Implementation Agreement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25, 2021, Nauru submitted its notice to the ISA requesting that it complete the adoption, by July 9, 2023, of rules, regulations and procedures necessary to facilitate the approval of plans of work for exploitation in the Area. The ISA did not complete the adoption of the rules, regulations and procedures by July 9, 2023, as required.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the absence of the ISA exploitation regulations, standards and guidelines, NORI and TOML have not been able to apply for an exploitation contract from the ISA (“ISA Exploitation Contract”) to commence commercial-scale polymetallic nodule collection in the CCZ under UNCLOS.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It is unclear when the ISA will adopt the exploitation regulations and any necessary rules, regulations and procedures to facilitate the approval of a plan of work for exploitation, there can be no assurances that the adoption of these regulations will not be delayed or paused as a result of the actions of ISA member States. The Draft Exploitation Regulations and some supporting standards and guidelines exist, but there remains uncertainty regarding the final form that these will take as well as the impact that such regulations, standards and guidelines will have on NORI and TOML’s ability to begin commercial operations.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Section 1, paragraph 15(c) of the 1994 Implementation Agreement, if the ISA Council has not completed the adoption of such regulations within the prescribed time and an application for approval of a plan of work for exploitation is pending, the ISA shall nonetheless consider and provisionally approve such a plan of work for exploitation based on: (i) the provisions of the UNCLOS; (ii) any rules, regulations and procedures that the ISA may have adopted provisionally, (iii) the basis of the norms contained in the UNCLOS and (iv) the terms and principles contained in the Agreement relating to the Implementation of Part XI, including the principle of non-discrimination among contractors. There can be no assurance that the ISA will provisionally approve our plan of work once submitted or that such provisional approval would lead to the issuance of an exploitation contract by the ISA.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Article 165(2)(b) of the Convention and Paragraph 11(a) of the 1994 Agreement, an application for a Plan of Work is first reviewed by the LTC and a recommendation concerning the approval of the Plan of Work is submitted by the LTC to the Council. Rule 44 of the LTC’s Rules of Procedure requires decision making by consensus. If all efforts to reach consensus have been exhausted, however, then a decision by voting shall be taken by a majority of members present and voting.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If a positive recommendation is submitted by the LTC to the Council concerning the approval of a Plan of Work, the Council is required to approve the LTC’s recommendation unless a two-thirds majority of its members present and voting, including a majority of members present and voting in each of the chambers of the Council, decides to disapprove the Plan of Work. If the Council does not take a decision on the LTC’s recommendation within 60 days, the recommendation shall be deemed to have been approved by the Council.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Consistent with NORI’s rights under the UNCLOS, and the 1994 Implementation Agreement, NORI reserves its right to submit an application for a plan of work for exploitation, which will be included as part of the application for an exploitation contract, prior to the ISA’s provisional adoption and approval of the exploitation regulations, the possibility of which was recognized in the ISA Council decisions ISBA/28/C/24 and ISBA/28/C/25, and to have that application considered and provisionally approved pursuant to Section 1, Paragraph 15 of the Annex to the 1994 Implementation Agreement.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ISA Environmental Review</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ISA is mandated through UNCLOS to “preserve and protect the marine environment” while developing the resources within the Area. The ISA is responsible for assessing the ESIA prepared by NORI and for granting the relevant permits.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ISA has issued Regulations on Prospecting and Exploration for Polymetallic Nodules (adopted on July 13, 2000, updated on July 25, 2013 and on July 24, 2014). The regulations are complemented by the LTC’s recommendations for the guidance of contractors on assessing the environmental impacts of exploration.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exploitation regulations on deep-seabed collection are not completed but will be complemented by various standards and guidelines, and environmental thresholds. The ISA is currently developing these standards and guidelines, and thresholds which need to be finalized by the LTC and adopted by the Council. The ISA has divided the required standards and guidelines in three phases.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 Standards and guidelines deemed necessary to be in place by the time of adoption of the draft regulations on exploitation.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2: Standards and guidelines deemed necessary to be in place prior to the receipt of an application of a plan of work for exploitation.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3: Standards and guidelines deemed necessary to be in place before commercial mining activities commence in the Area.</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Ten standards and guidelines have been prepared in Phase 1, provided to stakeholders for comment, reviewed and amended by the LTC and provided to Council for consideration and approval. Additional standards and guidelines will be drafted as part of the development of Phase 2 and 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Although the environmental impact review process has not yet been finalized, all contractors have been made aware that the ISA requires the completion of baseline studies and an EIA, culminating in an EIS for proposed commercial operations, prior to collection. An EIS and an EMMP, will be required as part of the application for an ISA Exploitation Contract for operations in the CCZ.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NORI’s offshore exploration campaigns have included sampling to support environmental studies, collection of high-resolution imagery, full column physical and chemical oceanographic data and environmental baseline studies. An integrated collector test involving trialing of collector vehicle and riser system took place in 2022. The environmental impacts of this test were monitored from a separate research vessel. An additional environmental campaign was executed in 2023 to return to the site 12 months after the test.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Sponsoring State Legislation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under the ISA regime, the sponsoring State has a responsibility to put in place legislation to ensure the entity it has sponsored complies with UNCLOS and ISA rules and regulations. Nauru implemented the Nauru International Seabed Minerals Act in 2015, which was amended and renamed to Nauru Seabed Minerals Authority Act in 2024, that NORI is required to comply with. Tonga implemented the Tonga Seabed Minerals Act 2014, which TOML is required to comply with as a contractor sponsored by the Kingdom of Tonga.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Applications and Contracts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TMC USA NOAA Applications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2025, TMC USA, our wholly owned subsidiary, submitted two exploration license applications and one commercial recovery permit application to NOAA under DSHMRA covering defined areas within the CCZ.</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2026, TMC USA submitted a consolidated exploration license and commercial recovery permit application under NOAA’s newly established consolidated review process. The consolidated application covers areas previously included in the April 2025 applications.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applications are currently under review by NOAA. There can be no assurance that NOAA will issue the requested exploration licenses or commercial recovery permit on a timely basis, on commercially viable terms,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“Exploration Contracts and Exploration License Applications” above for additional information about these applications.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NORI ISA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2011, our wholly-owned subsidiary, NORI, was granted a polymetallic nodule exploration contract by the ISA, providing it exclusive rights to explore 74,830 square kilometers in the CCZ pursuant to the NORI Exploration Contract (“NORI Exploration Contract”). The NORI Exploration Contract was approved by the Council on July 19, 2011, and entered into on July 22, 2011, between NORI and the ISA, and terminates on July 22, 2026, subject to a potential extension.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NORI Exploration Contract, which was granted pursuant to the ISA’s Regulations on Prospecting and Exploration for Polymetallic Nodules in the CCZ (the “Regulations”), formalized a 74,830 square kilometers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exploration, NORI is required to, among other things:</w:t>
      </w:r>
    </w:p>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the agreed plan of work;</w:t>
            </w:r>
          </w:p>
        </w:tc>
      </w:tr>
    </w:tbl>
    <w:tbl>
      <w:tblPr>
        <w:tblW w:w="3366" w:type="dxa"/>
        <w:jc w:val="left"/>
        <w:tblInd w:w="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an annual report to the ISA;</w:t>
            </w:r>
          </w:p>
        </w:tc>
      </w:tr>
    </w:tbl>
    <w:tbl>
      <w:tblPr>
        <w:tblW w:w="5136" w:type="dxa"/>
        <w:jc w:val="left"/>
        <w:tblInd w:w="0" w:type="dxa"/>
        <w:tblLayout w:type="fixed"/>
        <w:tblCellMar>
          <w:top w:w="28" w:type="dxa"/>
          <w:left w:w="28" w:type="dxa"/>
          <w:bottom w:w="28" w:type="dxa"/>
          <w:right w:w="28" w:type="dxa"/>
        </w:tblCellMar>
      </w:tblPr>
      <w:tblGrid>
        <w:gridCol w:w="124"/>
        <w:gridCol w:w="256"/>
        <w:gridCol w:w="4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 certain performance and expenditure commitments;</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an annual overhead charge to cover the costs incurred by the ISA in administering and supervising the contract;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training programs for personnel of the ISA and developing countries in accordance with an approved training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measures to prevent, reduce, and control pollution and other hazards to the marine environment arising from its activities in the CCZ;</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appropriate insurance policies;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environmental baselines against which to assess the likely effects of its program of activities on the marine environment; and</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implement a program to monitor and report on such effects.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To date, no exploitation contracts for extracting minerals from the international seafloor have been granted. The ISA is currently working on the development of a legal framework to regulate the exploitation of polymetallic nodules in the Area, as described above.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2021, NORI submitted a review of the implementation of the plan of work for the period from 2017 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is required to submit an application for extension no later than six months before the expiration of the contract. NORI submitted an application for a five-year extension on January 19, 2026. The extension application is currently being reviewed by the ISA’s Legal and Technical Commission.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ISA Council may suspend or terminate the NORI Exploration Contract, without prejudice to any other rights that the ISA may have, if any of the following events should occur: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spite of written warnings by the ISA, NORI has conducted its activities in such a way as to result in serious persistent and willful violations of the fundamental terms of the NORI Exploration Contract, Part XI of UNCLOS, the 1994 Implementation Agreement and the rules, regulations and procedures of the ISA: to this point, NORI is compliant and has never received a written warning from the ISA;</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NORI has failed to comply with a final binding decision of the dispute settlement body applicable to it;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NORI Sponsorship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 In 2015, the Nauruan government established the Nauru Seabed Minerals Authority to regulate activities carried out by companies sponsored by Nauru.</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On May 29, 2025, Nauru and NORI signed a revised Sponsorship Agreement, updating the terms of the Sponsorship Agreement signed between the parties in 2017.</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revised Sponsorship Agreement will remain in force unless terminated by mutual agreement of the parties or earlier terminated in accordance with its terms, including in the event of a material breach by either party or upon the assignment of NORIs rights and the transfer of sponsorship to another sponsoring State. Under the agreement, NORI will pay the Republic of Nauru a seabed mineral recovery payment of $2 per tonne of polymetallic nodules recovered under an ISA contract, subject to annual inflation adjustment. In addition, NORI will pay an annual administration fee, initially capped at $500,000, to support Nauru’s administration of its sponsorship and regulatory oversight. The agreement also provides for potential continuity payments to Nauru, if a subsidiary other than NORI develops nodules in the NORI Contract Area under the U.S. regulatory regime, with the specific payment amounts and schedule to be agreed by the parties in such circumstances. During any period in which such continuity payments are made, NORI has agreed to maintain an office in Nauru and make annual investments in local presence, community initiatives and training and capacity-building programs for Nauruan nationals. In connection with the revised Sponsorship Agreement, Nauru was granted warrants to purchase 9,146,268 of our common shares at an exercise price of $4.72. In connection with the revised Sponsorship Agreement, we also executed a Deed of Guarantee and Indemnity in favor of Nauru, under which we guarantee certain financial obligations of NORI under Nauruan law and the Sponsorship Agreement and provides limited indemnification.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TOML ISA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2020, we acquired TOML from Deep Sea Mining Finance Limited, providing us with exclusive rights to explore a 74,713 square kilometers area of the CCZ seabed. TOML holds an exploration contract granted by the ISA and sponsored by the Kingdom of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 TOML expects to submit an exploration contract extension request to the ISA in 2026 requesting a 5-year extension of the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TOML Exploration Contract was granted pursuant to the ISA’s Regulations, as well as Article 153 of UNCLOS, and formalized a 74,713 square kilometers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ISA requirements contractors are required to submit five-year work programs. The first TOML five-year work program was completed in 2016 and reviewed and accepted by the ISA in late 2016. In 2021, TOML submitted a review of the implementation of the plan of work for the period from 2017 to 2021 to the ISA. The review included a proposed plan of work for the next five-year period from 2022 to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23, 2022, the ISA accepted TOML’s proposed program of activities for the 2022-2026 five-year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ISA Council may suspend or terminate the TOML Exploration Contract, without prejudice to any other rights that the ISA may have, if any of the following events occur: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spite of written warnings by the ISA, TOML has conducted its activities in such a way that results in serious persistent and willful violations of the fundamental terms of this contract, Part XI of UNCLOS, the 1994 Agreement and the rules, regulations and procedures of the ISA: to this point, TOML is compliant and has never received a written warning from the ISA;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TOML has failed to comply with a final binding decision of the dispute settlement body applicable to 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TOML becomes insolvent or commits an act of bankruptcy or enters into any agreement for composition with its creditors or goes into liquidation or receivership, whether compulsory or voluntary;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petitions or applies to any tribunal for the appointment of a receiver or a trustee for itself or commences any proceedings relating to bankruptcy, insolvency or readjustment of debt law, whether now or hereafter in effect, other than for the purpose of reconstruction.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TOML Sponsorship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and again on August 4, 2025.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revised Sponsorship Agreement between the Government of the Kingdom of Tonga, and TOML will remain in force unless terminated by mutual agreement of the parties or earlier terminated in accordance with its terms, including in the event of a material breach by either party. Under the agreement, the Kingdom of Tonga will continue to sponsor TOML’s seabed mineral activities in the ISA contract area. Upon commencement of commercial recovery of polymetallic nodules under an ISA contract, TOML will pay the Tonga Seabed Minerals Authority a commercial recovery payment of $2 per tonne of polymetallic nodules recovered from the contract area, subject to annual inflation adjustment. In addition, TOML will pay an annual administration fee of $90,000, which may increase by up to 5% annually, to support the administration of Tonga’s sponsorship and regulatory oversight. The agreement also provides for potential continuity benefit payments to Tonga if a subsidiary other than TOML develops nodules in the TOML Contract Area under the U.S. regulatory regime. During any period in which such continuity benefits are provided, TOML has agreed to maintain an office in Tonga and make annual investments in local presence, community initiatives and training and capacity-building programs for Tongan nationals. In connection with the revised Sponsorship Agreement, Tonga was granted warrants to purchase 1,000,000 of our common shares at an exercise price of $5.87. In connection with the revised Sponsorship Agreement, we also executed a Deed of Guarantee and Indemnity in favor of Tonga, under which we guarantee certain financial obligations of TOML under Tongan law and the Sponsorship Agreement and provides limited indemnification.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Royalties and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Royalties and taxes payable on any future production from the CCZ under an ISA contract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NORI Sponsorship Agreement between the Republic of Nauru and NORI and under the TOML Sponsorship Agreement between the Kingdom of Tonga and TOML, upon commencement of commercial recovery of polymetallic nodules under ISA contracts, NORI and TOML have agreed to pay Nauru and Tonga a seabed mineral recovery payment of $2 per tonne of polymetallic nodules recovered, annually adjusted on a compounding basis based on the official inflation rate in the United States. In addition, NORI and TOML will pay an annual administration fee to Nauru and Tonga to support the administration of the sponsorship agreement and regulatory oversight. The agreements also provide for continuity payments to Nauru and Tonga. NORI and TOML have also committed to maintaining an in-country presence and supporting local social, community, training and capacity-building initiatives, and to paying corporate income taxes in Nauru and Tonga, respectively, in accordance with applicable laws. In connection with the revised NORI and TOML Sponsorship Agreements, we issued to Nauru and Tonga warrants to purchase common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DSHMRA and its implementing regulations payment of administrative application fees for exploration licenses and commercial recovery permits are required, but neither the statute nor the current regulations impose production royalties, resource extraction taxes, or revenue-based payments on recovered minerals. DSHMRA does establish a statutory framework for potential future revenue sharing in connection with an international seabed mining regime if the United States becomes party to an applicable international seabed mining regime, but no such payment obligations are presently in effect.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Exploration Activities and Project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NORI’s assessment is that it is in compliance with existing exploration contracts. In addition to working on key engineering aspects of the project such as designing the final nodule collector and the dewatering facility, NORI is also continuing the following tasks:</w:t>
      </w:r>
    </w:p>
    <w:tbl>
      <w:tblPr>
        <w:tblW w:w="3366" w:type="dxa"/>
        <w:jc w:val="left"/>
        <w:tblInd w:w="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delineating nodule mineralization;</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characterizing the nature of any materials returned to the environment;</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oceanographic and physical information to inform models (e.g., sediment plume models); and</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other plans, including the EMMP and the various subordinate plans.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conclusively state that any pending applications, existing or future intellectual property will be definitively useful in protecting or promoting our business and growth plans. Please see the section entitled “</w:t>
      </w:r>
      <w:r>
        <w:rPr>
          <w:rFonts w:ascii="Times New Roman;Times;serif" w:hAnsi="Times New Roman;Times;serif"/>
          <w:i/>
          <w:sz w:val="20"/>
        </w:rPr>
        <w:t>Risk Factors</w:t>
      </w:r>
      <w:r>
        <w:rPr>
          <w:rFonts w:ascii="Times New Roman;Times;serif" w:hAnsi="Times New Roman;Times;serif"/>
          <w:sz w:val="20"/>
        </w:rPr>
        <w:t>” for additional information on the risks associated with our intellectual property strategy and portfolio.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we employed forty-eight (48) employees and contractors. None of our staff are covered by collective bargaining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Attracting Talent</w:t>
      </w:r>
      <w:r>
        <w:rPr>
          <w:rFonts w:ascii="Times New Roman;Times;serif" w:hAnsi="Times New Roman;Times;serif"/>
          <w:sz w:val="20"/>
        </w:rPr>
        <w:t>. Our team is comprised of highly skilled individuals from a variety of fields. Geographically, our staff are located in the U.S., Nauru, Tonga, Canada, Australia, United Kingdom and United Arab Emirates. We are committed to attracting, developing and retaining world-class talent from diverse backgrounds. Our goal is to develop cultural competency by seeking knowledge, increasing awareness, modeling respect and promoting inclusion.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People Engagement</w:t>
      </w:r>
      <w:r>
        <w:rPr>
          <w:rFonts w:ascii="Times New Roman;Times;serif" w:hAnsi="Times New Roman;Times;serif"/>
          <w:sz w:val="20"/>
        </w:rPr>
        <w:t xml:space="preserve">. As a company working to pioneer a new industry, our success depends on attracting and retaining strong, independent, entrepreneurial, and multi-talented team members capable of dealing with high levels of uncertainty and adversity. Our team is distributed across several continents and several time zones, with remote working being the norm for most of our staff and multi-week offshore campaigns being the norm for our offshore team.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Times New Roman;Times;serif" w:hAnsi="Times New Roman;Times;serif"/>
          <w:i/>
          <w:sz w:val="20"/>
        </w:rPr>
        <w:t>ad hoc</w:t>
      </w:r>
      <w:r>
        <w:rPr>
          <w:rFonts w:ascii="Times New Roman;Times;serif" w:hAnsi="Times New Roman;Times;serif"/>
          <w:sz w:val="20"/>
        </w:rPr>
        <w:t xml:space="preserve"> video communication and creating opportunities for in-person gatherings. We offer our team members flexible work schedules and autonomy in managing their time while encouraging them to set boundaries between work on our shared mission and their home lives.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Compensation and Benefits.</w:t>
      </w:r>
      <w:r>
        <w:rPr>
          <w:rFonts w:ascii="Times New Roman;Times;serif" w:hAnsi="Times New Roman;Times;serif"/>
          <w:sz w:val="20"/>
        </w:rPr>
        <w:t xml:space="preserve"> We compensate our staff competitively. In addition to 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 Long-term equity awards typically vest over three years, aligning the interests of staff and shareholders while encouraging long-term business continuity particularly amidst a rush of new companies into the deep-sea mining industry.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Environment, Health &amp; Safety (EHS).</w:t>
      </w:r>
      <w:r>
        <w:rPr>
          <w:rFonts w:ascii="Times New Roman;Times;serif" w:hAnsi="Times New Roman;Times;serif"/>
          <w:sz w:val="20"/>
        </w:rPr>
        <w:t xml:space="preserve"> Our EHS vision is to fully integrate environmental, health and safety into our operations, and to create a workplace free of incidents. We also relied on the EHS programs of our partners Allseas and an offshore support service provider to conduct our operations in a safe manner and in compliance with applicable safety laws, rules and regulations. These all involve EHS systems incorporating thorough planning, risk assessment and disciplined implementation of controls as well as culturally-based safety observations systems like safe act observations and obligation of “stop work if it is unsafe to proceed”.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internet address is </w:t>
      </w:r>
      <w:r>
        <w:rPr>
          <w:rFonts w:ascii="Times New Roman;Times;serif" w:hAnsi="Times New Roman;Times;serif"/>
          <w:i/>
          <w:sz w:val="20"/>
        </w:rPr>
        <w:t>https://metals.co</w:t>
      </w:r>
      <w:r>
        <w:rPr>
          <w:rFonts w:ascii="Times New Roman;Times;serif" w:hAnsi="Times New Roman;Times;serif"/>
          <w:sz w:val="20"/>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Times;serif" w:hAnsi="Times New Roman;Times;serif"/>
          <w:i/>
          <w:sz w:val="20"/>
        </w:rPr>
        <w:t>http://www.sec.gov</w:t>
      </w:r>
      <w:r>
        <w:rPr>
          <w:rFonts w:ascii="Times New Roman;Times;serif" w:hAnsi="Times New Roman;Times;serif"/>
          <w:sz w:val="20"/>
        </w:rPr>
        <w:t>) that contains reports, proxy and information statements, and other information regarding issuers that file electronically with the SEC. We include our website address in this Annual Report only as an inactive textual reference. Information contained in our website does not constitute a part of this Annual Report or our other filings with the SEC.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corporation existing under the laws of British Columbia, Canada. Our registered and records office is located at 1111 West Hastings Street, 15th Floor, Vancouver, British Columbia V6E 2J3, Canada, and our telephone number is (888) 458-3420. We do not have a physical office in Vancouver, British Columbia, our directors and executive officers work remotely in various countries around the world, and the Vancouver, British Columbia address disclosed is our registered and records office required under the Business Corporations Act (British Columbia).</w:t>
      </w:r>
    </w:p>
    <w:p>
      <w:pPr>
        <w:pStyle w:val="TextBody"/>
        <w:bidi w:val="0"/>
        <w:spacing w:before="0" w:after="240"/>
        <w:ind w:left="0" w:right="0" w:hanging="0"/>
        <w:jc w:val="left"/>
        <w:rPr>
          <w:rFonts w:ascii="Times New Roman;Times;serif" w:hAnsi="Times New Roman;Times;serif"/>
          <w:b/>
          <w:sz w:val="20"/>
        </w:rPr>
      </w:pPr>
      <w:bookmarkStart w:id="41" w:name="Item1ARISKFACTORS_554066"/>
      <w:bookmarkStart w:id="42" w:name="_b494d940_8283_4d4c_bf36_fd36dfae180f"/>
      <w:bookmarkEnd w:id="41"/>
      <w:bookmarkEnd w:id="42"/>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is subject to numerous risks and uncertainties that you should be aware of in evaluating our business. If any such risks and uncertainties actually occur, our business, prospects, financial condition and results of operations could be materially and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Summary of Material Risks Associated with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risks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regulatory uncertainties which, if not resolved in our favor, would have a material adverse impact on our business.</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resource development activities are subject to changes in government regulation and political instability.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any of the laws, rules, regulations or policies to which we are subject could have a significant impact on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development, collecting, shipping,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grade and quality of the polymetallic nodule deposits that we intend to develop are estimates, and there are no guarantees that such deposits will be suitable for collecting or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seafloor polymetallic nodule deposit has ever been commercially collected, and our offshore collection technology and development plans and processes may not be sufficient to accomplish our objectives.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estimates from the contract areas of NORI and TOML are only estimates.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risks, and we may never develop minerals in sufficient grade or quantities to justify commercial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in our estimates of polymetallic nodule deposits could result in lower-than-expected revenues and higher costs.</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industry, and there are no assurances that our efforts will be successful.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market prices of nickel, manganese, copper, cobalt, and other commodities will have a material impact on our ability to achieve commercial success.</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adversely affected by fluctuations in demand for nickel, manganese, copper, cobalt, and other commodities.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perceptions related to the offshore collection of polymetallic nodules could have a material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partners and our shareholders may be adversely impacted by pressure and lobbying from non-governmental organizations.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collection and onshore processing and refining operations pose inherent risks and costs that may negatively impact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contingent on our ability to successfully identify, collect, ship and process polymetallic nodules profitably, and in doing so, we will need to rely on certain existing and future strategic relationships, some of which we may be unable to maintain and/or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offshore equipment that we will need to accomplish our objectives has not been manufactured and/or tested.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substantially dependent on our strategic relationship with Allseas. If we and Allseas are unable to successfully maintain and expand this relationship, our business may be materially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development and polymetallic nodule collecting activities may be affected by natural hazards, which could have a material adverse effect on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there can be no assurance that we will be able to commercially develop our resource areas or achieve profitability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key personnel for the success of our business. The loss of key personnel or the hiring of ineffective personnel could negatively impact our operations and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upon information technology systems, which are subject to cyber threats, disruption, damage and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comply with the continued listing standards of Nasdaq.</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implement and maintain effective internal controls over financial reporting, investors may lose confidence in the accuracy and completeness of our financial reports and we may face litigation.</w:t>
            </w:r>
          </w:p>
        </w:tc>
      </w:tr>
    </w:tbl>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risks vis-à-vis our multi-national operations, which could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classified as a PFIC in any taxable year, which could result in adverse U.S. federal income tax consequences to U.S. holders.</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I.    Regulatory and Environmental Risks.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numerous regulatory uncertainties which, if not resolved in our favor, would have a material adverse impact on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Both the ISA regulatory regime under UNCLOS and the U.S. regulatory regime under DSHMRA have not yet been used for commercial production of seafloor polymetallic nodules and, to date, no commercial collection (also referred to as “mining,” “exploitation” or “harvesting”) of nodules has occurred on the seafloor in the area of the high seas beyond the limits of national jurisdiction (the “Area”), which includes the CCZ.</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DSHMRA Regime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NOAA has not issued a commercial recovery permit, and the legal framework, while established, has not yet been applied to the full lifecycle of a seabed mining project. Despite our applications now under NOAA review, there can be no assurance that such review will lead to NOAA granting TMC USA any exploration licenses or a commercial recovery permit on a timely basis or at all, or on commercially viable terms and conditions, which would materially and negatively impact our business, financial condition, liquidity, results of operations and prospects. In addition, there is no assurance that we will be able to comply with, or obtain a waiver of, the requirement under DSHMRA that minerals be processed in the United States.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permitting under DSHMRA subjects TMC USA to a complex regulatory system in the United States which we are in the initial stages of analyzing to determine applicability and how compliance will impact our development plans and potential commercial operations. We will need to be in full compliance with U.S. environmental laws, and NOAA may deny a commercial recovery permit if it determines that significant adverse environmental effects cannot be adequately mitigated. The review and approval process will also be subject to a full EIS process under NEPA, as well as public comments and potential legal challenge in U.S. courts by third parties who can show that they are adversely affected or aggrieved by NOAA’s actions. Although the Executive Order 14825 signed by President Trump on April 24, 2025 directs the Commerce Secretary to implement an expedited permitting process under DSHMRA, the timing of license or permit issuance remains uncertain while there are statutory guidelines as to timing, there are no mandatory deadlines under DSHMRA and actual review timelines will depend on the scope and outcome of NOAA’s assessment.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Success under the U.S. regulatory pathway will also require continued policy support from the U.S. executive branch and agencies such as NOAA and the Department of Commerce. Shifts in U.S. political priorities, legal interpretations, or agency leadership could adversely affect our ability to obtain and maintain required approvals or to rely on DSHMRA as a viable permitting pathway.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NOAA has determined that our applications for exploration licenses are in full compliance and our consolidated application is in substantial compliance with the applicable requirements under DSHMRA and its implementing regulations and provide us with priority rights in the application areas under DSHMRA, if such priority rights were to be terminated or successfully challenged by a third party, our business prospects and financial condition would be materially adversely affected.</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UNCLOS Regime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4, 2023, the United Nations finalized the text of the UN High Seas Treaty. The treaty does not replace or amend UNCLOS, or the authority of the ISA, and must be interpreted consistently with the provisions of the Convention, including the rights granted thereunder.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Despite the release by the ISA of the Draft Regulations on Exploitation of Mineral Resources (the “Draft Regulations”), finalization of such regulations remains subject to negotiation, approval and adoption by the ISA. Once adopted, these regulations will add to the legal and technical framework for exploitation of the polymetallic nodules in the NORI and TOML contract areas.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1, paragraph 15 of the Annex to the 1994 Agreement Relating to the Implementation of Part XI of UNCLOS (the “1994 Agreement”) allows a member state whose national intends to apply for approval of a plan of work for exploitation to notify the ISA Council of such intention. This notice obliges the ISA Council to complete the adoption of exploitation regulations within two years of the request made by the member state.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The road map included three scheduled ISA Council meetings through July 2024 to elaborate on the Mining Code. The Mining Code was not completed at the July 2024 ISA Council meetings and during these meetings, the ISA agreed to continue the negotiations of the Mining Code with a continued view to its adoption during the 30th Session of the ISA in 2025 but once again failed to finalize and adopt the regulations. There is currently no timeline or target agreed to by the ISA Council for the adoption of the regulations. Although we believe the ISA will adopt the Mining Code, there can be no assurances that the Mining Code will be adopted in 2026, or at all, as a result of actions of ISA member States or otherwise. For example, at least 32 of the 171 ISA member States have expressed reservations about the timing of commercialization of seafloor mineral resources and have called for a ban, moratorium, or precautionary pause on the commercialization of these resources. In addition, although the Draft Regulations and several supporting standards and guidelines exist, there remains uncertainty regarding the final form that these will take, as well as the impact that such regulations, standards and guidelines will have on our ability to meet our objectives.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ISA Council did not complete the adoption and elaboration of the Mining Code by the prescribed deadline of July 9, 2023, pursuant to Section 1, Paragraph 15(c) of the Annex to the 1994 Agreement, if an application for a plan of work for exploitation is now submitted to the ISA, the ISA Council is nonetheless required to consider and provisionally approve such a plan of work based on: (i) the provisions of UNCLOS; (ii) any rules, regulations and procedures that the ISA Council may have adopted provisionally, (iii) the basis of the norms contained in UNCLOS and (iv) the terms and principles contained in the 1994 Agreement and the principle of non-discrimination among contractors.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UNCLOS, the collection of polymetallic nodules in NORI and TOML’s contract areas will require approval of an ISA application for a plan of work for exploitation (which will authorize commercial collection activities). As part of the application for an ISA plan of work for exploitation, all contractors are required to complete baseline studies and an Environment and Social Impact Assessment (ESIA), culminating in an EIS, prior to collecting nodules at a commercial scale. The EIS would be accompanied by an Environmental Monitoring and Management Plan (EMMP) which is expected to specify the objectives and purpose of all monitoring requirements, the components to be monitored, frequency of monitoring, methods of monitoring, analysis required in each monitoring component, monitoring data management and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move NORI and TOML’s exploration projects into commercial production under the UNCLOS regime, our wholly owned subsidiaries, NORI and TOML will each need to receive an exploitation contract with the ISA, in addition to obtaining related permits that may be required by their commercial partners. There can be no assurance that the ISA will approve the application for a plan of work for exploitation and issue an exploitation contract to our subsidiaries in a timely manner or at all. Even if the ISA timely evaluates such application(s), our subsidiaries may be required to submit a supplementary EIS or perform additional studies or campaigns before obtaining approval. As such, there is a risk that an exploitation contract may not be granted by the ISA, or may not be granted on a timely basis, thereby delaying NORI and TOML’s potential timeline for commercial exploitation, or may be granted on uneconomic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Nauru and Tonga, respectively. Each subsidiary has been registered and incorporated within such host State and each host State has maintained effective control, supervision, regulation, and sponsorship over the conduct of such subsidiary. While we have beneficial ownership over these subsidiaries, each subsidiary operates under the regulation and sponsorship of Nauru and Tonga. If such arrangement is challenged, or sponsorship is terminated, we may have to restructure the ownership or operations of each subsidiary to ensure continued State sponsorship. Failure to maintain sponsorship, or secure new state sponsorship, will have a material impact on the subsidiary and on our overall business and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the rates of payments are yet to be set by the ISA, the 1994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NORI and TOML, and/or may contain terms that do not enable NORI and TOML to develop their projects.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and TOML currently hold exclusive exploration rights granted by the ISA to two polymetallic nodule areas in the CCZ. The exploration contracts for each of these areas require NORI and TOML to conduct certain activities in accordance with approved plans of work. Our operations in the CCZ are being conducted under our ISA exploration contracts and will be conducted under these contracts until we receive an exploration license or commercial recovery permit under DSHMRA from NOAA. The NORI Exploration Contract terminates in July 2026 and the TOML Exploration Contract terminates in January 2027. We have submitted an application to the ISA to extend the NORI Exploration Contract and plan to submit an application to the ISA to extend the TOML Exploration Contract, in each case for an additional five years. The suspension or termination, including the non-renewal of the NORI Exploration Contract would, and of the TOML Exploration Contract could, have a material and adverse effect on our future business prospects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2024, the LTC of the ISA established a new process to identify contractors who may be at risk of non-compliance with obligations under their respective exploration contract. If the LTC deems TOML’s response incomplete or does not effectively address the LTC’s concerns, the LTC, in line with its established process, may report TOML to the ISA Council for further consideration and action. If TOML is deemed to have not remedied all issues raised by the LTC and the ISA then determines that TOML is not in compliance with its obligations under its exploration contract, the ISA could impose monetary sanctions on TOML, suspend some or all rights under the exploration contract, which could include halting exploration activities, or terminate TOML’s exploration contract, any of which could have a material and adverse effect on our future business prospects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efforts to pursue deep-sea nodule exploration licenses and a commercial recovery permit under DSHMRA may subject us to conflicting regulatory regimes, uncertain legal interpretations, and operational risks that could adversely affect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described above, we have initiated a U.S.-based regulatory pathway with the U.S. Department of Commerce and NOAA under DSHMRA for the commercial recovery of polymetallic nodules in the CCZ, while NORI and TOML are maintaining their rights under their exploration contracts issued by the ISA under UNCLOS. We are now prioritizing this U.S. pathway, while preserving our subsidiaries’ rights under their ISA exploration contracts. Although we believe this dual-path approach enhances optionality, it introduces additional risks and complexities, arising from the interaction of parallel international and national regulatory regimes. For example, a U.S.-issued permit would be a unilateral authorization by the United States not formally recognized by the ISA or by states that are parties to UNCLOS. We do not believe pursuing licenses and permits with NOAA under DSHMRA nullifies our subsidiaries’ ISA exploration contracts or their sponsorship contracts with the Republic of Nauru and the Kingdom of Tonga, and NORI and TOML are in compliance with each of their ISA exploration contracts and each of their sponsorship contracts. There can be no assurances, however, that the ISA may not attempt to suspend or terminate NORI and TOML’s existing exploration contracts or that it will renew our NORI exploration contract when it expires in July 2026 or our TOML’s exploration contract when it expires in January 2027. Nor can there be assurances that NORI and TOML’s sponsorship contracts will not be suspended or terminated. In addition, if we proceed under the DSHMRA regime and secure U.S. permits, NORI and TOML may need to relinquish or suspend overlapping rights held under their ISA exploration contracts, which could raise diplomatic concerns or be perceived as undermining the ISA’s authority and allow the ISA to grant rights to these overlapping areas to other parties. While we believe our dual-path strategy is legally sound and the Trump administration, the U.S. Department of Commerce and NOAA have stated that U.S. companies can apply for exploration licenses and commercial recovery permits for deep-sea mining in ocean areas beyond national jurisdiction under DSHMRA, the announcement or implementation of this strategy may cause additional regulatory and political tensions, delay ISA decision-making, or impair NORI and TOML’s ability to secure or maintain exploration contracts or an exploitation contract under the ISA framework and may result in our need to engage in costly and time-consuming litigation to enforce our and/or our subsidiaries’ rights. In addition, a commercial recovery permit issued to us under DSHMRA, if any, may not be recognized by states that are parties to UNCLOS or by the ISA and may be regarded by UNCLOS parties and the ISA as a violation of international law, including UNCLOS, which could affect international perceptions of the project, and could have implications for logistics, processing, and market access in UNCLOS parties for seabed minerals extracted under a U.S. license or permit and for downstream products containing them, or for partnerships involving foreign entities, and could also result in actions, pursuant to UNCLOS, against us under the national laws of UNCLOS state parties, any or all of which could have a material adverse effect on our business, financial condition, liquidity,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Our resource development activities are subject to changes in government regulation and political instability.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UNCLOS, parties carrying out exploration and collection operations in the CCZ must be sponsored by a State that is a member of the ISA. The Sponsoring States of our subsidiaries NORI and TOML are Nauru and Tonga, respectively. If Nauru and Tonga cease such sponsorship, our subsidiaries would need to seek sponsorship elsewhere, which could impact our operations as a group.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NORI or TOML are unable to transfer the sponsorship with Nauru and Tonga to another State, these subsidiaries will be required to cease activities in the CCZ under UNCLOS.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there is little jurisprudence or interpretative guidance regarding the application of the sponsorship regulations that are applicable to NORI and TOML’s business. For example, with respect to the question as to which state’s regulations apply to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NORI and TOML’s Sponsoring States or the ISA, certain organizations and member states to the ISA that oppose the deep-sea polymetallic nodule exploration and collecting industry have advocated for the use of a beneficial ownership test for state sponsorship, and there are no guarantees that our interpretation will be universally accepted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seabed mineral exploration activities of our subsidiaries and their future project development prospects could be affected in varying degrees by political instability, including administration changes, the recent outbreak of war in Iran,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those within our group.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NOAA or the ISA will not impose burdensome obligations or restrictions on our business or our projects (or those of our affiliates and third-party contractors), or that they will not implement policies or regulations that would prevent us from accomplishing our objectives.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to any of the laws, rules, regulations or policies to which we are subject could have a significant impact on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exploration, development,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All phases of exploring for, collecting and processing polymetallic nodules are subject to environmental regulation in multiple jurisdictions, including under international frameworks administered by the ISA and under national laws and regulations administered by governmental authorities, including NOAA pursuant to DSHMRA. No seafloor polymetallic nodule deposit has been developed commercially to date, and the environmental parameters, data sets, methodologies and mitigation measures that regulators may require in connection with the authorization of commercial-scale deep-sea mineral activities have not been fully established under either regime.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ISA framework, the standards, guidelines and procedures applicable to exploitation activities continue to evolve, and a full environmental and social impact assessment for commercial deep-sea nodule collection has not yet been completed and approved. The required scope, content and assessment standards for an ESIA and associated EMMPs have not been finalized, and changes to those standards could require revisions to submissions made by our subsidiaries (NORI and TOML) in connection with any exploitation contract application. The timing, content and outcome of any ISA review process remains uncertain, and the adoption of additional environmental requirements, procedural safeguards or policy measures could materially affect NORI and TOML’s anticipated development timelines or the economic viability of their projects.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parallel, under the United States regulatory framework, commercial recovery activities would require licenses and permits issued by NOAA, including approvals relating to environmental impact assessment, mitigation, monitoring and compliance with applicable federal environmental statutes. While the United States has an established permitting regime under the DSHMRA, the application of that framework to commercial-scale polymetallic nodule recovery has not been tested in practice. Regulatory interpretations, environmental review expectations, interagency coordination requirements and potential judicial review under U.S. law introduce additional uncertainty, and there can be no assurance that permits or licenses will be granted on acceptable terms, within anticipated timeframes,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Nodule collection operations in the CCZ are expected to disturb wildlife in the operating area and may affect ecosystem function. The nature, extent and duration of these impacts are expected to vary by species and habitat and remain subject to significant scientific uncertainty. Our environmental campaigns to establish baseline conditions, pilot collection systems and monitor potential impacts have been completed, and data processing and analysis is ongoing. As with land-based mining, these studies may not definitively establish the full impacts of operations on biodiversity. Given the scale, depth and logistical challenges of the deep-sea environment, a complete biological inventory may never be established, and impacts on CCZ biodiversity and ecosystem services may never be fully or definitively known.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It is also not definitively known whether the risk of biodiversity loss in the CCZ can be eliminated or sufficiently mitigated through spatial protection measures, operational controls or other mitigation strategies, or how long disturbed seabed areas may take to recover naturally. While prior research suggests that certain fauna may recover over years to decades, significant uncertainty remains, particularly with respect to species that depend on polymetallic nodules as hard substrate for critical life functions. The effectiveness of mitigation measures such as partial nodule retention, no-collection zones and habitat connectivity corridors remains under active study and may vary materially by location and operating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intend to design and operate our collection systems to mitigate and reduce potential harm to the seafloor, marine life and ecosystem function, we do not know whether the ISA or regulatory authorities under national permitting regimes will impose additional or more onerous restoration, rehabilitation, offset or long-term monitoring obligations. Any such requirements, to the extent they are costly, operationally restrictive or open-ended, could result in material changes to our and our subsidiaries’ businesses, increased capital or operating expenditures, or delays or limitations on our ability to proceed with development as currently contemplated.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Environmental permitting processes under both international and national regimes are expected to involve multiple layers of technical review, public scrutiny and potential legal challenge. Under the ISA framework, reviews by the Secretariat, the Legal and Technical Commission and the Council introduce procedural and political risk, and proposed exploitation activities may be subject to opposition from member states or non-governmental organizations, including calls for moratoria or other restrictions on deep-sea mining activities. Under national permitting regimes, including in the United States, approvals may be subject to administrative appeals or judicial review, which could delay or prevent project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sponsoring state approvals, governmental licenses and permits may be required in connection with our activities, and failure to obtain or maintain such approvals could curtail or prohibit planned operations. Failure to comply with applicable environmental laws, regulations or permit conditions may result in enforcement actions, including suspension or cessation of operations, monetary penalties, remedial obligations or civil or criminal liability. Parties engaged in collection operations may also be required to compensate third parties for loss or damage arising from such activities. Any of the foregoing could have a material adverse effect on our business, financial condition, results of operations or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become subject to environmental liabilities as a result of noncompliance with existing or future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II.</w:t>
      </w:r>
      <w:r>
        <w:rPr>
          <w:rFonts w:ascii="Times New Roman;Times;serif" w:hAnsi="Times New Roman;Times;serif"/>
          <w:b/>
          <w:sz w:val="20"/>
        </w:rPr>
        <w:t>Resource and Market Risks.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grade and quality of the polymetallic nodule deposits that we intend to develop are estimates, and there are no guarantees that such deposits will be suitable for collecting or commercialization.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precise form of mineral occurrence, grade, abundance, and tonnage, which is projected based on the mapping and analysis of samples, is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 seafloor polymetallic nodule deposit has ever been commercially collected, and our offshore collection technology and development plans and processes may not be sufficient to accomplish our objectives.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Seafloor polymetallic nodules have never been commercially mined, and there is a risk that our offshore collection and recovery methods and the equipment that we intend to utilize during this process, including transferring nodules to transport vessels and delivering of nodules to port,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transportation and development techniques for the prevailing material and seafloor conditions would have a material adverse effect on the business of our subsidiaries, and the results of their operations and financial condition. As a result, even if we obtain the necessary licenses, permits or approvals to proceed under one or more regulatory pathways, including under the ISA or NOAA, there are no assurances that we will have successfully completed all development and pre-production work necessary to start commercial production. We have partnered with Allseas, a leading global offshore contractor, to undertake a pre-production pilot collection system test in which a collector vehicle, a riser and lift system and surface production vessel have been tested. Although the pilot collection system test was successful, pilot-scale testing does not replicate all conditions or risks associated with continuous commercial-scale operations, and there can be no assurance that the technology, systems or operating procedures tested to date will be adequate for sustained full-scale commercial production.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16, 2022, NORI and Allseas entered into a non-binding term sheet for the development and operation of a commercial nodule collection system and, in August 2023 entered into an exclusive use agreement with respect to the vessel the </w:t>
      </w:r>
      <w:r>
        <w:rPr>
          <w:rFonts w:ascii="Times New Roman;Times;serif" w:hAnsi="Times New Roman;Times;serif"/>
          <w:i/>
          <w:sz w:val="20"/>
        </w:rPr>
        <w:t>Hidden Gem</w:t>
      </w:r>
      <w:r>
        <w:rPr>
          <w:rFonts w:ascii="Times New Roman;Times;serif" w:hAnsi="Times New Roman;Times;serif"/>
          <w:sz w:val="20"/>
        </w:rPr>
        <w:t xml:space="preserve">. We anticipate reaching agreements with Allseas in 2026 on definitive contract terms for both the development of collection system (including preparation of the </w:t>
      </w:r>
      <w:r>
        <w:rPr>
          <w:rFonts w:ascii="Times New Roman;Times;serif" w:hAnsi="Times New Roman;Times;serif"/>
          <w:i/>
          <w:sz w:val="20"/>
        </w:rPr>
        <w:t>Hidden Gem</w:t>
      </w:r>
      <w:r>
        <w:rPr>
          <w:rFonts w:ascii="Times New Roman;Times;serif" w:hAnsi="Times New Roman;Times;serif"/>
          <w:sz w:val="20"/>
        </w:rPr>
        <w:t xml:space="preserve"> and the first nodule collection system), and for initial commercial nodule production and the extension of our exclusive use agreement with respect to the </w:t>
      </w:r>
      <w:r>
        <w:rPr>
          <w:rFonts w:ascii="Times New Roman;Times;serif" w:hAnsi="Times New Roman;Times;serif"/>
          <w:i/>
          <w:sz w:val="20"/>
        </w:rPr>
        <w:t>Hidden Gem</w:t>
      </w:r>
      <w:r>
        <w:rPr>
          <w:rFonts w:ascii="Times New Roman;Times;serif" w:hAnsi="Times New Roman;Times;serif"/>
          <w:sz w:val="20"/>
        </w:rPr>
        <w:t>. There can be no assurances, however, that we will enter into definitive agreements with Allseas in a particular time period, or at all, or on terms similar to those set forth in the non-binding term sheet and the exclusive use agreement, or that if such definitive agreements are entered into by us that the proposed commercial systems and additional production vessel(s)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reliant on third parties to conduct independent analyses with respect to our business, and any inaccuracies in such analyses could have a material adverse effect on our offshore collection and onshore processing and refining objectives.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rely upon third-party consultants, engineers, analysts, scientists, and others to provide analyses, reviews, reports, advice, and opinions regarding our potential projects, such as the NORI-D PFS and the TOML and NORI IA. The NORI-D PFS and the TOML and NORI IA contain analyses and determinations by third party experts regarding the mineral resources in the subject areas and, in the case of the NORI-D PFS, mineral reserve estimates and other technical and economic information with respect to our contract areas. While these studies have been prepared by qualified persons, they are inherently based on assumptions and interpretations that may change over time or prove inaccurate. There is a risk that such analyses, reviews, reports, advice, opinions, and projects are incorrect or become outdated over time or as our plans change, in particular with respect to mineral resource and reserve estimation, process development, recommendations for products to be produced, capital and operating cost estimates, and forecasted revenue streams. Both the NORI-D PFS and TOML and NORI IA are subject to the risks and uncertainties that apply to early-stage technical studies, including that results may not be realized as currently presented. Uncertainties are also inherent in such estimations.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Mineral resource and mineral reserve estimates from the contract areas of NORI and TOML are only estimates</w:t>
      </w:r>
      <w:r>
        <w:rPr>
          <w:rFonts w:ascii="Times New Roman;Times;serif" w:hAnsi="Times New Roman;Times;serif"/>
          <w:b w:val="false"/>
          <w:i/>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Estimates of mineral resources and mineral reserves from the contract areas of NORI and TOML described in our SEC filings and reported in the NORI-D PFS and the TOML and NORI IA technical reports prepared by AMC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and mineral reserves. Except for the probable mineral reserves declared in the NORI-D PFS for the Initial Mining Area of NORI Area D as described in the NORI-D PFS, mineral reserves have not been defined for our other contract areas and will require completion of further studies. The NORI-D PFS is not a feasibility study and does not support a development decision, and the TOML and NORI IA is preliminary in nature, contains no mineral reserves, and is not sufficient to determine the economic viability of a mining project. Additionally, the NORI-D PFS does not include the conversion of all mineral resources included in NORI Area D to mineral reserves and does not include the conversion of any mineral resources to proven mineral reserves. You are cautioned not to assume that all or any part of measured or indicated mineral resources will ever be upgraded to mineral reserves or that probable mineral reserves will ever be upgraded to proven mineral reserves. Until mineral deposits are actually mined and processed, mineral resources and mineral reserves must be considered as estimates only. Until mineral resources and mineral reserves are actually collected and processed on a commercial scale, the quantity of metal and nodule abundance must be considered as estimates only, and no assurance can be given that the indicated levels of metals will be produced. 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 Estimated mineral reserves and mineral resources may have to be recalculated based on changes in metal prices, further exploration or development activity, actual production experience, or changes in operating or regulatory conditions. This could materially and adversely affect estimates of the volume or grade of mineralization, estimated recovery rates, or other important factors that influence mineral reserve and mineral resource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 The mineral resource and mineral reserve estimates in our SEC filings have been determined and valued based on assumed future metal prices, cut-off grades, production rates, and operating costs that may prove to be inaccurate.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 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A part of the measured and indicated mineral resource in the NORI Area D have been classified as 51 million tonnes of probable mineral reserves in the NORI-D PFS, with the balance of the resource remaining in the measured and indicated and inferred categories.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significant risks, and we may never develop minerals in sufficient grade or quantities to justify commercial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resources,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believe that seafloor polymetallic nodules in the contract areas of our subsidiaries account for some of the world’s largest aggregated estimated deposits of the four critical metals contained in nodules,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Uncertainty in our estimates of polymetallic nodule deposits could result in lower-than-expected revenues and higher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geological, geotechnical, collecting and processing conditions that may not be fully identified by available data or that may differ from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strategic approach to collecting and processing, which will depend in large part on market demand, corporate strategy and other prevailing economic and financial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concerning future prices of products (including, most notably, critical metals and manganese ore) foreign exchange rates, production rates, process recovery rates, transportation costs, operating costs, capital costs and reclamation costs;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concerning future effects of regulation, including the issuance of required permits and taxes by governmental agencies and foreign government policies relating to our collecting of the mineral resources from our contract areas.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operate in a competitive industry, and there are no assurances that our efforts will be successful.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critical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two contracts held by our subsidiaries and partners, a number of other entities, including ISA Member States and private companies sponsored by ISA Member States, currently hold ISA exploration contracts for polymetallic nodules or are pursuing alternative national regulatory pathways for deep-sea mineral exploration and commercial recovery, including under DSHMRA. If and when they move into the exploitation or commercial recovery phase, each of these entities could become potential competitors with respect to the collection of polymetallic nodules and the production of nickel, manganese, copper and cobalt products. Some of these competitors may possess greater financial and/or technical resources.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 including through land-based, alternative marine, or hybrid production pathways.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prevailing market prices of nickel, manganese, copper, cobalt, and other commodities will have a material impact on our ability to achieve commercial success.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profitability of our nodule collection operations is significantly affected by changes in the market price of critical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the four critical metals contained in nodules from mine production, inventories and recycled metal; sales by holders and producers of these critical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not currently party to any commodity hedging contracts, as we do not yet have any production. Debt financing may not be available on commercially reasonable terms,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adversely affected by fluctuations in demand for nickel, manganese, copper, cobalt, and other commodities.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China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development, collecting and production operations, and impair asset values.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will depend in part on the expansion of the global manganese market to consume the additional volume of manganese that we intend to produce and on our ability to displace existing supply.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experience difficulty in creating market acceptance for a novel manganese product.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be producing a novel manganese silicate product which does not yet have recognition in the marketplace with customers. Metallurgical test work, market studies by CRU International Limited, value-in-use studies by SINTEF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manganese silicate is not a conventional mineral product and may require additional approvals for export and import from our processing facilities to our future customers.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generate revenue will be diminished if we are unable to compete with substitutions for the minerals that we intend to process or adapt to shifts in end-market demand.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Technology changes rapidly in the industries and end markets that utilize the four metals contained in polymetallic nodules found in the CCZ, nickel, manganese, cobalt and copper. Some of these changes have resulted, and may continue to result, in decreased use of nickel, manganese, cobalt and/or copper in these industries and end markets. For instance, our growth may be affected by the consumer adoption of EVs.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EVs will surge over time, if the market for EVs does not develop as we expect, or develops more slowly than we expect, our business and operating results may be impacted, as we refocus on other industrial uses of the metals we plan to produce. In addition, the adoption of lithium iron phosphate, or LFP, battery chemistries has grown substantially from 4% of the batteries used in passenger EVs in 2015 to an estimated 60% in 2025. The continuation of this trend in the use of LFP battery chemistries will decrease the overall demand for nickel- and cobalt-rich battery chemistries in EV use. Additionally, copper is increasingly being substituted with aluminum or other materials in electrical and infrastructure applications, potentially reducing the overall market demand for copper.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are actively monitoring these technological changes and shifts in end-market demand and taking steps designed to diversify the potential applications and markets for our metals, as these industries shift to new or substitute technologies or products or if these industries and end markets otherwise use less of the metals that we intend to collect and process, and our diversification efforts are not successful, there could be a decline in demand for our metal products. If the demand for our metal products decreases, it will have a material adverse effect on our business and the results of our operations and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III.</w:t>
      </w:r>
      <w:r>
        <w:rPr>
          <w:rFonts w:ascii="Times New Roman;Times;serif" w:hAnsi="Times New Roman;Times;serif"/>
          <w:b/>
          <w:sz w:val="20"/>
        </w:rPr>
        <w:t>Social License and Public Perceptions Risks.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Negative perceptions related to the offshore collection of polymetallic nodules could have a material adverse effect on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exist certain negative perceptions related to acquiring metals produced from deep-sea minerals. Under pressure from non-governmental organizations, some governments and companies in the EV supply chain have expressed reservations about using critical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critical metals sourced from polymetallic nodules, it could have a material impact on our business and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our partners and our shareholders may be adversely impacted by pressure and lobbying from non-governmental organizations.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Like other businesses that operate in the resources industry, we along with our partners, and our shareholders are subject to pressure and lobbying from non-governmental organizations, particularly with respect to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non-governmental environmental groups could physically impact ongoing operation during exploration, project development and commercial operations. As seen during the coordinated and disruptive activities by Greenpeace International during Campaign 8A in 2023, designed to prevent and obstruct the campaign, such activities can have significant impacts from a timing, financial and safety perspective. There can be no assurances that such activities by Greenpeace and other stakeholder will not materially impact our ongoing operations.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IV.    Offshore and Onshore Technology Risks and Operational Risks.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Offshore collection and onshore processing and refining operations pose inherent risks and costs that may negatively impact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Offshore collection and onshore processing and refining operations involve many hazards and uncertainties, including, among others:</w:t>
      </w:r>
    </w:p>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and operational challenges in the offshore collection operations and scaling up of such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and delays caused by transferring nodules to transport vessels and delivering nodules to port (including limited availability of and cost to secure the equipment to allow the activity);</w:t>
            </w:r>
          </w:p>
        </w:tc>
      </w:tr>
    </w:tbl>
    <w:tbl>
      <w:tblPr>
        <w:tblW w:w="2181" w:type="dxa"/>
        <w:jc w:val="left"/>
        <w:tblInd w:w="0" w:type="dxa"/>
        <w:tblLayout w:type="fixed"/>
        <w:tblCellMar>
          <w:top w:w="28" w:type="dxa"/>
          <w:left w:w="28" w:type="dxa"/>
          <w:bottom w:w="28" w:type="dxa"/>
          <w:right w:w="28" w:type="dxa"/>
        </w:tblCellMar>
      </w:tblPr>
      <w:tblGrid>
        <w:gridCol w:w="124"/>
        <w:gridCol w:w="256"/>
        <w:gridCol w:w="1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accidents;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unusual and unexpected maritime conditions;</w:t>
            </w:r>
          </w:p>
        </w:tc>
      </w:tr>
    </w:tbl>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seafloor conditions;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onshore metallurgical or other processing problems;</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environmental conditions, including contamination or leakage;</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interruptions due to inclement or hazardous weather conditions or other acts of nature;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1" w:type="dxa"/>
        <w:jc w:val="left"/>
        <w:tblInd w:w="0" w:type="dxa"/>
        <w:tblLayout w:type="fixed"/>
        <w:tblCellMar>
          <w:top w:w="28" w:type="dxa"/>
          <w:left w:w="28" w:type="dxa"/>
          <w:bottom w:w="28" w:type="dxa"/>
          <w:right w:w="28" w:type="dxa"/>
        </w:tblCellMar>
      </w:tblPr>
      <w:tblGrid>
        <w:gridCol w:w="124"/>
        <w:gridCol w:w="256"/>
        <w:gridCol w:w="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piracy and disruptive action by non-governmental actors opposed to deep-sea mineral extraction;</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organized labor disputes or work slowdowns;</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mechanical equipment failure and facility performance problems;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financing, market demand, critical technology and equipment, and skilled labor;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suppliers to provide key process inputs like electricity, gas, coal and processing reagents on a timely basis at the prices that have been forecast.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polymetallic nodules that we may recover may require specialized transfer and delivery equipment and processes, and there is no certainty that we will be able to develop or otherwise access such transfer and delivery equipment or processes that are suitable for our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polymetallic nodules that we may collect may require specialized equipment and processes in connection with the transfer of such nodules to transport vessels and delivery of the nodules to port. To date, we have not transferred significant quantities of nodules to transport vessels nor delivered significant quantities of nodules to port. The anticipated cost to develop this equipment and processes is significant. There is a risk that the equipment and/or processes necessary to transfer commercial quantities of nodules to transport vessels and deliver them to port may be economically prohibitive.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are currently negotiating with third-party shipping companies to transfer nodules to transport vessels and to deliver nodules to port, our future needs with respect to the required equipment and processes have yet to be fully determined, and as such, the capital costs, performance, reliability, and maintenance of such equipment and processes is currently uncertain and may be more expensive and take longer to develop than we currently estimate. In addition, the required equipment and processes may not be developed or become available at commercial scale in the time frame we require, which could have a material negative impact on our short-term operations and financial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contingent on our ability to successfully identify, collect, ship and process polymetallic nodules profitably, and in doing so, we will need to rely on certain existing and future strategic relationships, some of which we may be unable to maintain and/or develop.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example, we have been working with Hatch, a global engineering, project management, and professional services firm, to support the development of onshore processing technology for the production of readily saleable copper and manganese products, as well as products such as high-grade nickel and cobalt sulfates for the electric vehicle battery markets. In connection therewith, Hatch has supported us with the development of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developed a test system and demonstrated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 We are also working with PAMCO and Korea Zinc in connection with onshore processing capabilities. If we are unable to enter into definitive agreements with either of these parties or any other third party for similar services, our business may be adversely affected. We are also in discussions with third party shipping companies to develop a system and method to transfer nodules to transport vessels and deliver nodules to 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can be no assurance that we will be able to continue to maintain and develop our existing relationships, or that we will be able to form the new relationships that are required for our business to be successful. There can be no assurances that we will be able to find additional partners with the correct capabilities to support our development efforts or whether we will be able to engage these partners on acceptable terms or at all.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Some of the offshore equipment that we will need to accomplish our objectives has not been manufactured and/or tested.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subsidiaries will need to rely on high-value equipment for the offshore collection and transport of materials. Notwithstanding the successful collector test completed in 2022, much of the commercial-scale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We have not yet identified a third-party shipping company with the necessary equipment to transfer nodules to transport vessels and deliver nodules to port. Moreover, our future needs with respect to commercial-scale subsea engineering and recovery systems have yet to be fully determined, and as such, the capital costs, performance, reliability, and maintenance associated with the necessary equipment is currently unknown. There can be no guarantees that the necessary commercial-scale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substantially dependent on our strategic relationship with Allseas. If we and Allseas are unable to successfully maintain and expand this relationship, our business may be materially harmed.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partnered with Allseas, a leading global offshore contractor and significant shareholder in our Company, to undertake the development of many of the offshore systems we expect to utilize in our potential commercialization efforts (including equipment required for the transfer of nodules to transport vessels and delivery to port). We are also in discussions with Allseas to enter into binding agreements with them for the future development and operation of a commercial nodule collection system. Allseas also provides us with exclusive access to the </w:t>
      </w:r>
      <w:r>
        <w:rPr>
          <w:rFonts w:ascii="Times New Roman;Times;serif" w:hAnsi="Times New Roman;Times;serif"/>
          <w:i/>
          <w:sz w:val="20"/>
        </w:rPr>
        <w:t>Hidden Gem</w:t>
      </w:r>
      <w:r>
        <w:rPr>
          <w:rFonts w:ascii="Times New Roman;Times;serif" w:hAnsi="Times New Roman;Times;serif"/>
          <w:sz w:val="20"/>
        </w:rPr>
        <w:t xml:space="preserve"> to the earlier of the development of such collection system and December 31, 2026. In addition, Allseas, and related companies, have provided us financial support through equity investments, unsecured credit facilities and short-term and working capital loans. We cannot provide any assurance with respect to the success of our continued relationship with Allseas, that we will be able to enter into additional binding agreements with Allseas on commercially reasonable terms, or at all, that Allseas will continue to devote its resources to its relationship with us, continue to provide us financial support or otherwise perform its obligations under its current and future arrangements with us as expected, as a result of its limited experience in the collection and transportation of seafloor polymetallic nodules or otherwise, the result of any of which would have a material adverse effect on our business, financial condition, liquidity, and results of operations. As a result, we may need to engage and depend on other third parties for the services and funding Allseas currently provides to us and is expected to continue doing so. If these new relationships are not timely entered into or not entered into on commercially reasonable terms, or at all, or if any such relationship is not successful, this would likely have a material adverse effect on our business, financial condition, liquidity,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polymetallic nodules that we may recover may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there are presently unknown technical aspects that render the selected flowsheet unsuitable for processing to the products as described.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the metallurgical recovery estimates have been derived from commercial operation benchmarking, benchscale and pilot scale testwork, the commercial metal recoveries to products could vary significantly from these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Should our offshore nodule collection plans become successful, we intend to partner with existing onshore processing partners to produce and develop new build onshore processing plants as we scale up production. Our future needs with respect to such processing plants have yet to be fully determined, and as such, the capital costs, performance, reliability, and maintenance of such plants are currently uncertain.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identified potential tolling facilities to process nodules into two products, manganese silicate and nickel-copper-cobalt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(through tolling arrangements), there is no guarantee that we will be able to provide them with the required nodule feedstocks at the required times.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working to secure existing processing facilities outside of the United States and looking for potential sites to construct new facilities in the United States. While we are currently working with PAMCO and Korea Zinc in connection with the onshore processing of our products, we may not enter into definitive agreements with either of these parties or other third parties capable of processing our products. In addition, while we believe that we have identified specific sites for the potential construction of nodule processing plants (based on factors such as proximity to deep-water ports, cost of access to renewable electric power and natural gas, and proximity to customers), there is a risk that we will be unable to secure one or more of these sites on suitable terms. We have also entered into a strategic partnership agreement with Mariana in connection with the potential development of domestic nodule processing and refining facilities in the United States, including as part of TMC USA’s owner’s team in relation to a potential facility in Brownsville, Texas. Mariana is an early-stage company, and there can be no assurance that it will be able to perform its expected role on a timely basis, at the anticipated cost levels, or at all. To the extent our domestic processing strategy depends in part on Mariana’s software-first or AI-enabled approach to permitting, construction or operations, there can be no assurance that such approach will deliver the expected efficiencies, accelerated timelines or cost savings. If Mariana is unable to perform as expected, or if we are unable to successfully integrate Mariana’s role into our broader domestic processing strategy, our project development timeline, costs and ability to advance potential U.S. processing and refining facilities could be materially adversely affected. In the event that we are unable to secure one or more of the sites we have identified, or if modification scope identification, development and associated construction delays of this scope implementation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Accordingly, the timing in which we expand our operations may vary depending on geological, operational and financial developments, in addition to regulatory approvals from NOAA or the ISA, among other factors, and these may impact our revenue and financial performance.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exploration, development and polymetallic nodule collecting activities may be affected by natural hazards, which could have a material adverse effect on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including, without limitation, the transfer of nodules to transport vessels and delivery to port, may be subject to interruptions resulting from weather and related marine conditions that adversely affect our collection operations or the ports of delivery, and any such delays could have a material adverse effect on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Fluctuations in transportation costs or disruptions in transportation, processes or services, or damage or loss during transport could decrease our profitability or impair our ability to supply polymetallic nodules, processed minerals or products to our customers, which could adversely affect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Once our subsidiaries have been able to successfully collect the polymetallic nodules, they will be required to transport them to onshore facilities for processing, including the transfer of nodules to transport vessels and delivery to port. Furthermore, once they have reached a point of commercialization, we will need to transport our products to our future customers, wherever they may be located. Finding affordable and dependable transportation is important because it allows us to supply customers around the world. Fuel costs, labor disputes, embargos, sanctions, government restrictions, work stoppages, pandemics, derailments, damage or loss events, adverse weather conditions, vessel groundings inhibiting access to key navigation routes, other environmental events, changes to rail or ocean freight systems, availability of appropriate equipment or processes for transfer of nodules to transport vessels or other events and activities beyond our control could interrupt or limit available transport services, which could result in customer dissatisfaction and loss of sales potential and could materially adversely affect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NORI-D PFS or the TOML and NORI IA or that we otherwise estimate from time to time.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NORI-D PFS or the TOML and NORI IA, or other technical studies or that we otherwise estimate from time to time and there can be no assurance that any of our development activities will result in profitable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as we advance development activities beyond the pre-feasibility stage, including in connection with our U.S.-based project application areas referred to as TMC USA-A, TMC USA-A and TMC USA-B, any economic analysis resulting from this work as to the cash flows from or valuation of the potential extraction of nodules from NORI Area D, our U.S.-based project areas, or elsewhere may differ significantly from earlier or current estimates and any resulting analyses that are lower than earlier or current estimates or lower than those expected by investors or other stakeholders could have a material adverse effect on our share and warrant prices and results or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operating history, and there can be no assurance that we will be able to commercially develop our resource areas or achieve profitability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 limited operating history, and we expect that our losses will continue until we achieve profitable commercial production. Our subsidiaries currently intend to pursue exploration, evaluation, collection and potential commercial recovery activities across multiple project areas in the CCZ. There can be no assurance that we will obtain necessary approvals from NOAA or the ISA or that we will be able to commercially develop these resource areas or project applications or that we will be able to generate profits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operating expenses and capital expenditures will increase in the future as consultants and new employees are engaged, equipment associated with advancing exploration, evaluation and development activities is leased or purchased, and project areas are advanced toward potential commercialization. There can be no assurance that we will generate any revenues or achieve profitability, or that the assumed level of expenses associated with our exploration, development, and commercialization processes will prove to be accurate.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Work stoppages or similar difficulties could significantly disrupt our operations, reduce our revenues and materially adversely affect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shortage of skilled technicians and engineers may further increase operating costs, which could materially adversely affect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depend on key personnel for the success of our business. The loss of key personnel or the hiring of ineffective personnel could negatively impact our operations and profitability.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growth will depend on our ability to execute on our plans and expand our operations and controls while maintaining effective cost controls.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upon information technology systems, which are subject to cyber threats, disruption, damage and failure.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a variety of risks, some of which may not be covered by our future or existing insurance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 (vii) 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V.    Intellectual Property Risks.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adequately protect our intellectual property rights. If we fail to adequately enforce or defend our intellectual property rights, our business may be harmed.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or our partners may not be able to obtain necessary patents and the legal protection afforded by any patents may not adequately protect our or our partners’ rights or permit us to gain or keep any competitive advantage.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infringe, or are accused of infringing, on the intellectual property rights of third parties, it may increase our costs or prevent us from being able to commercialize new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Defending ourselves against third-party claims, including litigation in particular, would be costly and time consuming and would divert management’s attention from our business, which could lead to delays in our exploration, development,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prohibited from, or delayed in, selling or licensing some of our products or using some of our processes unless the patent holder licenses the patent to us, which it is not required to do;</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required to pay substantial royalties or grant a cross license to our patents to another patent holder;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required to redesign a product or process so it does not infringe a third-party’s patent, which may not be possible or could require substantial funds and time.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could be subject to claims that our employees, or we, have inadvertently or otherwise used or disclosed trade secrets or other proprietary information of third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unable to resolve claims that may be brought against us by third parties related to their intellectual property rights on terms acceptable to us, we may be precluded from offering some of our products or using some of our processes.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4"/>
        <w:jc w:val="left"/>
        <w:rPr>
          <w:rFonts w:ascii="Times New Roman;Times;serif" w:hAnsi="Times New Roman;Times;serif"/>
          <w:b/>
          <w:sz w:val="20"/>
        </w:rPr>
      </w:pPr>
      <w:r>
        <w:rPr>
          <w:rFonts w:ascii="Times New Roman;Times;serif" w:hAnsi="Times New Roman;Times;serif"/>
          <w:b/>
          <w:sz w:val="20"/>
        </w:rPr>
        <w:t>VI.    Public Company Risks and Risks Related to our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our prioritized regulatory and technical workstreams, including advancing our U.S. applications under DSHMRA and preserving our ability to advance an ISA exploitation application, by negotiating the settlement of program expenditures with our equity whenever possible in order to preserve our cash, and by utilizing existing assets for offshore and onshore production. The continuing exploration and development of CCZ areas in which we hold rights and are pursuing development, including through our ISA exploration contracts and our U.S. regulatory pathway, however, will depend upon our ability to obtain dilutive and/or non-dilutive financing through stake sales in our assets, offtakes with prepayments, debt financing, equity financing, joint ventures, project-based or asset-based financing, government-based funding or other means. The actual amount of capital needed or that we raise for our projects, however, may vary materially from our current estimates. We currently expect that we will need to raise additional funds to finance our operations. There is no assurance that we will be successful in obtaining the required financing for these or other purposes, including for general working capital, or that any funds raised will be sufficient for the purposes contemplated, which could negatively impact our operating plans, financial results and ability to continue as a going concern. We will not initially have any producing properties and will have no source of significant operating cash flow until we are granted the necessary licenses, permits, approvals or contracts under one or more regulatory regimes and begin commercial production. There is no precedent for projects like ours, and therefore, financing may not be available on acceptable terms or at all. Failure to obtain additional financing on a timely basis could cause us to reduce or terminate our operations. Organizations such as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U.S. and global economic uncertainty, higher interest rates and diminished credit 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the impact of geopolitical tension, such as a deterioration in the bilateral relationship between the U.S. and China or an escalation in conflict between Russia and Ukraine, or the conflict in Israel and Gaza or the recent outbreak of war in Iran, including any resulting sanctions, export controls or other restrictive actions, could also lead to disruption, instability and volatility in the global markets, which may have an impact on our ability to obtain additional funding or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at December 31, 2025, we had 422,966,333 common shares, 10,237,693 Short-Term Incentive Plan (“STIP”) options to purchase common shares, 8,949,632 Long-Term Incentive Plan (“LTIP”) options in each case issued under the 2018 Stock Option Plan (“2018 Plan”), 11,190,000 options to purchase common shares issued under the 2021 Incentive Equity Plan and 55,850,282 warrants to acquire common shares issued and outstanding. Subject to the requirements of the Business Corporations Act (British Columbia) (“BCBCA”), our Articles authorize us to issue additional common shares and rights relating to our common shares for the consideration and on the terms and conditions established by our board of directors in its sole discretion, whether in connection with acquisitions or otherwise. In addition, 110,262,856 common shares are currently reserved for issuance under the 2021 Incentive Equity Plan, including 40,000,000 shares added to the plan pursuant to the shareholder’s approval obtained at the special meeting of the Company’s shareholders held on August 28, 2025 and 13,628,338 shares added to the plan in January 2025 pursuant to the plan’s evergreen provision, of which 11,690,432 common shares are available for future issuance, and 14,395,117 common shares are reserved for issuance under our 2021 Employee Stock Purchase Plan (the “ESPP”), including 3,407,085 shares added to the plan in January 2025, pursuant to the plan’s evergreen provision, of which 14,016,582 common shares are available for future purchase, in each case, subject to adjustment in certain events. In addition, up to 121,343,181 Common Shares, subject to adjustment in certain events, may be issued to the holders of special shares and holders of options exercisable for special shares upon conversion of special shares if certain common share price thresholds are met (“Special Shares”). Any common shares issued upon exercise of warrants, upon conversion of the Special Shares or under the 2018 Plan, 2021 Incentive Equity Plan, the ESPP or other equity incentive plans that we may adopt in the future, would dilute the percentage ownership held by you.</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issuance of additional common shares or other equity securities of equal or senior rank would have the following effects:</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shareholders’ proportionate ownership interest in us will decrease;</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cash available per share, including for payment of dividends in the future, may decrease;</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voting strength of each previously outstanding common share may be diminished; and</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shares may decline.</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addition, sales of substantial amounts of our common shares in the public market, or the perception that such sales will occur, could adversely affect the market price of our common shares.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our outstanding warrants are exercised, the number of shares eligible for future resale in the public market will increase and result in dilution to our shareholders. You will likely experience further dilution if we issue common shares in future financing transactions.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Public Warrants to purchase 15,000,000 common shares and Private Warrants to purchase 9,500,000 common shares at an exercise price of $11.50 per share outstanding. In addition, there are Class A Warrants outstanding to purchase 4,317,500 common shares at an exercise price of $2.00 per share, Class B Warrants outstanding to purchase 15,000 common shares at an exercise price of $2.00 per share, Class C Warrants outstanding to purchase 10,003,333 common shares at an exercise price of $4.50 per share, warrants outstanding to purchase 6,868,181 common shares at an exercise price of $7.00 per share issued to Korea Zinc in connection with the Korea Zinc Securities Purchase Agreement, warrants outstanding to purchase 9,146,268 common shares at an exercise price of $4.72 per share issued to the Government of the Republic of Nauru in connection with the Nauru Sponsorship Agreement, and warrants outstanding to purchase 1,000,000 common shares at an exercise price of $5.87 per share issued to The Kingdom of Tonga in connection with the Tonga Sponsorship Agreement. In certain circumstances, the Public Warrants, Private Warrants, Class A Warrants, Class B Warrants and Class C Warrants may be exercised on a cashless basis and the proceeds from the exercise of such warrants will decrease.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the Public Warrants, Private Warrants, Class A Warrants, Class B Warrants, Class C Warrants, Korea Zinc Warrants, Nauru Warrants, and Tonga Warrants will be in the money, and they may expire worthless.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exercise price for the outstanding Public Warrants and Private Warrants is $11.50 per common share. There can be no assurance that such warrants will be in the money prior to their expiration in September 2026, and as such, such warrants may expire worthless. Since the closing of the Business Combination through March 26, 2026, the price of our common shares has ranged from a high of $11.35 to a low of $0.55 and as of March 27, 2026, the closing price of our Common Shares was $4.27. Based on the current trading price of our common shares we do not expect to receive any proceeds from exercise of the Public Warrants and Private Warrants unless there is a significant increase in the price of our common shares before the expiration of these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currently outstanding an aggregate of 55,850,282 warrants to acquire our common shares with exercise prices ranging from $2.00 to $11.50 per share. All of our warrants are currently exercisable for one common share in accordance with their terms. Therefore, as of December 31, 2025, if we assume that each outstanding whole warrant is exercised for cash (opposed to on a cashless exercise basis) and one common share is issued as a result of such exercise, our fully-diluted share capital would increase by a total of 55,850,282 shares, with approximately $432.5 million paid to us to exercise the warrants. Furthermore, even if the warrants are in the money following the time they become exercisable, the holders of the warrants are not obligated to exercise their warrants, and we cannot predict whether holders of the warrants will choose to exercise all or any of their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involved in litigation that may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and the appeal was heard by the Court on November 8, 2024. In December 2024, the NY Appellate Division issued a ruling upholding the lower court’s ruling, moving the case into the discovery phase, which is currently ongoing. At this time no further court proceedings or trial date have been set.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16, 2026, American Metal Inc. and American Metal Resources LLC filed a civil claim against TMC The Metals Company Inc. and The Metals Company USA LLC in the Supreme Court of British Columbia, Vancouver Registry, captioned American Metal Inc. and American Metal Resources LLC v. TMC The Metals Company Inc. and The Metals Company USA LLC, No. S260335. The complaint alleges, among other things, breach of contract, breach of confidence and related claims arising from discussions between the parties regarding potential collaboration and the submission of applications for deep seabed mineral exploration licenses to the United States National Oceanic and Atmospheric Administration. On March 3, 2026, we filed a response denying the material allegations and asserting a counterclaim against Robert Heydon and the plaintiffs alleging, among other things, breach of contract, breach of confidence and breach of fiduciary duty in connection with the alleged misuse of the Company’s confidential information. The litigation is in its early stages and no trial date has been set. We intend to vigorously defend against the claims and pursue our counterclaim. At this time, we are unable to estimate the potential loss, if any, associated with this matter.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incur debt in the future, and our ability to satisfy our obligations thereunder remains subject to a variety of factors, many of which are not within our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seek to incur debt in the future to fund our exploration, development and operational programs, including under our credit facility with ERAS Capital LLC and Gerard Barron, which could reduce our financial flexibility and could have a material adverse effect on our business, financial condition or results of operation.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 active trading market for our common shares and warrants may not be sustained, which would adversely affect the liquidity and price of our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we will be able to comply with the continued listing standards of Nasdaq.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common shares and Public Warrants are traded on Nasdaq under the symbols “TMC” and “TMCWW,” respectively. If in the future Nasdaq delists our common shares from trading on its exchange for failure to meet the listing standards, we and our securityholders could face significant material adverse consequences including:</w:t>
      </w:r>
    </w:p>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common shares are “penny stock” which will require brokers trading in our common shares to adhere to more stringent rules and possibly result in a reduced level of trading activity in the secondary trading market for our securities;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closing bid price of our common shares has been below the Nasdaq’s minimum $1.00 per share for extended periods of time in 2022, 2023 and 2024. As a result, we received written notices from the Nasdaq in 2022, 2023 and 2024 notifying us that the closing bid price of the common shares over 30 consecutive trading days had fallen below the minimum $1.00 per share. Although we regained compliance with the Nasdaq’s minimum closing bid price on each occurrence, we may not be able to continue to meet this Nasdaq listing requirement. If the closing bid price of our common shares falls below $1.00 per share for another consecutive 30 trading days, we expect to receive another notification from the Nasdaq to that effect. If this were to happen,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implement and maintain effective internal controls over financial reporting, investors may lose confidence in the accuracy and completeness of our financial reports and we may face litigation.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 company, we are required to implement and maintain internal controls over financial reporting and to report any material weaknesses in such internal controls. There is no guarantee we will maintain effective internal controls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during the evaluation and testing process, we identify one or more material weaknesses in the design or effectiveness of our internal control over financial reporting or determine that existing material weaknesses have not been remediated,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valuation of our common shares could be adversely affected. In addition, any misstatement in our financial information caused by a material weakness could lead to shareholder litigation that could case a material adverse effect on our business or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example, as previously disclosed, management identified a material weakness in the operating effectiveness of our internal control over the accounting for significant, non-routine transactions that resulted from the inadequate and untimely involvement of stakeholders and technical advisors with an appropriate level of expertise to account for significant, non-routine transactions. Although we believe we have remediated this material weakness and we will continue to review the effectiveness of our newly implemented controls and make improvements as warranted, there is no assurance, however, that these control modifications will ultimately have the intended effects. In addition, a shareholder filed a putative class action lawsuit against us and certain of our executives following our announcement of this material weakness and the associated restatements to our previously issued financial statements. This lawsuit has since been dismissed. We can provide no assurance that additional litigation or disputes will not arise in the future as a result of this or other material weaknesses or restatements. Any such litigation or dispute, whether successful or not, could have a material adverse effect on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of our securities may be volatile, which could cause the value of your investment to decline.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regional conflicts, geopolitical events and natural disasters),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redeem unexpired warrants prior to their exercise at a time that is disadvantageous, thereby making the warrants worthless.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the ability to redeem outstanding Public Warrants and Private Warrants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Our Class A Warrants have a similar call provision if the price of our common shares is over $6.50 per share (subject to adjustments) for 30 consecutive trading days at a price per warrant share of $0.0001. Our Class B Warrants have a similar call provision if the price of our common shares is over $5.00 per share (subject to adjustments) for 30 consecutive trading days at a price per warrant share of $0.0001. Our Class C Warrants have a similar call provision if the price of our common shares is over $7.00 per share (subject to adjustments) for 20 consecutive trading days at a price per warrant share of $0.0001. The Korea Zinc Warrants have a similar call provision if the price of our common shares is over $10.00 per share (subject to adjustments) for 20 consecutive trading days at a price per warrant share of $0.0001.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Reports published by analysts, including projections in those reports that differ from our actual results, could adversely affect the price and trading volume of our common shares.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As we are not a reporting issuer in Canada, our common shares and Special Shares may be subject to restrictions on resale in Canada.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Canadian Owners will be freely transferable by the Canadian Owners.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are exposed to risks vis-à-vis our multi-national operations, which could adversely affect our business.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including the recent outbreak of war in Iran, all of which could adversely affect us.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may be classified as a PFIC in any taxable year which could result in adverse U.S. federal income tax consequences to U.S. 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classified as a PFIC, such status may have adverse U.S. federal income tax consequences to U.S. Holders (as defined in the section titled “Material U.S. Federal Income Tax Considerations”). The rules governing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ended December 31, 2025. However, the application of the PFIC rules is subject to uncertainty in several respects, and we cannot assure you the U.S. Internal Revenue Service will not take a contrary position. Furthermore, where we are classified as a PFIC this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Times New Roman;Times;serif" w:hAnsi="Times New Roman;Times;serif"/>
          <w:i/>
          <w:sz w:val="20"/>
        </w:rPr>
        <w:t>Material U.S. Federal Income Tax Considerations — Passive Foreign Investment Company Rules</w:t>
      </w:r>
      <w:r>
        <w:rPr>
          <w:rFonts w:ascii="Times New Roman;Times;serif" w:hAnsi="Times New Roman;Times;serif"/>
          <w:sz w:val="20"/>
        </w:rPr>
        <w:t>” included in Exhibit 4.1 to this Annual Report for a more detailed discussion with respect to our PFIC status and the application of the PFIC rules. U.S. Holders of our common shares and Public Warrants are urged to consult their tax advisors regarding the application of the PFIC rules to them.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Canadian law and our Notice and Articles contain certain provisions, including anti-takeover provisions that limit the ability of shareholders to take certain actions and could delay or discourage takeover attempts that shareholders may consider favorable.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instance, our Notice of Articles and Articles contain provisions that establish certain advance notice procedures for nomination of candidates for election as directors at shareholders’ meetings.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Limitations on the ability to acquire and hold common shares may also be imposed by the </w:t>
      </w:r>
      <w:r>
        <w:rPr>
          <w:rFonts w:ascii="Times New Roman;Times;serif" w:hAnsi="Times New Roman;Times;serif"/>
          <w:i/>
          <w:sz w:val="20"/>
        </w:rPr>
        <w:t>Competition Act</w:t>
      </w:r>
      <w:r>
        <w:rPr>
          <w:rFonts w:ascii="Times New Roman;Times;serif" w:hAnsi="Times New Roman;Times;serif"/>
          <w:sz w:val="20"/>
        </w:rPr>
        <w:t> (Canada). This legislation permits the Commissioner of Competition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Times New Roman;Times;serif" w:hAnsi="Times New Roman;Times;serif"/>
          <w:i/>
          <w:sz w:val="20"/>
        </w:rPr>
        <w:t>Investment Canada</w:t>
      </w:r>
      <w:r>
        <w:rPr>
          <w:rFonts w:ascii="Times New Roman;Times;serif" w:hAnsi="Times New Roman;Times;serif"/>
          <w:sz w:val="20"/>
        </w:rPr>
        <w:t xml:space="preserve"> </w:t>
      </w:r>
      <w:r>
        <w:rPr>
          <w:rFonts w:ascii="Times New Roman;Times;serif" w:hAnsi="Times New Roman;Times;serif"/>
          <w:i/>
          <w:sz w:val="20"/>
        </w:rPr>
        <w:t>Act</w:t>
      </w:r>
      <w:r>
        <w:rPr>
          <w:rFonts w:ascii="Times New Roman;Times;serif" w:hAnsi="Times New Roman;Times;serif"/>
          <w:sz w:val="20"/>
        </w:rPr>
        <w:t> and obtain approval of the Minister prior to acquiring control of a “Canadian business” within the meaning of the </w:t>
      </w:r>
      <w:r>
        <w:rPr>
          <w:rFonts w:ascii="Times New Roman;Times;serif" w:hAnsi="Times New Roman;Times;serif"/>
          <w:i/>
          <w:sz w:val="20"/>
        </w:rPr>
        <w:t>Investment Canada</w:t>
      </w:r>
      <w:r>
        <w:rPr>
          <w:rFonts w:ascii="Times New Roman;Times;serif" w:hAnsi="Times New Roman;Times;serif"/>
          <w:sz w:val="20"/>
        </w:rPr>
        <w:t xml:space="preserve"> </w:t>
      </w:r>
      <w:r>
        <w:rPr>
          <w:rFonts w:ascii="Times New Roman;Times;serif" w:hAnsi="Times New Roman;Times;serif"/>
          <w:i/>
          <w:sz w:val="20"/>
        </w:rPr>
        <w:t>Act</w:t>
      </w:r>
      <w:r>
        <w:rPr>
          <w:rFonts w:ascii="Times New Roman;Times;serif" w:hAnsi="Times New Roman;Times;serif"/>
          <w:sz w:val="20"/>
        </w:rPr>
        <w:t>, where prescribed financial thresholds are exceeded.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Notice of Articles and Articles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Notice and Articles permit us to issue an unlimited number of common shares and preferred shares without seeking approval of the holders of our common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Notice of Articles and Articles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Notice of Articles and Articles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 company incorporated in British Columbia with some of our directors and officers residing outside of the U.S., it may be difficult for investors in the U.S. to enforce civil liabilities against us based solely upon the federal securities laws of the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pStyle w:val="TextBody"/>
        <w:bidi w:val="0"/>
        <w:spacing w:before="0" w:after="240"/>
        <w:ind w:left="0" w:right="0" w:hanging="0"/>
        <w:jc w:val="left"/>
        <w:rPr>
          <w:rFonts w:ascii="Times New Roman;Times;serif" w:hAnsi="Times New Roman;Times;serif"/>
          <w:b/>
          <w:sz w:val="20"/>
        </w:rPr>
      </w:pPr>
      <w:bookmarkStart w:id="43" w:name="Item1BUNRESOLVEDSTAFFCOMMENTS_447262"/>
      <w:bookmarkStart w:id="44" w:name="_c04e0cff_156f_47a5_847f_6e71cf7fa1f1"/>
      <w:bookmarkEnd w:id="43"/>
      <w:bookmarkEnd w:id="44"/>
      <w:r>
        <w:rPr>
          <w:rFonts w:ascii="Times New Roman;Times;serif" w:hAnsi="Times New Roman;Times;serif"/>
          <w:b/>
          <w:i w:val="false"/>
          <w:caps w:val="false"/>
          <w:smallCaps w:val="false"/>
          <w:sz w:val="20"/>
        </w:rPr>
        <w:t>Item 1B.</w:t>
      </w:r>
      <w:r>
        <w:rPr>
          <w:rFonts w:ascii="Times New Roman;Times;serif" w:hAnsi="Times New Roman;Times;serif"/>
          <w:b/>
          <w:sz w:val="20"/>
        </w:rPr>
        <w:t>UNRESOLVED STAFF COMMENTS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45" w:name="Item1CCYBERSECURITY_15178"/>
      <w:bookmarkStart w:id="46" w:name="_38c7ce24_7604_41c0_a9d7_33726fd50eb2"/>
      <w:bookmarkEnd w:id="45"/>
      <w:bookmarkEnd w:id="46"/>
      <w:r>
        <w:rPr>
          <w:rFonts w:ascii="Times New Roman;Times;serif" w:hAnsi="Times New Roman;Times;serif"/>
          <w:b/>
          <w:i w:val="false"/>
          <w:caps w:val="false"/>
          <w:smallCaps w:val="false"/>
          <w:sz w:val="20"/>
        </w:rPr>
        <w:t>Item 1C.</w:t>
      </w:r>
      <w:r>
        <w:rPr>
          <w:rFonts w:ascii="Times New Roman;Times;serif" w:hAnsi="Times New Roman;Times;serif"/>
          <w:b/>
          <w:sz w:val="20"/>
        </w:rPr>
        <w:t>CYBERSECURITY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recognize the critical importance of maintaining the trust and confidence of investors, business partners and employees toward our business and are committed to protecting the confidentiality, integrity and availability of our business operations and systems. Our board of directors is involved in oversight of our risk management activities, and cybersecurity represents an important element of our overall approach to risk management. Our cybersecurity policies, standards, processes and practices are based on recognized frameworks established by the National Institute of Standards and Technology (“NIST”) and the International Organization for Standardization (“ISO”).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Cybersecurity Risk Management and Strategy; Effect of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mitigate these risks, we have implemented technology solutions that are designed to recognize anomalous activity and behavior on systems used by our employees, alongside other technical safeguards including:</w:t>
      </w:r>
    </w:p>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 Application Firewalls (WAF)</w:t>
            </w:r>
          </w:p>
        </w:tc>
      </w:tr>
    </w:tbl>
    <w:tbl>
      <w:tblPr>
        <w:tblW w:w="2751" w:type="dxa"/>
        <w:jc w:val="left"/>
        <w:tblInd w:w="0" w:type="dxa"/>
        <w:tblLayout w:type="fixed"/>
        <w:tblCellMar>
          <w:top w:w="28" w:type="dxa"/>
          <w:left w:w="28" w:type="dxa"/>
          <w:bottom w:w="28" w:type="dxa"/>
          <w:right w:w="28" w:type="dxa"/>
        </w:tblCellMar>
      </w:tblPr>
      <w:tblGrid>
        <w:gridCol w:w="124"/>
        <w:gridCol w:w="256"/>
        <w:gridCol w:w="2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Intrusion detection systems</w:t>
            </w:r>
          </w:p>
        </w:tc>
      </w:tr>
    </w:tbl>
    <w:tbl>
      <w:tblPr>
        <w:tblW w:w="1296" w:type="dxa"/>
        <w:jc w:val="left"/>
        <w:tblInd w:w="0" w:type="dxa"/>
        <w:tblLayout w:type="fixed"/>
        <w:tblCellMar>
          <w:top w:w="28" w:type="dxa"/>
          <w:left w:w="28" w:type="dxa"/>
          <w:bottom w:w="28" w:type="dxa"/>
          <w:right w:w="28" w:type="dxa"/>
        </w:tblCellMar>
      </w:tblPr>
      <w:tblGrid>
        <w:gridCol w:w="124"/>
        <w:gridCol w:w="256"/>
        <w:gridCol w:w="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Antivirus</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Endpoint protection and response</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Event and Incident Management (SIEM)</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Identity and Access management (IAM)</w:t>
            </w:r>
          </w:p>
        </w:tc>
      </w:tr>
    </w:tbl>
    <w:tbl>
      <w:tblPr>
        <w:tblW w:w="2751" w:type="dxa"/>
        <w:jc w:val="left"/>
        <w:tblInd w:w="0" w:type="dxa"/>
        <w:tblLayout w:type="fixed"/>
        <w:tblCellMar>
          <w:top w:w="28" w:type="dxa"/>
          <w:left w:w="28" w:type="dxa"/>
          <w:bottom w:w="28" w:type="dxa"/>
          <w:right w:w="28" w:type="dxa"/>
        </w:tblCellMar>
      </w:tblPr>
      <w:tblGrid>
        <w:gridCol w:w="124"/>
        <w:gridCol w:w="256"/>
        <w:gridCol w:w="2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Multi-factor authentication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utilize a third-party consultancy to provide services including security audits, CISO, risk management and response strategies. This consultancy provides the Chief Technology Officer, who is responsible for leading our cyber security strategy, guidance on policy, standards and processes alongside managing the risk management process.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identify our cybersecurity threat risks by comparing our processes to standards set by the NIST and the ISO specifically basing our policies and procedures on ISO27001 guidelines.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provide for the availability of critical data and systems, maintain regulatory compliance, manage our material risks from cybersecurity threats, and protect against and respond to cybersecurity incidents, we undertake the following activities: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emerging data protection laws and implement changes to our processes that are designed to comply with such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policies, practices and contracts (as applicable), require employees, as well as third parties that provide services on our behalf, to treat confidential information and data with care;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regular, mandatory training for our employees and contractors regarding cybersecurity threats as a means to equip them with effective tools to address cybersecurity threats, and to communicate our evolving information security policies, standards, processes and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regular phishing email simulations for all employees and contractors with access to our email systems to enhance awareness and responsiveness to possible threats;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dark web scanning to determine any leaked credentials both corporate and personal for key employees.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the NIST incident handling framework and our MSPs to help us identify, protect, detect, respond and recover when there is an actual or potential cybersecurity incident;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information security risk insurance that provides protection against the potential losses arising from a cybersecurity incident; and</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part of the above processes, we regularly engage with consultants, auditors and other third parties, including annually having a third-party review our cybersecurity program to help identify areas for continued focus, improvement and compliance.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processes also address cybersecurity threat risks associated with our use of third-party service providers, including our suppliers and manufacturers or who have access to employee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are dependent upon information technology systems, which are subject to cyber threats, disruption, damage and failure” which disclosures are incorporated by reference herein.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the last three fiscal years, we have not experienced any material cybersecurity incidents and the expenses we have incurred from cybersecurity incidents were immaterial. This includes penalties and settlements, of which there were none.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Cybersecurity Governance; Management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Cybersecurity is an important part of our risk management processes and an area of focus for our management. The audit committee of our board of directors is responsible for the oversight of risks from cybersecurity threats, as part of our Enterprise Risk Management system. In the event of a cybersecurity incident that meets established reporting thresholds, our audit committee will receive prompt and timely information regarding such incident, as well as ongoing updates until it has been addressed.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cybersecurity risk management and strategy processes, which are discussed in greater detail above, are led by our Chief Technology Officer with guidance from external security consultant. Such individuals have collectively over 40 years of prior work experience in various roles involving managing information security, developing cybersecurity strategy, implementing effective information and cybersecurity programs, as well as relevant degrees and certifications.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7" w:name="Item2PROPERTIES_793586"/>
      <w:bookmarkStart w:id="48" w:name="_97cf8c20_5b3d_45d1_b605_47efe8e8a5b5"/>
      <w:bookmarkEnd w:id="47"/>
      <w:bookmarkEnd w:id="48"/>
      <w:r>
        <w:rPr>
          <w:rFonts w:ascii="Times New Roman;Times;serif" w:hAnsi="Times New Roman;Times;serif"/>
          <w:b/>
          <w:i w:val="false"/>
          <w:caps w:val="false"/>
          <w:smallCaps w:val="false"/>
          <w:sz w:val="20"/>
        </w:rPr>
        <w:t>Item 2.</w:t>
      </w:r>
      <w:r>
        <w:rPr>
          <w:rFonts w:ascii="Times New Roman;Times;serif" w:hAnsi="Times New Roman;Times;serif"/>
          <w:b/>
          <w:sz w:val="20"/>
        </w:rPr>
        <w:t>PROPERTIES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NORI Contract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that follows relating to the NORI Contract Area of the CCZ subject to the NORI Exploration Contract with the ISA is derived, for the most part, from, and in some instances is an extract from, NORI-D PFS and the TOML and NORI IA, both issued in August 2025 and prepared in compliance with the SEC Mining Rules. Portions of the following information are based on assumptions, qualifications and procedures which are not fully described herein. Reference should be made to the full text of the NORI-D PFS and the TOML and NORI IA, which are incorporated by reference as Exhibit 96.1 and Exhibit 96.2, respectively, to this Annual Report. Each of the Technical Reports are incorporated herein by reference and made a part hereof. In the event that we determine that any modifying factors, estimates and other scientific and technical information in either Technical Report materially change, we may update or file a new technical report in the future. NORI Area D is in the development stage and the other NORI contract areas are in the exploration stage.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Location of the NORI Area and access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NORI Contract Area is located within the CCZ of the northeast Pacific Ocean. The CCZ is located in international waters between Hawaii and Mexico. The western-end of the CCZ is approximately 1,000 kilometers south of the Hawaiian island group. From here, the CCZ extends almost 5,000 kilometers east-northeast, in an approximately 600 kilometers wide trend, with the eastern limits approximately 2,000 kilometers west of southern Mexico. The region is well-located to ship nodules to the American continent or across the Pacific to Asian markets. The NORI Contract Area comprises four separate blocks (A, B, C and D) in the CCZ with a combined area of 74,830 square kilometers.</w:t>
      </w:r>
    </w:p>
    <w:p>
      <w:pPr>
        <w:pStyle w:val="TextBody"/>
        <w:bidi w:val="0"/>
        <w:spacing w:before="0" w:after="240"/>
        <w:ind w:left="0" w:right="0" w:hanging="0"/>
        <w:jc w:val="both"/>
        <w:rPr/>
      </w:pPr>
      <w:r>
        <w:rPr/>
        <w:t>​</w:t>
      </w:r>
    </w:p>
    <w:p>
      <w:pPr>
        <w:pStyle w:val="TextBody"/>
        <w:bidi w:val="0"/>
        <w:spacing w:before="0" w:after="0"/>
        <w:ind w:left="0" w:right="0" w:hanging="0"/>
        <w:jc w:val="center"/>
        <w:rPr/>
      </w:pPr>
      <w:r>
        <w:rPr/>
        <w:drawing>
          <wp:inline distT="0" distB="0" distL="0" distR="0">
            <wp:extent cx="4928870" cy="3491865"/>
            <wp:effectExtent l="0" t="0" r="0" b="0"/>
            <wp:docPr id="5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1" descr=""/>
                    <pic:cNvPicPr>
                      <a:picLocks noChangeAspect="1" noChangeArrowheads="1"/>
                    </pic:cNvPicPr>
                  </pic:nvPicPr>
                  <pic:blipFill>
                    <a:blip r:embed="rId22"/>
                    <a:stretch>
                      <a:fillRect/>
                    </a:stretch>
                  </pic:blipFill>
                  <pic:spPr bwMode="auto">
                    <a:xfrm>
                      <a:off x="0" y="0"/>
                      <a:ext cx="4928870" cy="3491865"/>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NORI Contract Area extents</w:t>
      </w:r>
    </w:p>
    <w:p>
      <w:pPr>
        <w:pStyle w:val="TextBody"/>
        <w:bidi w:val="0"/>
        <w:spacing w:before="0" w:after="0"/>
        <w:ind w:left="0" w:right="0" w:hanging="0"/>
        <w:jc w:val="left"/>
        <w:rPr/>
      </w:pPr>
      <w:r>
        <w:rPr/>
        <w:t>​</w:t>
      </w:r>
    </w:p>
    <w:tbl>
      <w:tblPr>
        <w:tblW w:w="11149" w:type="dxa"/>
        <w:jc w:val="left"/>
        <w:tblInd w:w="0" w:type="dxa"/>
        <w:tblLayout w:type="fixed"/>
        <w:tblCellMar>
          <w:top w:w="0" w:type="dxa"/>
          <w:left w:w="0" w:type="dxa"/>
          <w:bottom w:w="0" w:type="dxa"/>
          <w:right w:w="0" w:type="dxa"/>
        </w:tblCellMar>
      </w:tblPr>
      <w:tblGrid>
        <w:gridCol w:w="481"/>
        <w:gridCol w:w="346"/>
        <w:gridCol w:w="796"/>
        <w:gridCol w:w="346"/>
        <w:gridCol w:w="886"/>
        <w:gridCol w:w="346"/>
        <w:gridCol w:w="946"/>
        <w:gridCol w:w="346"/>
        <w:gridCol w:w="946"/>
        <w:gridCol w:w="346"/>
        <w:gridCol w:w="886"/>
        <w:gridCol w:w="346"/>
        <w:gridCol w:w="886"/>
        <w:gridCol w:w="346"/>
        <w:gridCol w:w="841"/>
        <w:gridCol w:w="346"/>
        <w:gridCol w:w="841"/>
        <w:gridCol w:w="346"/>
        <w:gridCol w:w="526"/>
      </w:tblGrid>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Minimum </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Minimum </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Latitude</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Latitude </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Longitude </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Longitude </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UTM X</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UTM X</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UTM Y</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UTM Y</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UTM</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Area</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(DD)</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(DD)</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(DD)</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(DD)</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Zone</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11.5000</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13.00000</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(134.5830)</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(133.8330)</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545220.4</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627276.0</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1271339</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1437255</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13.5801</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14.00000</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(134.0000)</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(133.2000)</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607995.7</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694759.8</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1501590</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1548425</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14.93500</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(123.0000)</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(120.5000)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769458.3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1326941</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1652649</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9.8950</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11.08333</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(117.8167)</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(116.0667)</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410465.2</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602326.1</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1093913</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1225353</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w:t>
            </w:r>
          </w:p>
        </w:tc>
      </w:tr>
    </w:tbl>
    <w:p>
      <w:pPr>
        <w:pStyle w:val="TextBody"/>
        <w:bidi w:val="0"/>
        <w:spacing w:before="120" w:after="240"/>
        <w:ind w:left="0" w:right="0" w:hanging="0"/>
        <w:jc w:val="both"/>
        <w:rPr>
          <w:rFonts w:ascii="Times New Roman;Times;serif" w:hAnsi="Times New Roman;Times;serif"/>
          <w:sz w:val="20"/>
        </w:rPr>
      </w:pPr>
      <w:r>
        <w:rPr>
          <w:rFonts w:ascii="Times New Roman;Times;serif" w:hAnsi="Times New Roman;Times;serif"/>
          <w:sz w:val="20"/>
        </w:rPr>
        <w:t>DD — Decimal degrees, UTM — Universal Transverse Mercator map projection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Section 3 of the NORI-D PFS for further specific information of the location of the NORI Contract Area.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Tenements and permits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Business- Laws and Regulations-The NORI ISA Exploration Contract, Business- Laws and Regulations-The NORI Sponsorship Agreement and Business- Laws and Regulations- International Seabed Authority above for information related to tenements and permits in the NORI Contract Area.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NORI obligations and sponsorship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Business- Laws and Regulations-The NORI ISA Exploration Contract, Business- Laws and Regulations-The NORI Sponsorship Agreement above for information related to this agreement in the NORI Contract Area.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Royalties and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Business- Laws and Regulations-Royalties and Taxes above for information with respect to our obligations for royalties and taxes in the NORI Contract Area.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History of previous exploration activities in the NORI Contract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meters of water. Approximately 800 tonnes of nodules were recovered.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Using a different system to OMI, Ocean Mining Associates recovered approximately 500 tonnes of nodules during its trial collection in the 1970s.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Between 1969 and 1974, Deepsea Ventures Inc. carried out 16 survey cruises of three to four weeks’ duration each, to define the extent of the polymetallic nodule deposit discovered by them in 1969 in the CCZ. As reported by Deepsea Ventures Inc.:</w:t>
      </w:r>
    </w:p>
    <w:p>
      <w:pPr>
        <w:pStyle w:val="TextBody"/>
        <w:bidi w:val="0"/>
        <w:spacing w:before="0" w:after="240"/>
        <w:ind w:left="0" w:right="0" w:firstLine="360"/>
        <w:jc w:val="both"/>
        <w:rPr/>
      </w:pPr>
      <w:r>
        <w:rPr/>
        <w:t>“</w:t>
      </w:r>
      <w:r>
        <w:rPr>
          <w:rFonts w:ascii="Times New Roman;Times;serif" w:hAnsi="Times New Roman;Times;serif"/>
          <w:sz w:val="20"/>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Section 5 of the NORI-D PFS for further specific information of the history of previous exploration of the NORI Contract Area.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Geology and sampling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Seafloor polymetallic nodules occur in all oceans, but the CCZ hosts a relatively high abundance of high Ni and Cu grade nodules. The CCZ seafloor forms part of the Abyssal Plains, which are the largest physiographic province on Earth.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average depth of the seafloor in the Project Area is 3,800 to 4,200 meters. Overall, the seafloor slopes at approximately 0.57˚ (1 meter per kilometer) but the Abyssal Plains are traversed by ridges, with amplitude of 50 to 300 meters (maximum 1,000 meters) and wavelength of 1 to 10 kilometers. The Abyssal Plains are punctuated by extinct volcanoes rising 500 to 2,000 meters above the seafloor.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specific conditions of the CCZ (water depth, latitude, and seafloor sediment type) are considered to be the key controls for the formation of polymetallic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NORI-D PFS shows that nodule abundance variability is significantly higher than metal grades, suggesting that abundance estimation will be the key variable in mineral resource estimation.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completed offshore exploration campaigns in 2012, 2013, 2018, 2019, 2020, 2022, 2023 and 2024. During these campaigns a variety of data was collected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detailed seafloor survey work with an autonomous underwater vehicle (AUV), utilizing an MBES, Side Scan Sonar (SSS), Sub-Bottom Profiler (SBP), and camera payload;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252 box core samples collected using a 0.75 square meters box corer, mainly on a 10 kilometers by 10 kilometers square grid were used for resource evaluation;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36 box core samples were collected to better define resources ahead of the 2022 Test Mining and to evaluate mining nodule recovery; and</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in-situ cone penetrometer tests were completed ahead of and following the 2022 Test Mining.</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nodules in the box cores were collected, and their characteristics measured and recorded in detail. Samples of nodules were collected in duplicate and for initial campaigns assayed at two reputable, well-qualified laboratories: ALS and Bureau Veritas. Subsequently, samples were assayed at ALS, with every tenth samples checked by Bureau Veritas. Certified reference material, and blank samples were inserted to provide additional levels of quality control. No significant issues were identified with the assay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about the NORI exploration campaigns in 2012, 2013, 2018, 2019, 2020, 2022, 2023 and 2024 see Section 7 of the NORI-D PFS.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Mineral resource estimate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Mineral resources were estimated using a two-dimensional block model. Estimates of nodule abundance and nickel, manganese, cobalt, and copper grades were performed using kriging. A variety of methods were used to validate the estimates, including conditional simulation. The estimates of nodule abundance were used to calculate the tonnage of the mineral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measured mineral resource was assigned to the area within NORI Area D where box-core sampling was conducted on a nominal 7 kilometers by 7 kilometers spacing and infilled with estimates of nodule abundance from seafloor photography to a spacing of 3.5 kilometers by 3.5 kilometers.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indicated mineral resource was assigned to the area within NORI Area D where box-core sampling was conducted on a nominal spacing of 7 kilometers by 7 kilometers or 10 kilometers by 10 kilometers but without additional photo-estimates of nodule abundance.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mineral resource estimate for NORI Area D at a 4 kilogram/square meters abundance cut-off is set forth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Operating costs and production estimates for the calculation of an abundance cut-off were based on estimates developed for the second generation of collection systems described and assessed in the TOML and NORI IA rather than the collection system evaluated for the mineral reserves in the NORI-D PFS. This approach was chosen because the development scenario assessed in the TOML and NORI IA is a more likely timeframe in which the majority of the mineral resource in NORI Area D, not already converted to mineral reserve, would be developed. The qualified person considered that the abundance cut-off calculated this way for the Mineral Resources is consistent with reasonable prospects of economic extraction.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 assessment of the abundance cut-off (break-even) for the NORI Contract Area and the TOML Contract Area is shown as follows:</w:t>
      </w:r>
    </w:p>
    <w:p>
      <w:pPr>
        <w:pStyle w:val="TextBody"/>
        <w:bidi w:val="0"/>
        <w:spacing w:before="0" w:after="240"/>
        <w:ind w:left="0" w:right="0" w:hanging="0"/>
        <w:jc w:val="both"/>
        <w:rPr>
          <w:shd w:fill="FFFF00" w:val="clear"/>
        </w:rPr>
      </w:pPr>
      <w:r>
        <w:rPr>
          <w:shd w:fill="FFFF00" w:val="clear"/>
        </w:rPr>
        <w:t>​</w:t>
      </w:r>
    </w:p>
    <w:tbl>
      <w:tblPr>
        <w:tblW w:w="8878" w:type="dxa"/>
        <w:jc w:val="left"/>
        <w:tblInd w:w="0" w:type="dxa"/>
        <w:tblLayout w:type="fixed"/>
        <w:tblCellMar>
          <w:top w:w="0" w:type="dxa"/>
          <w:left w:w="0" w:type="dxa"/>
          <w:bottom w:w="0" w:type="dxa"/>
          <w:right w:w="0" w:type="dxa"/>
        </w:tblCellMar>
      </w:tblPr>
      <w:tblGrid>
        <w:gridCol w:w="856"/>
        <w:gridCol w:w="346"/>
        <w:gridCol w:w="1171"/>
        <w:gridCol w:w="346"/>
        <w:gridCol w:w="916"/>
        <w:gridCol w:w="346"/>
        <w:gridCol w:w="721"/>
        <w:gridCol w:w="346"/>
        <w:gridCol w:w="1171"/>
        <w:gridCol w:w="346"/>
        <w:gridCol w:w="916"/>
        <w:gridCol w:w="346"/>
        <w:gridCol w:w="1051"/>
      </w:tblGrid>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Nodule</w:t>
            </w:r>
          </w:p>
        </w:tc>
        <w:tc>
          <w:tcPr>
            <w:tcW w:w="346" w:type="dxa"/>
            <w:tcBorders/>
            <w:vAlign w:val="center"/>
          </w:tcPr>
          <w:p>
            <w:pPr>
              <w:pStyle w:val="TableContents"/>
              <w:bidi w:val="0"/>
              <w:spacing w:before="0" w:after="1"/>
              <w:ind w:left="0" w:right="0" w:hanging="0"/>
              <w:jc w:val="left"/>
              <w:rPr/>
            </w:pPr>
            <w:r>
              <w:rPr/>
              <w:t>  ​ ​ ​</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Breakeven</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 per</w:t>
            </w:r>
          </w:p>
        </w:tc>
      </w:tr>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Variable Opex</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Production</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Opex per hour</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Abundance</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hour</w:t>
            </w:r>
          </w:p>
        </w:tc>
      </w:tr>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($/wmt)</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w:t>
            </w:r>
            <w:r>
              <w:rPr>
                <w:rFonts w:ascii="Times New Roman;Times;serif" w:hAnsi="Times New Roman;Times;serif"/>
                <w:b/>
                <w:sz w:val="12"/>
              </w:rPr>
              <w:t>2</w:t>
            </w:r>
            <w:r>
              <w:rPr>
                <w:rFonts w:ascii="Times New Roman;Times;serif" w:hAnsi="Times New Roman;Times;serif"/>
                <w:b/>
                <w:sz w:val="16"/>
              </w:rPr>
              <w:t>/hr)</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($/wmt)</w:t>
            </w:r>
          </w:p>
        </w:tc>
        <w:tc>
          <w:tcPr>
            <w:tcW w:w="34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($/hr)</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(kg/m</w:t>
            </w:r>
            <w:r>
              <w:rPr>
                <w:rFonts w:ascii="Times New Roman;Times;serif" w:hAnsi="Times New Roman;Times;serif"/>
                <w:b/>
                <w:sz w:val="12"/>
              </w:rPr>
              <w:t>2</w:t>
            </w: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($/hr)</w:t>
            </w:r>
          </w:p>
        </w:tc>
      </w:tr>
      <w:tr>
        <w:trPr/>
        <w:tc>
          <w:tcPr>
            <w:tcW w:w="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Alloy</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33,660</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50,584</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50,584</w:t>
            </w:r>
          </w:p>
        </w:tc>
      </w:tr>
      <w:tr>
        <w:trPr/>
        <w:tc>
          <w:tcPr>
            <w:tcW w:w="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Matte</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33,660</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50,584</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50,584</w:t>
            </w:r>
          </w:p>
        </w:tc>
      </w:tr>
      <w:tr>
        <w:trPr/>
        <w:tc>
          <w:tcPr>
            <w:tcW w:w="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Sulphate</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33,660</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50,584</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50,584</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94.6% recovery of nickel to sulfate at an assumed price of nickel sulfate; 86.2% recovery of copper at an assumed price of $11,440/t copper metal; 77.2% recovery of cobalt sulfate at an assumed price of $55,198/t cobalt metal; and 98.9% recovery of manganese at an assumed price of $5.45/dmtu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estimated mineral resources in NORI Area D set forth below were determined on June 30, 2025, and also reflect the estimated mineral resources as of December 31, 2025, as none of the mineral resources in these areas were depleted by mining or any other activities and are reflected in the NORI-D PFS and the TOML and NORI IA. We do not believe there have been any other material changes to the estimated mineral resources since the initial 2025 determination thereof.</w:t>
      </w:r>
    </w:p>
    <w:p>
      <w:pPr>
        <w:pStyle w:val="TextBody"/>
        <w:bidi w:val="0"/>
        <w:spacing w:lineRule="auto" w:line="240" w:before="0" w:after="240"/>
        <w:ind w:left="0" w:right="0" w:hanging="0"/>
        <w:jc w:val="both"/>
        <w:rPr>
          <w:rFonts w:ascii="Times New Roman;Times;serif" w:hAnsi="Times New Roman;Times;serif"/>
          <w:b/>
          <w:sz w:val="20"/>
        </w:rPr>
      </w:pPr>
      <w:r>
        <w:rPr>
          <w:rFonts w:ascii="Times New Roman;Times;serif" w:hAnsi="Times New Roman;Times;serif"/>
          <w:b/>
          <w:sz w:val="20"/>
        </w:rPr>
        <w:t>NORI Area D December 31, 2025 In-Situ Mineral Resource estimate, exclusive of Mineral Reserves, at 4 kg/m</w:t>
      </w:r>
      <w:r>
        <w:rPr>
          <w:rFonts w:ascii="Times New Roman;Times;serif" w:hAnsi="Times New Roman;Times;serif"/>
          <w:b/>
          <w:sz w:val="15"/>
        </w:rPr>
        <w:t>2</w:t>
      </w:r>
      <w:r>
        <w:rPr>
          <w:rFonts w:ascii="Times New Roman;Times;serif" w:hAnsi="Times New Roman;Times;serif"/>
          <w:b/>
          <w:sz w:val="20"/>
        </w:rPr>
        <w:t xml:space="preserve"> abundance cut-off</w:t>
      </w:r>
    </w:p>
    <w:tbl>
      <w:tblPr>
        <w:tblW w:w="10205" w:type="dxa"/>
        <w:jc w:val="left"/>
        <w:tblInd w:w="0" w:type="dxa"/>
        <w:tblLayout w:type="fixed"/>
        <w:tblCellMar>
          <w:top w:w="0" w:type="dxa"/>
          <w:left w:w="0" w:type="dxa"/>
          <w:bottom w:w="0" w:type="dxa"/>
          <w:right w:w="0" w:type="dxa"/>
        </w:tblCellMar>
      </w:tblPr>
      <w:tblGrid>
        <w:gridCol w:w="817"/>
        <w:gridCol w:w="346"/>
        <w:gridCol w:w="1563"/>
        <w:gridCol w:w="346"/>
        <w:gridCol w:w="770"/>
        <w:gridCol w:w="346"/>
        <w:gridCol w:w="935"/>
        <w:gridCol w:w="346"/>
        <w:gridCol w:w="556"/>
        <w:gridCol w:w="346"/>
        <w:gridCol w:w="646"/>
        <w:gridCol w:w="346"/>
        <w:gridCol w:w="601"/>
        <w:gridCol w:w="346"/>
        <w:gridCol w:w="916"/>
        <w:gridCol w:w="346"/>
        <w:gridCol w:w="633"/>
      </w:tblGrid>
      <w:tr>
        <w:trPr/>
        <w:tc>
          <w:tcPr>
            <w:tcW w:w="8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left"/>
              <w:rPr/>
            </w:pPr>
            <w:r>
              <w:rPr/>
              <w:t>​</w:t>
            </w:r>
          </w:p>
        </w:tc>
      </w:tr>
      <w:tr>
        <w:trPr/>
        <w:tc>
          <w:tcPr>
            <w:tcW w:w="8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6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Tonnes</w:t>
            </w:r>
          </w:p>
        </w:tc>
        <w:tc>
          <w:tcPr>
            <w:tcW w:w="34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Abundance</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Nickel</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Copper</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Cobalt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Manganese</w:t>
            </w:r>
          </w:p>
        </w:tc>
        <w:tc>
          <w:tcPr>
            <w:tcW w:w="346"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Silicon</w:t>
            </w:r>
          </w:p>
        </w:tc>
      </w:tr>
      <w:tr>
        <w:trPr/>
        <w:tc>
          <w:tcPr>
            <w:tcW w:w="8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NORI Area</w:t>
            </w:r>
          </w:p>
        </w:tc>
        <w:tc>
          <w:tcPr>
            <w:tcW w:w="346" w:type="dxa"/>
            <w:tcBorders/>
            <w:vAlign w:val="center"/>
          </w:tcPr>
          <w:p>
            <w:pPr>
              <w:pStyle w:val="TableContents"/>
              <w:bidi w:val="0"/>
              <w:spacing w:before="0" w:after="0"/>
              <w:ind w:left="0" w:right="0" w:hanging="0"/>
              <w:jc w:val="left"/>
              <w:rPr/>
            </w:pPr>
            <w:r>
              <w:rPr/>
              <w:t>  ​ ​ ​</w:t>
            </w:r>
          </w:p>
        </w:tc>
        <w:tc>
          <w:tcPr>
            <w:tcW w:w="15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left"/>
              <w:rPr/>
            </w:pPr>
            <w:r>
              <w:rPr/>
              <w:t>  ​ ​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(Mt (wet))</w:t>
            </w:r>
          </w:p>
        </w:tc>
        <w:tc>
          <w:tcPr>
            <w:tcW w:w="346" w:type="dxa"/>
            <w:tcBorders/>
            <w:vAlign w:val="center"/>
          </w:tcPr>
          <w:p>
            <w:pPr>
              <w:pStyle w:val="TableContents"/>
              <w:bidi w:val="0"/>
              <w:spacing w:before="0" w:after="0"/>
              <w:ind w:left="0" w:right="0" w:hanging="0"/>
              <w:jc w:val="left"/>
              <w:rPr/>
            </w:pPr>
            <w:r>
              <w:rPr/>
              <w:t>  ​ ​ ​</w:t>
            </w:r>
          </w:p>
        </w:tc>
        <w:tc>
          <w:tcPr>
            <w:tcW w:w="935"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(wet kg/m</w:t>
            </w:r>
            <w:r>
              <w:rPr>
                <w:rFonts w:ascii="Times New Roman;Times;serif" w:hAnsi="Times New Roman;Times;serif"/>
                <w:b/>
                <w:sz w:val="12"/>
              </w:rPr>
              <w:t>2</w:t>
            </w: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8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346" w:type="dxa"/>
            <w:tcBorders/>
            <w:shd w:fill="CCEEFF" w:val="clear"/>
            <w:vAlign w:val="center"/>
          </w:tcPr>
          <w:p>
            <w:pPr>
              <w:pStyle w:val="TableContents"/>
              <w:bidi w:val="0"/>
              <w:spacing w:before="0" w:after="0"/>
              <w:ind w:left="0" w:right="0" w:hanging="0"/>
              <w:jc w:val="left"/>
              <w:rPr/>
            </w:pPr>
            <w:r>
              <w:rPr/>
              <w:t> </w:t>
            </w:r>
          </w:p>
        </w:tc>
        <w:tc>
          <w:tcPr>
            <w:tcW w:w="15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Measured</w:t>
            </w:r>
          </w:p>
        </w:tc>
        <w:tc>
          <w:tcPr>
            <w:tcW w:w="346" w:type="dxa"/>
            <w:tcBorders/>
            <w:shd w:fill="CCEEFF" w:val="clear"/>
            <w:vAlign w:val="center"/>
          </w:tcPr>
          <w:p>
            <w:pPr>
              <w:pStyle w:val="TableContents"/>
              <w:bidi w:val="0"/>
              <w:spacing w:before="0" w:after="0"/>
              <w:ind w:left="0" w:right="0" w:hanging="0"/>
              <w:jc w:val="lef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 </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8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346" w:type="dxa"/>
            <w:tcBorders/>
            <w:vAlign w:val="center"/>
          </w:tcPr>
          <w:p>
            <w:pPr>
              <w:pStyle w:val="TableContents"/>
              <w:bidi w:val="0"/>
              <w:spacing w:before="0" w:after="0"/>
              <w:ind w:left="0" w:right="0" w:hanging="0"/>
              <w:jc w:val="left"/>
              <w:rPr/>
            </w:pPr>
            <w:r>
              <w:rPr/>
              <w:t> </w:t>
            </w:r>
          </w:p>
        </w:tc>
        <w:tc>
          <w:tcPr>
            <w:tcW w:w="156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Indicated</w:t>
            </w:r>
          </w:p>
        </w:tc>
        <w:tc>
          <w:tcPr>
            <w:tcW w:w="346"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346" w:type="dxa"/>
            <w:tcBorders/>
            <w:shd w:fill="CCEEFF" w:val="clear"/>
            <w:vAlign w:val="center"/>
          </w:tcPr>
          <w:p>
            <w:pPr>
              <w:pStyle w:val="TableContents"/>
              <w:bidi w:val="0"/>
              <w:spacing w:before="0" w:after="0"/>
              <w:ind w:left="0" w:right="0" w:hanging="0"/>
              <w:jc w:val="left"/>
              <w:rPr/>
            </w:pPr>
            <w:r>
              <w:rPr/>
              <w:t> </w:t>
            </w:r>
          </w:p>
        </w:tc>
        <w:tc>
          <w:tcPr>
            <w:tcW w:w="15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Measured + Indicated</w:t>
            </w:r>
          </w:p>
        </w:tc>
        <w:tc>
          <w:tcPr>
            <w:tcW w:w="346" w:type="dxa"/>
            <w:tcBorders/>
            <w:shd w:fill="CCEEFF" w:val="clear"/>
            <w:vAlign w:val="center"/>
          </w:tcPr>
          <w:p>
            <w:pPr>
              <w:pStyle w:val="TableContents"/>
              <w:bidi w:val="0"/>
              <w:spacing w:before="0" w:after="0"/>
              <w:ind w:left="0" w:right="0" w:hanging="0"/>
              <w:jc w:val="lef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 </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r>
      <w:tr>
        <w:trPr/>
        <w:tc>
          <w:tcPr>
            <w:tcW w:w="8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346" w:type="dxa"/>
            <w:tcBorders/>
            <w:vAlign w:val="center"/>
          </w:tcPr>
          <w:p>
            <w:pPr>
              <w:pStyle w:val="TableContents"/>
              <w:bidi w:val="0"/>
              <w:spacing w:before="0" w:after="0"/>
              <w:ind w:left="0" w:right="0" w:hanging="0"/>
              <w:jc w:val="left"/>
              <w:rPr/>
            </w:pPr>
            <w:r>
              <w:rPr/>
              <w:t> </w:t>
            </w:r>
          </w:p>
        </w:tc>
        <w:tc>
          <w:tcPr>
            <w:tcW w:w="156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Inferred</w:t>
            </w:r>
          </w:p>
        </w:tc>
        <w:tc>
          <w:tcPr>
            <w:tcW w:w="346"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5.46</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pStyle w:val="TextBody"/>
        <w:bidi w:val="0"/>
        <w:spacing w:before="0" w:after="0"/>
        <w:ind w:left="0" w:right="0" w:hanging="0"/>
        <w:jc w:val="left"/>
        <w:rPr/>
      </w:pPr>
      <w:r>
        <w:rPr/>
        <w:t>​</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Due to the extremely low variance in the grades and the high metal content of the nodules, a cut-off based on abundance is appropriate for determining the limits of economic exploitation. A cut-off of 4 kg/m</w:t>
      </w:r>
      <w:r>
        <w:rPr>
          <w:rFonts w:ascii="Times New Roman;Times;serif" w:hAnsi="Times New Roman;Times;serif"/>
          <w:sz w:val="15"/>
        </w:rPr>
        <w:t>2</w:t>
      </w:r>
      <w:r>
        <w:rPr>
          <w:rFonts w:ascii="Times New Roman;Times;serif" w:hAnsi="Times New Roman;Times;serif"/>
          <w:sz w:val="20"/>
        </w:rPr>
        <w:t xml:space="preserve"> abundance was chosen for the NORI Contract Area, based on the estimates of costs and revenues presented in the initial assessment contained in the NORI-D PFS. The metal prices assumed in the calculation of the cut-off were: nickel sulfate $21,633/t; copper metal $11,440/t; cobalt sulfate $55,198/t; cobalt in manganese silicate $5.45/dmtu. The price estimates are long term (2034 – 2046) forecasts provided in a report by CRU International Limited and Benchmark Minerals, as documented in the Pre-Feasibility Study for NORI-D PFS. The qualified Person considered that this timeframe is reasonable in view of the likely time required to bring the majority of the NORI mineral resources into production.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Sampling of NORI Area D at a spacing of 10 kilometers by 10 kilometers during the 2019 campaign confirmed that the nodules have low variability and high continuity. The mineral resource estimate set forth above is 4 Mt measured and 261 Mt indicated, and 10 Mt inferred mineral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the NORI-D PFS focuses primarily on the exploration operations in NORI Area D, the TOML and NORI IA focuses on the exploration operations in NORI Areas A, B and C. The polymetallic nodule mineralization in NORI Areas A, B and C has similar characteristics to NORI Area D and it is reasonable to assume that the technology proposed in the NORI-D PFS would be suitable for development of these additional areas.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estimated mineral resources in NORI Areas A, B and C set forth below were determined on June 30, 2025, and also reflect the estimated mineral resources as of December 31, 2025, as none of the mineral resources in these areas were depleted by mining or any other activities and are reflected in the NORI-D PFS and the TOML and NORI IA. We do not believe there have been any other material changes to the estimated mineral resources since the initial 2025 determination thereof.</w:t>
      </w:r>
    </w:p>
    <w:p>
      <w:pPr>
        <w:pStyle w:val="TextBody"/>
        <w:bidi w:val="0"/>
        <w:spacing w:lineRule="auto" w:line="240" w:before="0" w:after="240"/>
        <w:ind w:left="0" w:right="0" w:hanging="0"/>
        <w:jc w:val="both"/>
        <w:rPr>
          <w:rFonts w:ascii="Times New Roman;Times;serif" w:hAnsi="Times New Roman;Times;serif"/>
          <w:b/>
          <w:sz w:val="20"/>
        </w:rPr>
      </w:pPr>
      <w:r>
        <w:rPr>
          <w:rFonts w:ascii="Times New Roman;Times;serif" w:hAnsi="Times New Roman;Times;serif"/>
          <w:b/>
          <w:sz w:val="20"/>
        </w:rPr>
        <w:t>NORI Area A, B and C December 31, 2025 In-Situ Mineral Resource estimate at 4 kg/m</w:t>
      </w:r>
      <w:r>
        <w:rPr>
          <w:rFonts w:ascii="Times New Roman;Times;serif" w:hAnsi="Times New Roman;Times;serif"/>
          <w:b/>
          <w:sz w:val="15"/>
        </w:rPr>
        <w:t>2</w:t>
      </w:r>
      <w:r>
        <w:rPr>
          <w:rFonts w:ascii="Times New Roman;Times;serif" w:hAnsi="Times New Roman;Times;serif"/>
          <w:b/>
          <w:sz w:val="20"/>
        </w:rPr>
        <w:t xml:space="preserve"> abundance cut-off</w:t>
      </w:r>
    </w:p>
    <w:tbl>
      <w:tblPr>
        <w:tblW w:w="8340" w:type="dxa"/>
        <w:jc w:val="left"/>
        <w:tblInd w:w="0" w:type="dxa"/>
        <w:tblLayout w:type="fixed"/>
        <w:tblCellMar>
          <w:top w:w="0" w:type="dxa"/>
          <w:left w:w="0" w:type="dxa"/>
          <w:bottom w:w="0" w:type="dxa"/>
          <w:right w:w="0" w:type="dxa"/>
        </w:tblCellMar>
      </w:tblPr>
      <w:tblGrid>
        <w:gridCol w:w="961"/>
        <w:gridCol w:w="346"/>
        <w:gridCol w:w="796"/>
        <w:gridCol w:w="346"/>
        <w:gridCol w:w="1246"/>
        <w:gridCol w:w="346"/>
        <w:gridCol w:w="946"/>
        <w:gridCol w:w="346"/>
        <w:gridCol w:w="466"/>
        <w:gridCol w:w="346"/>
        <w:gridCol w:w="466"/>
        <w:gridCol w:w="346"/>
        <w:gridCol w:w="466"/>
        <w:gridCol w:w="346"/>
        <w:gridCol w:w="571"/>
      </w:tblGrid>
      <w:tr>
        <w:trPr/>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Nodule tonnage</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Abundance</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Mn</w:t>
            </w:r>
          </w:p>
        </w:tc>
      </w:tr>
      <w:tr>
        <w:trPr/>
        <w:tc>
          <w:tcPr>
            <w:tcW w:w="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NORI Area</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left"/>
              <w:rPr/>
            </w:pPr>
            <w:r>
              <w:rPr/>
              <w:t>  ​ ​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(Mt (wet))</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(wet kg/m</w:t>
            </w:r>
            <w:r>
              <w:rPr>
                <w:rFonts w:ascii="Times New Roman;Times;serif" w:hAnsi="Times New Roman;Times;serif"/>
                <w:b/>
                <w:sz w:val="12"/>
              </w:rPr>
              <w:t>2</w:t>
            </w: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Inferred</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Inferred</w:t>
            </w:r>
          </w:p>
        </w:tc>
        <w:tc>
          <w:tcPr>
            <w:tcW w:w="3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Inferred</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28.3</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Information concerning our mineral properties in the Pre-Feasibility Study for NORI-D PFS, the TOML and NORI IA and in this Annual Report includes information that has been prepared in accordance with the requirements of the SEC Mining Rules.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“pre-feasibility study,” “feasibility study,” “initial assessment,” “mineral reserve,” “probable mineral reserve,” proven mineral reserve,” “mineral resource,” “measured mineral resource,” “indicated mineral resource” and “inferred mineral resource” are defined and used in accordance with the SEC Mining Rules. </w:t>
      </w:r>
      <w:r>
        <w:rPr>
          <w:rFonts w:ascii="Times New Roman;Times;serif" w:hAnsi="Times New Roman;Times;serif"/>
          <w:b/>
          <w:sz w:val="20"/>
        </w:rPr>
        <w:t>You are specifically cautioned not to assume that any part or all of the mineral deposits in these categories will ever be converted into mineral reserves, as defined by the SEC.</w:t>
      </w:r>
    </w:p>
    <w:p>
      <w:pPr>
        <w:pStyle w:val="TextBody"/>
        <w:bidi w:val="0"/>
        <w:spacing w:before="0" w:after="240"/>
        <w:ind w:left="0" w:right="0" w:firstLine="360"/>
        <w:jc w:val="both"/>
        <w:rPr>
          <w:rFonts w:ascii="Times New Roman;Times;serif" w:hAnsi="Times New Roman;Times;serif"/>
          <w:sz w:val="18"/>
        </w:rPr>
      </w:pPr>
      <w:r>
        <w:rPr>
          <w:rFonts w:ascii="Times New Roman;Times;serif" w:hAnsi="Times New Roman;Times;serif"/>
          <w:sz w:val="18"/>
        </w:rPr>
        <w:t>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Approximately 97% of the NORI Area D mineral resource and approximately 7% of the NORI Areas A, B and C resource are defined in the measured and indicated categories. </w:t>
      </w:r>
      <w:r>
        <w:rPr>
          <w:rFonts w:ascii="Times New Roman;Times;serif" w:hAnsi="Times New Roman;Times;serif"/>
          <w:b/>
          <w:sz w:val="20"/>
        </w:rPr>
        <w:t>Therefore, you are cautioned not to assume that all or 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Mineral reserve estimate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establishment of the mineral resources discussed above, on August 4 2025, we reported mineral reserves for NORI Area D, a polymetallic nodule project.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mineral reserve estimate is based on a mine plan developed from results observed during the test mining, extensive test work and analysis undertaken by us and Allseas. Numerous workshops were conducted with us, Allseas and technical specialists to develop the nodule collection strategy on which the mine plan is based. Testwork and analysis by marine specialists we engaged included seafloor geotechnical data collection and analysis, analysis of seafloor surveys, plume modelling of disturbed sediments and geological data to identify and characterise the seafloor areas suitable for nodule collection. Testwork undertaken by Allseas while developing the nodule collection system included nodule collection simulation trials, and testwork specific to identifying the design and operating parameters for each of the various components of the system, and the test mining, using a 40% width scale prototype collector.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Although the mine plan covered the whole of the NORI Area D, initial mining for the first eight years was confined to a subset of NORI Area D in the southwest of the lease, referred to as the Initial Mining Area in the NORI-D PFS. This area is close to the test mining area and so confidence in the modifying factors is sufficient to define Mineral Reserves. It was also largely devoid of steep (&gt;4 ) terrain and so was considered the most suitable area for initial collection operations. The collector runs for the initial two years were generated to be as long as possible to allow for initial operations to be as simple as possible while operating procedures are refined.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Key inputs used to estimate the mineral reserve are the mineral resource model developed by AMC Consulting Pty Ltd, the nodule collection system specifications we provided to Allseas (including production capability and ability to collect on slopes up to 4°), collector dimensions and capabilities provided by Allseas, geotechnical data reports and specific location analysis by APYS Subsea Ltd (APYS), analysis and modelling by Allseas to determine seafloor trafficability, geological analysis by Marine Geoscience Innovation (MARGIN) to determine areas where nodules could be collected (geo-obstacle probability model), and the parameters developed by AMC from the work of all of the above. Key physical parameters used by AMC to estimate the Mineral Reserve included collector recovery, geo-obstacle probability, gap left between collection paths to ensure collector efficiency, and metallurgical recoveries for each of the proposed products. An economic model of production, product prices, payabilities, revenue, and operating and capital costs developed by TMC was used to assess economic viability.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estimated mineral reserves in NORI Area D set forth below were determined on June 30, 2025, and also reflect the estimated mineral reserves as of December 31, 2025, as none of the mineral reserves in this area were depleted by mining or any other activities. We do not believe there have been any other material changes to the estimated mineral resources since the initial 2025 determination thereof.</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NORI Area D December 31, 2025 Mineral Reserve:</w:t>
      </w:r>
    </w:p>
    <w:tbl>
      <w:tblPr>
        <w:tblW w:w="5231" w:type="dxa"/>
        <w:jc w:val="left"/>
        <w:tblInd w:w="0" w:type="dxa"/>
        <w:tblLayout w:type="fixed"/>
        <w:tblCellMar>
          <w:top w:w="0" w:type="dxa"/>
          <w:left w:w="0" w:type="dxa"/>
          <w:bottom w:w="0" w:type="dxa"/>
          <w:right w:w="0" w:type="dxa"/>
        </w:tblCellMar>
      </w:tblPr>
      <w:tblGrid>
        <w:gridCol w:w="1096"/>
        <w:gridCol w:w="346"/>
        <w:gridCol w:w="691"/>
        <w:gridCol w:w="346"/>
        <w:gridCol w:w="466"/>
        <w:gridCol w:w="346"/>
        <w:gridCol w:w="391"/>
        <w:gridCol w:w="346"/>
        <w:gridCol w:w="391"/>
        <w:gridCol w:w="346"/>
        <w:gridCol w:w="466"/>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5960" cy="175260"/>
                      <wp:effectExtent l="0" t="0" r="0" b="0"/>
                      <wp:wrapNone/>
                      <wp:docPr id="52" name="Frame3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38785" cy="175260"/>
                      <wp:effectExtent l="0" t="0" r="0" b="0"/>
                      <wp:wrapNone/>
                      <wp:docPr id="54"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95910" cy="175260"/>
                      <wp:effectExtent l="0" t="0" r="0" b="0"/>
                      <wp:wrapNone/>
                      <wp:docPr id="56" name="Frame3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48285" cy="175260"/>
                      <wp:effectExtent l="0" t="0" r="0" b="0"/>
                      <wp:wrapNone/>
                      <wp:docPr id="58" name="Frame3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5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48285" cy="175260"/>
                      <wp:effectExtent l="0" t="0" r="0" b="0"/>
                      <wp:wrapNone/>
                      <wp:docPr id="60" name="Frame3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95910" cy="175260"/>
                      <wp:effectExtent l="0" t="0" r="0" b="0"/>
                      <wp:wrapNone/>
                      <wp:docPr id="62" name="Frame4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Tonnes</w:t>
            </w:r>
          </w:p>
        </w:tc>
        <w:tc>
          <w:tcPr>
            <w:tcW w:w="346" w:type="dxa"/>
            <w:tcBorders/>
            <w:vAlign w:val="center"/>
          </w:tcPr>
          <w:p>
            <w:pPr>
              <w:pStyle w:val="TableContents"/>
              <w:bidi w:val="0"/>
              <w:spacing w:before="0" w:after="1"/>
              <w:ind w:left="0" w:right="0" w:hanging="0"/>
              <w:jc w:val="left"/>
              <w:rPr/>
            </w:pPr>
            <w:r>
              <w:rPr/>
              <w:t>  ​ ​ ​</w:t>
            </w:r>
          </w:p>
        </w:tc>
        <w:tc>
          <w:tcPr>
            <w:tcW w:w="4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w:t>
            </w:r>
          </w:p>
        </w:tc>
        <w:tc>
          <w:tcPr>
            <w:tcW w:w="346" w:type="dxa"/>
            <w:tcBorders/>
            <w:vAlign w:val="center"/>
          </w:tcPr>
          <w:p>
            <w:pPr>
              <w:pStyle w:val="TableContents"/>
              <w:bidi w:val="0"/>
              <w:spacing w:before="0" w:after="1"/>
              <w:ind w:left="0" w:right="0" w:hanging="0"/>
              <w:jc w:val="left"/>
              <w:rPr/>
            </w:pPr>
            <w:r>
              <w:rPr/>
              <w:t>  ​ ​ ​</w:t>
            </w:r>
          </w:p>
        </w:tc>
        <w:tc>
          <w:tcPr>
            <w:tcW w:w="3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w:t>
            </w:r>
          </w:p>
        </w:tc>
        <w:tc>
          <w:tcPr>
            <w:tcW w:w="346" w:type="dxa"/>
            <w:tcBorders/>
            <w:vAlign w:val="center"/>
          </w:tcPr>
          <w:p>
            <w:pPr>
              <w:pStyle w:val="TableContents"/>
              <w:bidi w:val="0"/>
              <w:spacing w:before="0" w:after="1"/>
              <w:ind w:left="0" w:right="0" w:hanging="0"/>
              <w:jc w:val="left"/>
              <w:rPr/>
            </w:pPr>
            <w:r>
              <w:rPr/>
              <w:t>  ​ ​ ​</w:t>
            </w:r>
          </w:p>
        </w:tc>
        <w:tc>
          <w:tcPr>
            <w:tcW w:w="3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Mn</w:t>
            </w:r>
          </w:p>
        </w:tc>
        <w:tc>
          <w:tcPr>
            <w:tcW w:w="346" w:type="dxa"/>
            <w:tcBorders/>
            <w:vAlign w:val="center"/>
          </w:tcPr>
          <w:p>
            <w:pPr>
              <w:pStyle w:val="TableContents"/>
              <w:bidi w:val="0"/>
              <w:spacing w:before="0" w:after="1"/>
              <w:ind w:left="0" w:right="0" w:hanging="0"/>
              <w:jc w:val="left"/>
              <w:rPr/>
            </w:pPr>
            <w:r>
              <w:rPr/>
              <w:t>  ​ ​ ​</w:t>
            </w:r>
          </w:p>
        </w:tc>
        <w:tc>
          <w:tcPr>
            <w:tcW w:w="4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w:t>
            </w:r>
          </w:p>
        </w:tc>
      </w:tr>
      <w:tr>
        <w:trPr/>
        <w:tc>
          <w:tcPr>
            <w:tcW w:w="10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(Mwmt)</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Proven</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Probable</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0.13</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1.4</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Notes:</w:t>
      </w:r>
      <w:r>
        <w:rPr>
          <w:rFonts w:ascii="Times New Roman;Times;serif" w:hAnsi="Times New Roman;Times;serif"/>
          <w:sz w:val="20"/>
        </w:rPr>
        <w:t>1. Mineral Reserve estimated in Initial Mining Area only with 1,000 m buffers for the lease and seamounts.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Measured and Indicated mineral resources are converted to probable Mineral Reserves.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3. Grades are quoted on a dry basis.</w:t>
      </w:r>
    </w:p>
    <w:p>
      <w:pPr>
        <w:pStyle w:val="TextBody"/>
        <w:bidi w:val="0"/>
        <w:spacing w:lineRule="auto" w:line="240" w:before="0" w:after="0"/>
        <w:ind w:left="720" w:right="0" w:hanging="0"/>
        <w:jc w:val="both"/>
        <w:rPr>
          <w:rFonts w:ascii="Times New Roman;Times;serif" w:hAnsi="Times New Roman;Times;serif"/>
          <w:sz w:val="20"/>
        </w:rPr>
      </w:pPr>
      <w:r>
        <w:rPr>
          <w:rFonts w:ascii="Times New Roman;Times;serif" w:hAnsi="Times New Roman;Times;serif"/>
          <w:sz w:val="20"/>
        </w:rPr>
        <w:t>4. Zero abundance cut-off used, with nodules &lt;4 kg/m</w:t>
      </w:r>
      <w:r>
        <w:rPr>
          <w:rFonts w:ascii="Times New Roman;Times;serif" w:hAnsi="Times New Roman;Times;serif"/>
          <w:sz w:val="15"/>
        </w:rPr>
        <w:t>2</w:t>
      </w:r>
      <w:r>
        <w:rPr>
          <w:rFonts w:ascii="Times New Roman;Times;serif" w:hAnsi="Times New Roman;Times;serif"/>
          <w:sz w:val="20"/>
        </w:rPr>
        <w:t xml:space="preserve"> used to define the Mineral Resource included as dilution to generate viable mining blocks.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5. Moisture content assumed to be 28% (mass of solid/(mass of solid + mass of water)).</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6. Metal prices US$20,295/t Ni, US$21,633/t Ni sulfate, US$11,440/t Cu, US$56,117/t Co, US$55,198/t Co sulfate, US$5.45/dmtu Mn in manganese-silicate.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7. Nodule recovery by the Collector is estimated as 77% for Type 1 and 62% for Type 2 and 3 nodules.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8. Metallurgical recovery to sulfate is estimated as 94.6% Ni, 77.2% Co and 86.2% Cu, and to matte is 94.8% Ni, 77.5% Co, 86.4% Cu and for 98.9% for Mn.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9. Rounding estimates to two significant figures may result in computational discrepancies.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Initial Mining Area as described in the NORI-D PFS which was converted to mineral reserves contains approximately 25% of the NORI Area D mineral resource and conversion of mineral resources to mineral reserves is approximately 57%.</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Mineral Reserves are classified as probable mineral reserve, due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operating experience with the nodule collection system proposed for NORI Area D to confirm production rates, nodule recovery assumptions, field efficiencies, and operating and capital cost parameters;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other commercial nodule operations to confirm the reasonableness of mine planning parameters, modifying factors and mine plan outcomes;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commercial recovery permit terms and conditions issued by NOAA on how management of nodule collection operations will be regulated and with which our operations need to comply.</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mineral reserves presented above are derived from the NORI-D PFS and are based on a mine plan and economic analysis that assume the receipt of all required regulatory approvals, including exploration licenses and commercial recovery permits under DSHMRA, as well as any required environmental and onshore processing permits. The mineral reserve estimates incorporate modifying factors including mining, metallurgical, processing, economic, marketing, legal, environmental, infrastructure and governmental considerations. Because commercial-scale polymetallic nodule collection has not yet been undertaken, production rates, nodule recovery assumptions, field efficiencies and operating parameters are based on pilot testing, engineering studies and prefeasibility-level analysis, and actual results may differ materially as commercial operations are developed. In addition, the pre-feasibility study included in the NORI-D PFS indicated that the development of NORI Area D is technically and economically viable. The pre-feasibility study, however, does not represent a feasibility study and does not support a development decision, as additional project planning and design are needed to make this decision. The NORI-D PFS also does not include the conversion of all mineral resources included in NORI Area D to mineral reserves and does not include the conversion of any mineral resources to proven mineral reserves. </w:t>
      </w:r>
      <w:r>
        <w:rPr>
          <w:rFonts w:ascii="Times New Roman;Times;serif" w:hAnsi="Times New Roman;Times;serif"/>
          <w:b/>
          <w:sz w:val="20"/>
        </w:rPr>
        <w:t>You are cautioned not to assume that all or any part of measured or indicated mineral resources will ever be upgraded to mineral reserves or that probable mineral reserves will ever be upgraded to proven mineral reserves. Until mineral deposits are actually mined and processed, mineral resources and mineral reserves must be considered as estimates only.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Development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proposed seafloor development phases are as follows, as outlined in the NORI-D PFS: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Collector Test was designed to perform proof of concept for the methods of collecting and lifting the nodules while acquiring sufficient data to design a commercial system. The Collector Test used a converted sixth generation drillship, the </w:t>
            </w:r>
            <w:r>
              <w:rPr>
                <w:rFonts w:ascii="Times New Roman;Times;serif" w:hAnsi="Times New Roman;Times;serif"/>
                <w:b w:val="false"/>
                <w:i/>
                <w:sz w:val="20"/>
              </w:rPr>
              <w:t>Hidden Gem</w:t>
            </w:r>
            <w:r>
              <w:rPr>
                <w:rFonts w:ascii="Times New Roman;Times;serif" w:hAnsi="Times New Roman;Times;serif"/>
                <w:b w:val="false"/>
                <w:i w:val="false"/>
                <w:caps w:val="false"/>
                <w:smallCaps w:val="false"/>
                <w:sz w:val="20"/>
              </w:rPr>
              <w:t xml:space="preserve">. Nodules collected during the test were stored on the </w:t>
            </w:r>
            <w:r>
              <w:rPr>
                <w:rFonts w:ascii="Times New Roman;Times;serif" w:hAnsi="Times New Roman;Times;serif"/>
                <w:b w:val="false"/>
                <w:i/>
                <w:sz w:val="20"/>
              </w:rPr>
              <w:t>Hidden Gem</w:t>
            </w:r>
            <w:r>
              <w:rPr>
                <w:caps w:val="false"/>
                <w:smallCaps w:val="false"/>
              </w:rPr>
              <w:t xml:space="preserve"> </w:t>
            </w:r>
            <w:r>
              <w:rPr>
                <w:rFonts w:ascii="Times New Roman;Times;serif" w:hAnsi="Times New Roman;Times;serif"/>
                <w:b w:val="false"/>
                <w:i w:val="false"/>
                <w:caps w:val="false"/>
                <w:smallCaps w:val="false"/>
                <w:sz w:val="20"/>
              </w:rPr>
              <w:t>and brought to shore for use in large scale process pilot testing. The test did not demonstrate the transshipment of nodules to a shore-based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Production System #1 (“PV1”) would be an extension of the Collector Test using an upgrade of the </w:t>
            </w:r>
            <w:r>
              <w:rPr>
                <w:rFonts w:ascii="Times New Roman;Times;serif" w:hAnsi="Times New Roman;Times;serif"/>
                <w:b w:val="false"/>
                <w:i/>
                <w:sz w:val="20"/>
              </w:rPr>
              <w:t>Hidden Gem</w:t>
            </w:r>
            <w:r>
              <w:rPr>
                <w:caps w:val="false"/>
                <w:smallCaps w:val="false"/>
              </w:rPr>
              <w:t xml:space="preserve"> </w:t>
            </w:r>
            <w:r>
              <w:rPr>
                <w:rFonts w:ascii="Times New Roman;Times;serif" w:hAnsi="Times New Roman;Times;serif"/>
                <w:b w:val="false"/>
                <w:i w:val="false"/>
                <w:caps w:val="false"/>
                <w:smallCaps w:val="false"/>
                <w:sz w:val="20"/>
              </w:rPr>
              <w:t>to produce a sufficient and continuous quantity of nodules to support commercial operation commencing at 1.3 Mtpa increasing in staged increments to 3.0 Mtpa of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contemplate that an increase in production is achieved via the introduction of another production vessel with the capacity of up to 3.0 Mtpa.</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processing of the polymetallic nodules would also be ramped up in phases: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propose to toll-treat polymetallic nodules at existing RKEF smelters, utilizing excess industry capacity. NORI advises there is significant interest from many parties in China, Indonesia and Japan to utilize RKEF plants which may become stranded as a result of the Indonesian government nickel laterite ore export ban restricting supply of the nickel laterite feedstock that they currently utilize and the significant recent build-out of capacity in Indonesia which may have resulted in processing capacity oversupply. These RKEF plants were originally built to convert nickel laterite to nickel pig iron and could be converted to smelt polymetallic nodules with minor modifications. Furthermore, PAMCO completed the feasibility study in June 2025 after successfully processing 2000t of wet nodules to produce Mn silicate product and nickel-copper -cobalt alloy. The feasibility study confirmed operating parameters (e.g. tapping temperatures and dusting rates) and product specifications for PAMCO’s dedicated production line and defined the scope and execution plan for required equipment modifications at its Hachinohe, Japan smelting facility, which is located on the coast in northern Japan and is equipped with port and processing infrastructure required to receive and process polymetallic nodules and to ship products to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purpose-built process plant may be constructed, including pyrometallurgical and hydrometallurgical circuits. Nodule production would be increased in phases by treatment in this new plant and existing RKEFs.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Collection methods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main items of offshore infrastructure are the nodule collector vehicles, the riser, and four production support vessels (“PSV”): </w:t>
      </w:r>
      <w:r>
        <w:rPr>
          <w:rFonts w:ascii="Times New Roman;Times;serif" w:hAnsi="Times New Roman;Times;serif"/>
          <w:i/>
          <w:sz w:val="20"/>
        </w:rPr>
        <w:t xml:space="preserve">Hidden Gem, </w:t>
      </w:r>
      <w:r>
        <w:rPr>
          <w:rFonts w:ascii="Times New Roman;Times;serif" w:hAnsi="Times New Roman;Times;serif"/>
          <w:sz w:val="20"/>
        </w:rPr>
        <w:t>expected to be PV1; Production Vessel #2, Production Vessel #3 and Production Vessel #4.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up to 15 MPa.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PVs are planned to each support a riser and airlift system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Nodules are planned to be discharged from the RALS to the PSVs, where they are expected to be dewatered and temporarily stored or transferred directly to a transfer vessel (“TV”).</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PV will be supported by one dedicated dynamic position Transfer Vessel (TV). Nodules will be offloaded from the PV to the TV at regular intervals during operations to ensure the PV storage capacity is not exceeded. Support vessels (SVs) will provide ancillary services such as bunkering, waste management and personnel transfers.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NORI-D PFS assumes nodules will be recovered from the hold of the PV using axial conveyors located beneath the storage holds. They will then be lifted to deck level via sandwich conveyors and offloaded through a boom conveyor system capable of both luffing and slewing. Offloading will occur at a rate of 2,500 wmt per hour to a dynamically positioned transfer vessel with 50,000 mt storage capacity. The transfer vessel will in subsequently load Capesize bulk carriers, each with a storage capacity of approximately 200,000 mt, using a similar recovery and offloading system.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NORI-D PFS is higher than indicated by the 1970s test work because data that has come to light recently suggests the amount of breakup during lifting the nodules up the RALS may be significantly less than previously assumed (Kennecott (1978), Deep Reach Technology (“DRT”) (2015)).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Expected Mineral Resource modifying factors</w:t>
      </w:r>
    </w:p>
    <w:tbl>
      <w:tblPr>
        <w:tblW w:w="10205" w:type="dxa"/>
        <w:jc w:val="left"/>
        <w:tblInd w:w="0" w:type="dxa"/>
        <w:tblLayout w:type="fixed"/>
        <w:tblCellMar>
          <w:top w:w="0" w:type="dxa"/>
          <w:left w:w="0" w:type="dxa"/>
          <w:bottom w:w="28" w:type="dxa"/>
          <w:right w:w="0" w:type="dxa"/>
        </w:tblCellMar>
      </w:tblPr>
      <w:tblGrid>
        <w:gridCol w:w="1706"/>
        <w:gridCol w:w="346"/>
        <w:gridCol w:w="526"/>
        <w:gridCol w:w="346"/>
        <w:gridCol w:w="7281"/>
      </w:tblGrid>
      <w:tr>
        <w:trPr/>
        <w:tc>
          <w:tcPr>
            <w:tcW w:w="1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Modifying factors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5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72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1706"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Resource area efficiency</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52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728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resource area efficiency factor is defined as the width of the collector divided by the width of the collector path. A 0.5 m undisturbed strip is to be left either side of the collector. For a 12 m wide collector, the resource area efficiency is calculated as 12/13.</w:t>
            </w:r>
          </w:p>
        </w:tc>
      </w:tr>
      <w:tr>
        <w:trPr/>
        <w:tc>
          <w:tcPr>
            <w:tcW w:w="1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Collector pick-up efficiency</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5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7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is the percentage of nodule mass passed over by the collector that is picked-up up by the collector head.</w:t>
            </w:r>
          </w:p>
        </w:tc>
      </w:tr>
      <w:tr>
        <w:trPr/>
        <w:tc>
          <w:tcPr>
            <w:tcW w:w="170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Collector underflow efficiency</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5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72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is the percentage of nodule mass that is picked-up up that is passed to the collector underflow.</w:t>
            </w:r>
          </w:p>
        </w:tc>
      </w:tr>
      <w:tr>
        <w:trPr/>
        <w:tc>
          <w:tcPr>
            <w:tcW w:w="1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Nodule attrition</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5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7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is the percentage of mass of nodule lost through attrition from the seafloor to trans-shipment. It is included in the trans-shipment efficiency.</w:t>
            </w:r>
          </w:p>
        </w:tc>
      </w:tr>
      <w:tr>
        <w:trPr/>
        <w:tc>
          <w:tcPr>
            <w:tcW w:w="170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Trans-shipment efficiency</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5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72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is the percentage of nodule mass transferred from the production vessel to trans-shipment.</w:t>
            </w:r>
          </w:p>
        </w:tc>
      </w:tr>
      <w:tr>
        <w:trPr/>
        <w:tc>
          <w:tcPr>
            <w:tcW w:w="1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Overall collector efficiency</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5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72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is the percentage of nodule mass passed over by the collector that is delivered to the transport vessel. It includes losses in the pick-up, overflow, attrition and trans-shipment (90%*95%*100%*93%).</w:t>
            </w:r>
          </w:p>
        </w:tc>
      </w:tr>
      <w:tr>
        <w:trPr/>
        <w:tc>
          <w:tcPr>
            <w:tcW w:w="170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Overall resource recovery factor</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52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72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 the product of the resource area efficiency * collector pick-up efficiency * collector under flow efficiency * (1 — nodule attrition (%)), * trans-shipment efficiency (92%*90%*95%*100%*93%).</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on polymetallic nodule collection methods, see Section 13 of the NORI-D PFS.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Mineral processing and metallurgical testing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combined pyro-metallurgical and hydro-metallurgical flowsheet was evaluated in the NORI-D PFS.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NORI-D PFS.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average targeted production rate for the new hydrometallurgical plant at full capacity is expected to be 6.4 Mtpa of nodules (dry basis). The NORI-D PFS assumes this refining operation will be in Texas in the United States. Detailed engineering design has not yet been undertaken.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Expected metallurgical recoveries are summarized in the table below.</w:t>
      </w:r>
    </w:p>
    <w:tbl>
      <w:tblPr>
        <w:tblW w:w="7508" w:type="dxa"/>
        <w:jc w:val="left"/>
        <w:tblInd w:w="0" w:type="dxa"/>
        <w:tblLayout w:type="fixed"/>
        <w:tblCellMar>
          <w:top w:w="0" w:type="dxa"/>
          <w:left w:w="0" w:type="dxa"/>
          <w:bottom w:w="0" w:type="dxa"/>
          <w:right w:w="0" w:type="dxa"/>
        </w:tblCellMar>
      </w:tblPr>
      <w:tblGrid>
        <w:gridCol w:w="3646"/>
        <w:gridCol w:w="346"/>
        <w:gridCol w:w="841"/>
        <w:gridCol w:w="361"/>
        <w:gridCol w:w="841"/>
        <w:gridCol w:w="361"/>
        <w:gridCol w:w="796"/>
        <w:gridCol w:w="31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315210" cy="175260"/>
                      <wp:effectExtent l="0" t="0" r="0" b="0"/>
                      <wp:wrapNone/>
                      <wp:docPr id="63" name="Frame42"/>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34035" cy="175260"/>
                      <wp:effectExtent l="0" t="0" r="0" b="0"/>
                      <wp:wrapNone/>
                      <wp:docPr id="65" name="Frame4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9235" cy="175260"/>
                      <wp:effectExtent l="0" t="0" r="0" b="0"/>
                      <wp:wrapNone/>
                      <wp:docPr id="66" name="Frame4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34035" cy="175260"/>
                      <wp:effectExtent l="0" t="0" r="0" b="0"/>
                      <wp:wrapNone/>
                      <wp:docPr id="67" name="Frame4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9235" cy="175260"/>
                      <wp:effectExtent l="0" t="0" r="0" b="0"/>
                      <wp:wrapNone/>
                      <wp:docPr id="68" name="Frame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05460" cy="175260"/>
                      <wp:effectExtent l="0" t="0" r="0" b="0"/>
                      <wp:wrapNone/>
                      <wp:docPr id="69" name="Frame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0660" cy="175260"/>
                      <wp:effectExtent l="0" t="0" r="0" b="0"/>
                      <wp:wrapNone/>
                      <wp:docPr id="70" name="Frame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Nickel</w:t>
            </w:r>
            <w:r>
              <w:rPr>
                <w:rFonts w:ascii="Times New Roman;Times;serif" w:hAnsi="Times New Roman;Times;serif"/>
                <w:sz w:val="16"/>
              </w:rPr>
              <w:t> </w:t>
            </w:r>
          </w:p>
        </w:tc>
        <w:tc>
          <w:tcPr>
            <w:tcW w:w="36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Cobalt</w:t>
            </w:r>
            <w:r>
              <w:rPr>
                <w:rFonts w:ascii="Times New Roman;Times;serif" w:hAnsi="Times New Roman;Times;serif"/>
                <w:sz w:val="16"/>
              </w:rPr>
              <w:t> </w:t>
            </w:r>
          </w:p>
        </w:tc>
        <w:tc>
          <w:tcPr>
            <w:tcW w:w="36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Copper</w:t>
            </w:r>
            <w:r>
              <w:rPr>
                <w:rFonts w:ascii="Times New Roman;Times;serif" w:hAnsi="Times New Roman;Times;serif"/>
                <w:sz w:val="16"/>
              </w:rPr>
              <w:t> </w:t>
            </w:r>
          </w:p>
        </w:tc>
        <w:tc>
          <w:tcPr>
            <w:tcW w:w="316"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Recovery</w:t>
            </w:r>
            <w:r>
              <w:rPr>
                <w:rFonts w:ascii="Times New Roman;Times;serif" w:hAnsi="Times New Roman;Times;serif"/>
                <w:sz w:val="16"/>
              </w:rPr>
              <w:t> </w:t>
            </w:r>
          </w:p>
        </w:tc>
        <w:tc>
          <w:tcPr>
            <w:tcW w:w="36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Recovery</w:t>
            </w:r>
            <w:r>
              <w:rPr>
                <w:rFonts w:ascii="Times New Roman;Times;serif" w:hAnsi="Times New Roman;Times;serif"/>
                <w:sz w:val="16"/>
              </w:rPr>
              <w:t> </w:t>
            </w:r>
          </w:p>
        </w:tc>
        <w:tc>
          <w:tcPr>
            <w:tcW w:w="36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Recovery</w:t>
            </w:r>
          </w:p>
        </w:tc>
        <w:tc>
          <w:tcPr>
            <w:tcW w:w="316" w:type="dxa"/>
            <w:tcBorders/>
            <w:vAlign w:val="center"/>
          </w:tcPr>
          <w:p>
            <w:pPr>
              <w:pStyle w:val="TableContents"/>
              <w:bidi w:val="0"/>
              <w:spacing w:before="0" w:after="0"/>
              <w:ind w:left="0" w:right="0" w:hanging="0"/>
              <w:jc w:val="left"/>
              <w:rPr/>
            </w:pPr>
            <w:r>
              <w:rPr/>
              <w:t> </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Process Step</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Final matte</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Hydrometallurgical products before recycle</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Recycled residue</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Overall recovery</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on mineral processing and metallurgical testing, see Section 14 of the NORI-D PFS.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studies, permitting, community, or social impact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has commenced the ESIA process in support of an application for a commercial recovery permit for the commercial collection of deep-sea polymetallic nodules. A comprehensive program of metocean and biological data acquisition was completed, which was required to characterize the baseline conditions at a designated Collector Test site and control sites in the NORI Contract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This plan will involve an ecosystem approach incorporating an adaptive management system.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social impacts of the offshore operation are expected to be positive. The CCZ is uninhabited by people, and there are no landowners associated with the CCZ. No significant commercial fishing is carried out in the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onshore environmental and social impacts are in the process of being evaluated as part of the feasibility being undertaken by PAMCO under the binding MoU signed in November 2023 for nodules that would be processed at their existing facility in Hachinohe, Japan, which was completed in June 2025. This is an existing facility that has processed laterite ores since the mid 1960’s and has all the required operating permits to do so. PAMCO are working with Japanese authorities to ensure that the environmental impacts of treating nodules are minimized and can be undertaken within PAMCO existing permissions or ensuring appropriate permissions are issued if required.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It is likely that additional facilities beyond PAMCO will be required as production expands. This could involve processing through additional tolling facilities or potentially newly built facilities. The onshore environmental and social impacts of these facilities have not been assessed because the tolling facilities have not been identified or a new-build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on environmental studies, permitting and social or community impact, see Section 17 of the NORI-D PFS.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Internal controls and data verification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NORI-D PFS, supports the contention that the quality of the pioneer investor data is satisfactory.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 No pioneer investor data was used for the mineral resource and mineral reserve estimates included in the NORI-D PFS. The NORI Areas A-C and TOML mineral resource estimates included in the TOML and NORI IA incorporates pioneer investor data in these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Assaying of nodules collected by NORI in 2012, 2013, 2018, 2019, 2020, 2022 and 2023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about quality control/quality assurance and data verification, see Section 8 and Section 9 of the NORI-D PFS.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Qualified Persons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third-party qualified persons as defined in the SEC Mining Rules contributed to the NORI-D PFS and the TOML and NORI IA:</w:t>
      </w:r>
    </w:p>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Ian Stevenson, Geoscience Consultant, MARGIN – Marine Geoscience Innovation</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Buckell, Consultant, APYS Subsea Ltd</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Cameron Harris, Principal: Smelting, Canadian Engineering Associates Ltd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Roughan, Principal, Lanasera Pty Ltd</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Hall, CEO, AMC Consultants Pty Ltd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following personnel of the Company served as qualified persons for certain sections of the NORI-D PFS and the TOML and NORI IA:</w:t>
      </w:r>
    </w:p>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Chief Development Officer</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Chief Innovation and Offshore Technology Officer</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Environmental Program Director</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Project Control Manager</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of the third-party qualified persons listed above is not an employee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TOML Contract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that follows relating to the TOML Contract Area of the CCZ subject to the TOML Exploration Contract with the ISA is derived, for the most part, from, and in some instances is an extract from, the TOML and NORI IA. Portions of the following information are based on assumptions, qualifications and procedures which are not fully described herein. Reference should be made to the full text of TOML and NORI IA, which has been incorporated by reference as exhibit 96.2 to this Annual Report. In the event that we determine that any of modifying factors, estimates and other scientific and technical information in the TOML and NORI IA materially change, we may update or file a new technical report in the future. The TOML Contract Area is an exploration stage property.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Location of the TOML Contract Area and access</w:t>
      </w:r>
    </w:p>
    <w:p>
      <w:pPr>
        <w:pStyle w:val="TextBody"/>
        <w:bidi w:val="0"/>
        <w:spacing w:before="0" w:after="0"/>
        <w:ind w:left="0" w:right="0" w:hanging="0"/>
        <w:jc w:val="center"/>
        <w:rPr/>
      </w:pPr>
      <w:r>
        <w:rPr/>
        <w:t>​</w:t>
      </w:r>
    </w:p>
    <w:p>
      <w:pPr>
        <w:pStyle w:val="TextBody"/>
        <w:bidi w:val="0"/>
        <w:spacing w:before="0" w:after="240"/>
        <w:ind w:left="0" w:right="0" w:hanging="0"/>
        <w:jc w:val="center"/>
        <w:rPr/>
      </w:pPr>
      <w:r>
        <w:rPr/>
        <w:drawing>
          <wp:inline distT="0" distB="0" distL="0" distR="0">
            <wp:extent cx="4811395" cy="3404870"/>
            <wp:effectExtent l="0" t="0" r="0" b="0"/>
            <wp:docPr id="7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2" descr=""/>
                    <pic:cNvPicPr>
                      <a:picLocks noChangeAspect="1" noChangeArrowheads="1"/>
                    </pic:cNvPicPr>
                  </pic:nvPicPr>
                  <pic:blipFill>
                    <a:blip r:embed="rId23"/>
                    <a:stretch>
                      <a:fillRect/>
                    </a:stretch>
                  </pic:blipFill>
                  <pic:spPr bwMode="auto">
                    <a:xfrm>
                      <a:off x="0" y="0"/>
                      <a:ext cx="4811395" cy="3404870"/>
                    </a:xfrm>
                    <a:prstGeom prst="rect">
                      <a:avLst/>
                    </a:prstGeom>
                  </pic:spPr>
                </pic:pic>
              </a:graphicData>
            </a:graphic>
          </wp:inline>
        </w:drawing>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TOML Contract Area is located within the CCZ of the northeast Pacific Ocean. The CCZ is located in international waters between Hawaii and Mexico. The western-end of the CCZ is approximately 1,000 kilometers south of the Hawaiian island group. From here, the CCZ extends over 4,500 kilometers east-northeast, in an approximately 600 kilometers wide trend, with the eastern limits approximately 2,000 kilometers west of southern Mexico. The region is well-located to ship nodules to the American continent or across the Pacific to Asian markets. The TOML Contract Area comprises six separate blocks (A through F) in the CCZ with a combined area of 74,713 square kilometers.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TOML Contract Area extents</w:t>
      </w:r>
    </w:p>
    <w:tbl>
      <w:tblPr>
        <w:tblW w:w="10759" w:type="dxa"/>
        <w:jc w:val="left"/>
        <w:tblInd w:w="0" w:type="dxa"/>
        <w:tblLayout w:type="fixed"/>
        <w:tblCellMar>
          <w:top w:w="0" w:type="dxa"/>
          <w:left w:w="0" w:type="dxa"/>
          <w:bottom w:w="0" w:type="dxa"/>
          <w:right w:w="0" w:type="dxa"/>
        </w:tblCellMar>
      </w:tblPr>
      <w:tblGrid>
        <w:gridCol w:w="481"/>
        <w:gridCol w:w="346"/>
        <w:gridCol w:w="796"/>
        <w:gridCol w:w="346"/>
        <w:gridCol w:w="841"/>
        <w:gridCol w:w="346"/>
        <w:gridCol w:w="841"/>
        <w:gridCol w:w="346"/>
        <w:gridCol w:w="841"/>
        <w:gridCol w:w="346"/>
        <w:gridCol w:w="796"/>
        <w:gridCol w:w="346"/>
        <w:gridCol w:w="841"/>
        <w:gridCol w:w="346"/>
        <w:gridCol w:w="841"/>
        <w:gridCol w:w="346"/>
        <w:gridCol w:w="841"/>
        <w:gridCol w:w="346"/>
        <w:gridCol w:w="526"/>
      </w:tblGrid>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Minimum </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Minimum </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Minimum </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Minimum </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346" w:type="dxa"/>
            <w:tcBorders/>
            <w:vAlign w:val="center"/>
          </w:tcPr>
          <w:p>
            <w:pPr>
              <w:pStyle w:val="TableContents"/>
              <w:bidi w:val="0"/>
              <w:spacing w:before="0" w:after="0"/>
              <w:ind w:left="0" w:right="0" w:hanging="0"/>
              <w:jc w:val="left"/>
              <w:rPr/>
            </w:pPr>
            <w:r>
              <w:rPr/>
              <w:t>  ​ ​ ​</w:t>
            </w:r>
          </w:p>
        </w:tc>
        <w:tc>
          <w:tcPr>
            <w:tcW w:w="52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Latitude</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Latitude </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Longitude</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Longitude</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UTM X</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UTM X</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UTM Y</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UTM Y</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UTM </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Area</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(DD)</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(DD)</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(DD)</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(DD)</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t>
            </w:r>
          </w:p>
        </w:tc>
        <w:tc>
          <w:tcPr>
            <w:tcW w:w="34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Zone</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7.167 N</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8.167 N</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151.667 W</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152.510 W</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553972</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647187</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792205</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902968</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05N</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13.580 N</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14.667 N</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132.000 W</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133.200 W</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694518</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824685</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1502009</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1623605</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08P</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 N</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15.800 N</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128.583 W</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131.000 W</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284947</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544791</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1658371</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1747847</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09P</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13.125 N</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14.083 N</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123.583 W</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125.333 W</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247293</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437022</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1451031</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1557860</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10P</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12.750 N</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13.083 N</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123.583 W</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125.333 W</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246693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436796</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1409563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1447513</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10P</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9.895 N</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11.083 N</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117.817 W</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118.917 W</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289835</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410804</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1093917</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1225828</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11P</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DD — Decimal degrees, UTM — Universal Transverse Mercator map projection 87</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CCZ lies between Hawaii and Mexico and is accessible by ship from various ports in the U.S.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Section 3 of the TOML and NORI IA for further specific information of the location of the TOML Contract Area.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Tenements and permits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Business- Laws and Regulations-The TOML ISA Exploration Contract, Business- Laws and Regulations-The TOML Sponsorship Agreement and Business- Laws and Regulations- International Seabed Authority above for information related to tenements and permits in the TOML Contract Area.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TOML obligations and sponsorship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Business- Laws and Regulations-The TOML ISA Exploration Contract, Business- Laws and Regulations-The TOML Sponsorship Agreement above for information related to this agreement in the TOML Contract Area.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Royalties and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Business- Laws and Regulations-Royalties and Taxes above for information with respect to our obligations for royalties and taxes in the TOML Contract Area.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History of previous exploration activities in the TOML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Section 5 of the TOML and NORI IA and the NORI-D PFS for further specific information of the history of previous exploration of the TOML Contract Area.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Geology and sampling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kilometers in length and up to 600 kilometers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6.4 to Figure 6.8 of the TOML and NORI IA illustrate the remarkable continuity of grades and abundances across the whole of the CCZ.</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specific conditions of the CCZ (water depth, latitude, and seafloor sediment type) are considered to be the key controls for the formation of polymetallic nodules. Nodules are typically 4 to 6 cm and up to 10 cm in diameter.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Times New Roman;Times;serif" w:hAnsi="Times New Roman;Times;serif"/>
          <w:sz w:val="15"/>
        </w:rPr>
        <w:t>2</w:t>
      </w:r>
      <w:r>
        <w:rPr>
          <w:rFonts w:ascii="Times New Roman;Times;serif" w:hAnsi="Times New Roman;Times;serif"/>
          <w:sz w:val="20"/>
        </w:rPr>
        <w:t>) was derived by dividing the weight of recovered nodules by the surface area covered by the open jaws of the sampler or corer (typically 0.25 to 0.75 m</w:t>
      </w:r>
      <w:r>
        <w:rPr>
          <w:rFonts w:ascii="Times New Roman;Times;serif" w:hAnsi="Times New Roman;Times;serif"/>
          <w:sz w:val="15"/>
        </w:rPr>
        <w:t>2</w:t>
      </w:r>
      <w:r>
        <w:rPr>
          <w:rFonts w:ascii="Times New Roman;Times;serif" w:hAnsi="Times New Roman;Times;serif"/>
          <w:sz w:val="20"/>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about the TOML exploration campaigns in 2013 and 2015, see Section 7 of the TOML and NORI IA.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Mineral resource estimate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587-line kilometers). Only sample data within the TOML Contract Area was used to inform the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Six block models were constructed using the geostatistical modelling programs Gstat 1.1-3 and R 3.2.5, one for each TOML Exploration Area (A to F), in three passes. The first pass used a parent block dimension of 1.75 kilometers by 1.75 kilometers and filled the areas defined as measured mineral resource. The second pass for indicated mineral resource used a parent block size of 3.5 kilometers by 3.5 kilometers while the third pass for inferred mineral resource used a parent block size of 7.0 kilometers by 7.0 kilometers.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Inferred mineral resource classification was based on sampling by pioneer contractors on a nominal spacing of 20 kilometers, the variation and uncertainty in the sample quality, and the likely presence of short-range variation to nodule abundance.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Indicated mineral resource classification was based on box core sampling by TOML on a nominal spacing of approximately 7 kilometers by 7 kilometers (including photo profiling in some cases at 7 kilometers by 3 kilometers), supplemented by sampling by pioneer contractors.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Measured mineral resource was based on box core sampling by TOML on a nominal spacing of approximately 7 km by 7 kilometers plus photo-profiling on a nominal spacing of 3.5 kilometers by 3.0 kilometers, supplemented by sampling by pioneer contractors.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estimated mineral resources in area set forth below were determined on June 30, 2025, and also reflect the estimated mineral resources as of December 31, 2025, as none of the mineral resources in these areas were depleted by mining or any other activities and are reflected in the TOML and NORI IA. We do not believe there have been any other material changes to the estimated mineral resources since the 2021 determination thereof.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b/>
          <w:sz w:val="20"/>
        </w:rPr>
      </w:pPr>
      <w:r>
        <w:rPr>
          <w:rFonts w:ascii="Times New Roman;Times;serif" w:hAnsi="Times New Roman;Times;serif"/>
          <w:b/>
          <w:sz w:val="20"/>
        </w:rPr>
        <w:t>Mineral Resource Estimate December 31, 2025, In-Situ, for the TOML Contract Area within the CCZ at a 4 kg/m</w:t>
      </w:r>
      <w:r>
        <w:rPr>
          <w:rFonts w:ascii="Times New Roman;Times;serif" w:hAnsi="Times New Roman;Times;serif"/>
          <w:b/>
          <w:sz w:val="15"/>
        </w:rPr>
        <w:t>2</w:t>
      </w:r>
      <w:r>
        <w:rPr>
          <w:rFonts w:ascii="Times New Roman;Times;serif" w:hAnsi="Times New Roman;Times;serif"/>
          <w:b/>
          <w:sz w:val="20"/>
        </w:rPr>
        <w:t xml:space="preserve"> nodule abundance cut-off</w:t>
      </w:r>
    </w:p>
    <w:tbl>
      <w:tblPr>
        <w:tblW w:w="8473" w:type="dxa"/>
        <w:jc w:val="left"/>
        <w:tblInd w:w="0" w:type="dxa"/>
        <w:tblLayout w:type="fixed"/>
        <w:tblCellMar>
          <w:top w:w="0" w:type="dxa"/>
          <w:left w:w="0" w:type="dxa"/>
          <w:bottom w:w="0" w:type="dxa"/>
          <w:right w:w="0" w:type="dxa"/>
        </w:tblCellMar>
      </w:tblPr>
      <w:tblGrid>
        <w:gridCol w:w="2416"/>
        <w:gridCol w:w="346"/>
        <w:gridCol w:w="1051"/>
        <w:gridCol w:w="346"/>
        <w:gridCol w:w="961"/>
        <w:gridCol w:w="346"/>
        <w:gridCol w:w="466"/>
        <w:gridCol w:w="346"/>
        <w:gridCol w:w="466"/>
        <w:gridCol w:w="346"/>
        <w:gridCol w:w="466"/>
        <w:gridCol w:w="346"/>
        <w:gridCol w:w="571"/>
      </w:tblGrid>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Tonnes</w:t>
            </w:r>
          </w:p>
        </w:tc>
        <w:tc>
          <w:tcPr>
            <w:tcW w:w="346" w:type="dxa"/>
            <w:tcBorders/>
            <w:vAlign w:val="center"/>
          </w:tcPr>
          <w:p>
            <w:pPr>
              <w:pStyle w:val="TableContents"/>
              <w:bidi w:val="0"/>
              <w:spacing w:before="0" w:after="0"/>
              <w:ind w:left="0" w:right="0" w:hanging="0"/>
              <w:jc w:val="left"/>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Abundance </w:t>
            </w:r>
          </w:p>
        </w:tc>
        <w:tc>
          <w:tcPr>
            <w:tcW w:w="346" w:type="dxa"/>
            <w:tcBorders/>
            <w:vAlign w:val="center"/>
          </w:tcPr>
          <w:p>
            <w:pPr>
              <w:pStyle w:val="TableContents"/>
              <w:bidi w:val="0"/>
              <w:spacing w:before="0" w:after="0"/>
              <w:ind w:left="0" w:right="0" w:hanging="0"/>
              <w:jc w:val="left"/>
              <w:rPr/>
            </w:pPr>
            <w:r>
              <w:rPr/>
              <w:t>  ​ ​ ​</w:t>
            </w:r>
          </w:p>
        </w:tc>
        <w:tc>
          <w:tcPr>
            <w:tcW w:w="4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w:t>
            </w:r>
          </w:p>
        </w:tc>
        <w:tc>
          <w:tcPr>
            <w:tcW w:w="346" w:type="dxa"/>
            <w:tcBorders/>
            <w:vAlign w:val="center"/>
          </w:tcPr>
          <w:p>
            <w:pPr>
              <w:pStyle w:val="TableContents"/>
              <w:bidi w:val="0"/>
              <w:spacing w:before="0" w:after="0"/>
              <w:ind w:left="0" w:right="0" w:hanging="0"/>
              <w:jc w:val="left"/>
              <w:rPr/>
            </w:pPr>
            <w:r>
              <w:rPr/>
              <w:t>  ​ ​ ​</w:t>
            </w:r>
          </w:p>
        </w:tc>
        <w:tc>
          <w:tcPr>
            <w:tcW w:w="4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w:t>
            </w:r>
          </w:p>
        </w:tc>
        <w:tc>
          <w:tcPr>
            <w:tcW w:w="346" w:type="dxa"/>
            <w:tcBorders/>
            <w:vAlign w:val="center"/>
          </w:tcPr>
          <w:p>
            <w:pPr>
              <w:pStyle w:val="TableContents"/>
              <w:bidi w:val="0"/>
              <w:spacing w:before="0" w:after="0"/>
              <w:ind w:left="0" w:right="0" w:hanging="0"/>
              <w:jc w:val="left"/>
              <w:rPr/>
            </w:pPr>
            <w:r>
              <w:rPr/>
              <w:t>  ​ ​ ​</w:t>
            </w:r>
          </w:p>
        </w:tc>
        <w:tc>
          <w:tcPr>
            <w:tcW w:w="4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Mn</w:t>
            </w:r>
          </w:p>
        </w:tc>
      </w:tr>
      <w:tr>
        <w:trPr/>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Mineral Resource Classification</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(x10</w:t>
            </w:r>
            <w:r>
              <w:rPr>
                <w:rFonts w:ascii="Times New Roman;Times;serif" w:hAnsi="Times New Roman;Times;serif"/>
                <w:b/>
                <w:sz w:val="12"/>
              </w:rPr>
              <w:t>6</w:t>
            </w:r>
            <w:r>
              <w:rPr>
                <w:rFonts w:ascii="Times New Roman;Times;serif" w:hAnsi="Times New Roman;Times;serif"/>
                <w:sz w:val="16"/>
              </w:rPr>
              <w:t xml:space="preserve"> </w:t>
            </w:r>
            <w:r>
              <w:rPr>
                <w:rFonts w:ascii="Times New Roman;Times;serif" w:hAnsi="Times New Roman;Times;serif"/>
                <w:b/>
                <w:sz w:val="16"/>
              </w:rPr>
              <w:t>wet t)*</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(wet kg/m</w:t>
            </w:r>
            <w:r>
              <w:rPr>
                <w:rFonts w:ascii="Times New Roman;Times;serif" w:hAnsi="Times New Roman;Times;serif"/>
                <w:b/>
                <w:sz w:val="12"/>
              </w:rPr>
              <w:t>2</w:t>
            </w: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Measured</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Measured + Indicated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Inferred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29.0</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Variations in totals are due to rounding of individual values. Mn, Ni, Cu and Co assays on samples dried at 105˚C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above mineral resource estimate (measured, indicated and inferred mineral resources), which was informed by data collected by TOML in 2013 and 2015, is presented in Table 11.9 of the TOML and NORI IA.</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Due to the extremely low variance in the grades and the high metal content of the nodules, a cut-off based on abundance is appropriate for determining the limits of economic exploitation. A cut-off of 4 kg/m</w:t>
      </w:r>
      <w:r>
        <w:rPr>
          <w:rFonts w:ascii="Times New Roman;Times;serif" w:hAnsi="Times New Roman;Times;serif"/>
          <w:sz w:val="15"/>
        </w:rPr>
        <w:t>2</w:t>
      </w:r>
      <w:r>
        <w:rPr>
          <w:rFonts w:ascii="Times New Roman;Times;serif" w:hAnsi="Times New Roman;Times;serif"/>
          <w:sz w:val="20"/>
        </w:rPr>
        <w:t xml:space="preserve"> abundance was chosen for the TOML Contract Area, based on the operating costs and production estimates for the calculation of an abundance cut-off based on estimates developed for the second generation of collection systems described and assessed in the NORI and TOML IA rather than the collection system evaluated for the mineral reserves in the NORI-D PFS. This approach was chosen because the development scenario assessed in the TOML and NORI IA is a more likely timeframe in which the mineral resource in the TOML area would be developed. The qualified person considered that the abundance cut-off calculated this way for the Mineral Resources is consistent with reasonable prospects of economic extraction.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 assessment of the abundance cut-off (breakeven) for the TOML Contract Area and the NORI Contract Area is as follows:</w:t>
      </w:r>
    </w:p>
    <w:p>
      <w:pPr>
        <w:pStyle w:val="TextBody"/>
        <w:bidi w:val="0"/>
        <w:spacing w:before="0" w:after="240"/>
        <w:ind w:left="0" w:right="0" w:hanging="0"/>
        <w:jc w:val="both"/>
        <w:rPr>
          <w:shd w:fill="FFFF00" w:val="clear"/>
        </w:rPr>
      </w:pPr>
      <w:r>
        <w:rPr>
          <w:shd w:fill="FFFF00" w:val="clear"/>
        </w:rPr>
        <w:t>​</w:t>
      </w:r>
    </w:p>
    <w:tbl>
      <w:tblPr>
        <w:tblW w:w="8878" w:type="dxa"/>
        <w:jc w:val="left"/>
        <w:tblInd w:w="0" w:type="dxa"/>
        <w:tblLayout w:type="fixed"/>
        <w:tblCellMar>
          <w:top w:w="0" w:type="dxa"/>
          <w:left w:w="0" w:type="dxa"/>
          <w:bottom w:w="0" w:type="dxa"/>
          <w:right w:w="0" w:type="dxa"/>
        </w:tblCellMar>
      </w:tblPr>
      <w:tblGrid>
        <w:gridCol w:w="856"/>
        <w:gridCol w:w="346"/>
        <w:gridCol w:w="1171"/>
        <w:gridCol w:w="346"/>
        <w:gridCol w:w="916"/>
        <w:gridCol w:w="346"/>
        <w:gridCol w:w="721"/>
        <w:gridCol w:w="346"/>
        <w:gridCol w:w="1171"/>
        <w:gridCol w:w="346"/>
        <w:gridCol w:w="916"/>
        <w:gridCol w:w="346"/>
        <w:gridCol w:w="1051"/>
      </w:tblGrid>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Nodule</w:t>
            </w:r>
          </w:p>
        </w:tc>
        <w:tc>
          <w:tcPr>
            <w:tcW w:w="346" w:type="dxa"/>
            <w:tcBorders/>
            <w:vAlign w:val="center"/>
          </w:tcPr>
          <w:p>
            <w:pPr>
              <w:pStyle w:val="TableContents"/>
              <w:bidi w:val="0"/>
              <w:spacing w:before="0" w:after="1"/>
              <w:ind w:left="0" w:right="0" w:hanging="0"/>
              <w:jc w:val="left"/>
              <w:rPr/>
            </w:pPr>
            <w:r>
              <w:rPr/>
              <w:t>  ​ ​ ​</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Breakeven</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 per</w:t>
            </w:r>
          </w:p>
        </w:tc>
      </w:tr>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Variable Opex</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Production</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Opex per hour</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Abundance</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hour</w:t>
            </w:r>
          </w:p>
        </w:tc>
      </w:tr>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($/wmt)</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w:t>
            </w:r>
            <w:r>
              <w:rPr>
                <w:rFonts w:ascii="Times New Roman;Times;serif" w:hAnsi="Times New Roman;Times;serif"/>
                <w:b/>
                <w:sz w:val="12"/>
              </w:rPr>
              <w:t>2</w:t>
            </w:r>
            <w:r>
              <w:rPr>
                <w:rFonts w:ascii="Times New Roman;Times;serif" w:hAnsi="Times New Roman;Times;serif"/>
                <w:b/>
                <w:sz w:val="16"/>
              </w:rPr>
              <w:t>/hr)</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($/wmt)</w:t>
            </w:r>
          </w:p>
        </w:tc>
        <w:tc>
          <w:tcPr>
            <w:tcW w:w="34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($/hr)</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(kg/m</w:t>
            </w:r>
            <w:r>
              <w:rPr>
                <w:rFonts w:ascii="Times New Roman;Times;serif" w:hAnsi="Times New Roman;Times;serif"/>
                <w:b/>
                <w:sz w:val="12"/>
              </w:rPr>
              <w:t>2</w:t>
            </w: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($/hr)</w:t>
            </w:r>
          </w:p>
        </w:tc>
      </w:tr>
      <w:tr>
        <w:trPr/>
        <w:tc>
          <w:tcPr>
            <w:tcW w:w="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Alloy</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33,660</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50,584</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50,584</w:t>
            </w:r>
          </w:p>
        </w:tc>
      </w:tr>
      <w:tr>
        <w:trPr/>
        <w:tc>
          <w:tcPr>
            <w:tcW w:w="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Matte</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33,660</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50,584</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50,584</w:t>
            </w:r>
          </w:p>
        </w:tc>
      </w:tr>
      <w:tr>
        <w:trPr/>
        <w:tc>
          <w:tcPr>
            <w:tcW w:w="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Sulphate</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33,660</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50,584</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50,584</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94.6% recovery of nickel to sulfate at an assumed price of nickel sulfate $21,633/t; 86.2% recovery of copper at an assumed price of $11,440/t copper metal; 77.2% recovery of cobalt sulfate at an assumed price of $55,198/t cobalt metal; and 98.9% recovery of manganese at an assumed price of $5.45/dmtu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qualified person considered that this timeframe is reasonable in view of the likely time required to bring the majority of the TOML mineral resources into production.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initial inferred mineral resource for the TOML Contract Area was reported on March 20, 2013 by Golder Associates. The changes in the above mineral resource estimate from 2013 for the TOML Contract Area are due to:</w:t>
      </w:r>
    </w:p>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Areas E and F for the first time, and high abundances and grades in Area F;</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nodule abundance sample information (from box core and photo profile) collected during the 2015 campaign;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setting the abundance estimates within the no nodule domain to zero in areas covered by MBES (TOML Areas B, C, D, E, 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ordinary kriging (rather than inverse distance weighting) supported by short-range variogram to estimate abundance; and</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block model parent cell size related to improved sample spacing.</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Information concerning our mineral properties in the TOML and NORI IA and in this Annual Report with respect to the TOML Contract Area includes information that has been prepared in accordance with the requirements of the SEC Mining Rules. Under SEC standards, mineralization, such as mineral resources, may not be classified as a “reserve” unless the determination has been made that the mineralization could be economically and legally produced or extracted at the time of the reserve determination. </w:t>
      </w:r>
      <w:r>
        <w:rPr>
          <w:rFonts w:ascii="Times New Roman;Times;serif" w:hAnsi="Times New Roman;Times;serif"/>
          <w:b/>
          <w:sz w:val="20"/>
        </w:rPr>
        <w:t>You are specifically cautioned not to assume that any part or all of the mineral deposits in these categories will ever be converted into mineral reserves, as defined by the SEC.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About 10% of the TOML Contract Area resource is defined in the measured and indicated categories. </w:t>
      </w:r>
      <w:r>
        <w:rPr>
          <w:rFonts w:ascii="Times New Roman;Times;serif" w:hAnsi="Times New Roman;Times;serif"/>
          <w:b/>
          <w:sz w:val="20"/>
        </w:rPr>
        <w:t>Therefore, you are cautioned not to assume that all or 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Reasonable prospects for economic extraction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development plan for commercial development of polymetallic nodule deposits in the CCZ were studied as described in the NORI-D PFS.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Collection methods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Recovery and collection methods that could be employed for commercial development of polymetallic nodule deposits in the CCZ were studied as described in the TOML and NORI IA.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13 of the TOML and NORI IA, which assessed the collection methods for the second generation of collection systems, which would be in operation at the time the TOML project would be developed.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main items of offshore infrastructure are the nodule collector vehicles, the riser, and the production vessels (PV).</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NORI AND TOML IA assumes a total of eight separate 2nd Generation Production Systems (“2nd Gen”) are expected to be employed. Each of the eight 2nd Gen systems consists of a PV that powers seafloor CVs in addition to a RALS, dewatering plant, and nodule handling and offloading infrastructure.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PV is expected to be supported by TVs that receive dewatered nodules from the PV and transport the nodules to port for processing. Supply vessels provide resupply of fuel, personnel and logistics and operate out of the mainland USA. Each of the eight systems is assumed to be identical and capable of meeting a nameplate capacity of 7 Mwmtpa in the TOML-F area and 5 Mwmtpa in the other areas of lower abundance.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first three PVs are brought online over a three-year period in the TOML Area F with the five additional systems coming online over a period of 5 years. All nodules are assumed to be shipped to a receiving deepwater port in Indonesia for unload and processing to matte before shipping to the USA for further refinement.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information on the proposed mining methods can be found in section 13 of the NORI and TOML IA.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Mineral processing and metallurgical testing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polymetallic nodules in the TOML and NORI Areas have similar morphological, mineralogical, and grade characteristics. As noted in Section 10 of the TOML and NORI IA, all published historical work indicates that processing of nodules is technically feasible.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and NORI IA, which assessed the following mineral processing scenario.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Koniambo plant of Societe Le Nickel in New Caledonia.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pyrometallurgical process is expected to form two byproducts as well as the matte for the hydrometallurgical refinery:</w:t>
      </w:r>
    </w:p>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electric furnace slag containing silica and 53% MnO that is intended to be sold as feed to the Si-Mn industry; and</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converter aisle slag that could be used for aggregate in road construction or other applications.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hydrometallurgical refinery is expected to generate iron residues that would, for a stand-alone plant, require disposal. However, these streams can be recycled back to the pyrometallurgical plant for re-treatment and recovery of entrained pay metals.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Selection of ammonia as a principal reagent in the hydrometallurgical refinery means that an additional by-product, ammonium sulfate, may be generated. This could be sold into the fertilizer industry.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production of battery-grade nickel and cobalt sulfates is targeted instead of nickel or cobalt cathodes or other intermediate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summary: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parts of the proposed process have commercial precedents in similar or analogous industries, however not as a whole continuous flowsheet.</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Pay-metals are recovered in the following forms:</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Copper cathodes with an expected quality of </w:t>
            </w:r>
            <w:r>
              <w:rPr>
                <w:caps w:val="false"/>
                <w:smallCaps w:val="false"/>
              </w:rPr>
              <w:t>≥</w:t>
            </w:r>
            <w:r>
              <w:rPr>
                <w:rFonts w:ascii="Times New Roman;Times;serif" w:hAnsi="Times New Roman;Times;serif"/>
                <w:b w:val="false"/>
                <w:i w:val="false"/>
                <w:caps w:val="false"/>
                <w:smallCaps w:val="false"/>
                <w:sz w:val="20"/>
              </w:rPr>
              <w:t>99.9% Cu.</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Battery-grade nickel sulfate.</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Battery-grade cobalt sulfate.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Rather than generating large waste streams, the process is expected to produce by-products including high manganese content furnace slag and ammonium sulfate.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process assumptions used in this TOML and NORI IA will need to be verified as the project proceeds.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on mineral processing and metallurgical testing, see Section 10 of the TOML and NORI IA.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studies, permitting, community, or social impact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on environmental studies, permitting and social or community impact, see Section 17 of the TOML and NORI IA.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Internal controls and data verification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sample data are supported by independent third-party data, have been reviewed by the ISA LTC during the process of granting licenses to the Pioneer Contractors, and are maintained by the independent ISA.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 of the six independent data sets from the CCZ shows a high level of consistency in abundance and grade and, conversely, provides no evidence of bias or systematic error in the TOML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TOML nodule sampling confirms the existence, and abundance and grade continuity of the polymetallic nodules within the TOML Exploration Areas.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qualified person considered the abundance estimates derived from photographs to date from TOML Areas B and C, to be suitable for estimating nodule abundance for the mineral resource.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about quality control/quality assurance and data verification, see Section 8 and Section 9 of the TOML and NORI IA.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Qualified Persons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w:t>
      </w:r>
      <w:r>
        <w:rPr>
          <w:rFonts w:ascii="Times New Roman;Times;serif" w:hAnsi="Times New Roman;Times;serif"/>
          <w:i/>
          <w:sz w:val="20"/>
        </w:rPr>
        <w:t>NORI Contract Area – Qualified Persons</w:t>
      </w:r>
      <w:r>
        <w:rPr>
          <w:rFonts w:ascii="Times New Roman;Times;serif" w:hAnsi="Times New Roman;Times;serif"/>
          <w:sz w:val="20"/>
        </w:rPr>
        <w:t>” for information about the qualified persons under the SEC Mining Rules that contributed to the NORI Area A PFS and the TOML and NORI IA.</w:t>
      </w:r>
    </w:p>
    <w:p>
      <w:pPr>
        <w:pStyle w:val="TextBody"/>
        <w:bidi w:val="0"/>
        <w:spacing w:before="0" w:after="240"/>
        <w:ind w:left="0" w:right="0" w:hanging="0"/>
        <w:jc w:val="left"/>
        <w:rPr>
          <w:rFonts w:ascii="Times New Roman;Times;serif" w:hAnsi="Times New Roman;Times;serif"/>
          <w:b/>
          <w:sz w:val="20"/>
        </w:rPr>
      </w:pPr>
      <w:bookmarkStart w:id="49" w:name="Item3LEGALPROCEEDINGS_58172"/>
      <w:bookmarkStart w:id="50" w:name="_5d2441aa_984b_4ecb_b781_80f25637198f"/>
      <w:bookmarkEnd w:id="49"/>
      <w:bookmarkEnd w:id="50"/>
      <w:r>
        <w:rPr>
          <w:rFonts w:ascii="Times New Roman;Times;serif" w:hAnsi="Times New Roman;Times;serif"/>
          <w:b/>
          <w:i w:val="false"/>
          <w:caps w:val="false"/>
          <w:smallCaps w:val="false"/>
          <w:sz w:val="20"/>
        </w:rPr>
        <w:t>Item 3.</w:t>
      </w:r>
      <w:r>
        <w:rPr>
          <w:rFonts w:ascii="Times New Roman;Times;serif" w:hAnsi="Times New Roman;Times;serif"/>
          <w:b/>
          <w:sz w:val="20"/>
        </w:rPr>
        <w:t>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set forth below, we are not currently a party to any material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which is currently ongoing. At this time no further court proceedings or trial date have been set.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our initial classification of this non-financial asset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our securities between May 12, 2023, and March 25, 2024, and seeks to recover compensable damages caused by the alleged wrongdoings. On February 6, 2025, the Court appointed a lead plaintiff. An amended complaint was filed on March 6, 2025. Pursuant to court-approved scheduling, we filed our motion to dismiss on April 10, 2025. The lead plaintiff filed an opposition on May 15, 2025, and we filed our reply on June 5, 2025. On June 18, 2025, the Court granted our motion to dismiss in full but granted plaintiffs leave to amend. The plaintiffs filed a Second Amended Complaint on July 2, 2025. Our motion to dismiss the Second Amended Complaint was filed on August 6, 2025, the plaintiff’s opposition was filed on September 9, 2025, and our reply was filed by September 23, 2025. On January 20, 2026, the Court granted our motion to dismiss with prejudice, and the case was dismissed in its entirety. No appeal was filed, and the matter is now considered closed.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16, 2026, American Metal Inc. and American Metal Resources LLC filed a civil claim in the Supreme Court of British Columbia, Vancouver Registry, captioned American Metal Inc. and American Metal Resources LLC v. TMC The Metals Company Inc. and The Metals Company USA LLC, No. S260335. The notice of civil claim alleges various causes of action, including tortious intimidation, breach of contract, breach of confidence and breach of the duty of honest performance, arising from discussions between the parties regarding potential collaboration and the submission of applications for deep seabed mineral exploration licenses to the United States National Oceanic and Atmospheric Administration. The plaintiffs seek damages and other relief, including a declaration and constructive trust in respect of any exploration licenses awarded to TMC USA. On March 3, 2026, we filed a response to civil claim denying the material allegations in the notice of civil claim. On the same date, we filed a counterclaim against Robert Heydon, American Metal Inc. and American Metal Resources LLC alleging, among other things, breach of contract, breach of confidence, breach of fiduciary duty, inducement of breach of contract and related claims arising from the alleged misuse of the Company’s confidential information in connection with competing license applications. The litigation is in its early stages and no trial date has been set. We intend to vigorously defend against the claims and pursue our counterclaim. At this time, we are unable to estimate the potential loss, if any, associated with this matter.</w:t>
      </w:r>
    </w:p>
    <w:p>
      <w:pPr>
        <w:pStyle w:val="TextBody"/>
        <w:bidi w:val="0"/>
        <w:spacing w:before="0" w:after="240"/>
        <w:ind w:left="0" w:right="0" w:hanging="0"/>
        <w:jc w:val="left"/>
        <w:rPr>
          <w:rFonts w:ascii="Times New Roman;Times;serif" w:hAnsi="Times New Roman;Times;serif"/>
          <w:b/>
          <w:sz w:val="20"/>
        </w:rPr>
      </w:pPr>
      <w:bookmarkStart w:id="51" w:name="Item4MINESAFETYDISCLOSURES_182367"/>
      <w:bookmarkStart w:id="52" w:name="_af334c3e_b6de_4c70_9e06_46b96d678b6f"/>
      <w:bookmarkEnd w:id="51"/>
      <w:bookmarkEnd w:id="52"/>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3" w:name="PARTII_222301"/>
      <w:bookmarkStart w:id="54" w:name="_911de51f_63e0_46b8_95e3_2792761edb27"/>
      <w:bookmarkStart w:id="55" w:name="_Hlk129911140"/>
      <w:bookmarkEnd w:id="53"/>
      <w:bookmarkEnd w:id="54"/>
      <w:bookmarkEnd w:id="55"/>
      <w:r>
        <w:rPr>
          <w:rFonts w:ascii="Times New Roman;Times;serif" w:hAnsi="Times New Roman;Times;serif"/>
          <w:b/>
          <w:sz w:val="20"/>
        </w:rPr>
        <w:t>PART II</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6" w:name="Item5MARKETFORREGISTRANTSCOMMONEQUITYREL"/>
      <w:bookmarkEnd w:id="56"/>
      <w:r>
        <w:rPr>
          <w:rFonts w:ascii="Times New Roman;Times;serif" w:hAnsi="Times New Roman;Times;serif"/>
          <w:b/>
          <w:i w:val="false"/>
          <w:caps w:val="false"/>
          <w:smallCaps w:val="false"/>
          <w:sz w:val="20"/>
        </w:rPr>
        <w:t>Item 5.</w:t>
      </w:r>
      <w:r>
        <w:rPr>
          <w:rFonts w:ascii="Times New Roman;Times;serif" w:hAnsi="Times New Roman;Times;serif"/>
          <w:b/>
          <w:sz w:val="20"/>
        </w:rPr>
        <w:t>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common shares and Public Warrants trade on The Nasdaq Global Select Market under the symbols “TMC” and “TMCWW,”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Shareholders and Holders of Public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26, 2026, there were approximately 433,188,187 common shares issued and outstanding held of record by 356 holders, approximately 15,000,000 Public Warrants held of record by one holder exercisable for one common share at a price of $11.50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Such numbers do not include beneficial owners holding our securities through nominee names.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Unregistered Sales of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did not repurchase any of our equity securities during the quarter ended December 31,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Ownership and Exchange Controls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Exhibit 4.1 to this Annual Report for a summary of certain ownership and exchange controls imposed by Canadian law or by our Notice of Articles and Articles on the right of a non-resident of Canada to hold or vote common shares or restricts the export or import of capital, or that would affect the remittance of dividends (if any) or other payments by us to a non-resident of Canada holder of common shares.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Material U.S. and Canadian Federal Income Tax Considerations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Exhibit 4.1 to this Annual Report for summaries of the material U.S. federal income tax considerations applicable to you if you are a U.S. Holder (as defined below) of our common shares and/or Public Warrants and the material Canadian federal income tax considerations pursuant to the Income Tax Act (Canada) and the regulations thereunder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w:t>
      </w:r>
    </w:p>
    <w:p>
      <w:pPr>
        <w:pStyle w:val="TextBody"/>
        <w:bidi w:val="0"/>
        <w:spacing w:before="0" w:after="0"/>
        <w:ind w:left="0" w:right="0" w:hanging="0"/>
        <w:jc w:val="left"/>
        <w:rPr>
          <w:rFonts w:ascii="Times New Roman;Times;serif" w:hAnsi="Times New Roman;Times;serif"/>
          <w:b/>
          <w:sz w:val="20"/>
        </w:rPr>
      </w:pPr>
      <w:bookmarkStart w:id="57" w:name="_30d86f2d_0e02_4783_9bd0_f8b0fca99735"/>
      <w:bookmarkStart w:id="58" w:name="Item6RESERVED_545967"/>
      <w:bookmarkEnd w:id="57"/>
      <w:bookmarkEnd w:id="58"/>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59" w:name="Item7MANAGEMENTSDISCUSSIONANDANALYSISOFF"/>
      <w:bookmarkStart w:id="60" w:name="_b28e70cc_f978_492f_807a_bddf604967fe"/>
      <w:bookmarkEnd w:id="59"/>
      <w:bookmarkEnd w:id="60"/>
      <w:r>
        <w:rPr>
          <w:rFonts w:ascii="Times New Roman;Times;serif" w:hAnsi="Times New Roman;Times;serif"/>
          <w:b/>
          <w:i w:val="false"/>
          <w:caps w:val="false"/>
          <w:smallCaps w:val="false"/>
          <w:sz w:val="20"/>
        </w:rPr>
        <w:t>Item 7.</w:t>
      </w: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The following discussion of the financial condition and results of our operations should be read in conjunction with the financial statements and the notes to those statements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read the risk factors set forth in Item 1A of this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deep seabed minerals developer focused on the collection, processing and refining of polymetallic nodules found on the seafloor in international waters of the Clarion Clipperton Zone (“CCZ”), with NORI Area D located about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alongside meaningful concentrations of rare earth elements (REEs) in a single rock.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mission is to build a carefully managed shared stock of metal (a “metal commons”) that can be used, recovered and reused for generations to come. We believe significant quantities of newly mined metal are required because existing metal stocks are insufficient to meet rapidly rising demand.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four metals and REEs contained in the polymetallic nodules are on the U.S. Department of Interior’s “2025 List of Critical Minerals”, with end-uses in strategic sectors including semiconductors and AI data centers, steel manufacturing, the defense and marine industrial base. Nickel was included on the list of 13 minerals selected by the U.S. Department of War in March 2026 for targeted procurement efforts through the Defense Industrial Base Consortium. Our resource definition work to date shows that nodules in our contract areas represent the world’s largest estimated undeveloped resource of several of these critical metals. If we are able to collect polymetallic nodules from the seafloor on a commercial scale, we plan to use such nodules to initially produce nickel, cobalt and copper-bearing intermediate and metal cathode products as well as a manganese silicate product of approximately 40% manganese comparable to medium-grade manganese ore. Once in production, we may explore expanding into other product formats including silicomanganese alloy, battery-grade sulfates and precursor Cathode Active Materials (pCAM), as well as extracting REEs contained in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now in the development stage following the release of the results of a pre-feasibility study on one of our development areas in a report titled </w:t>
      </w:r>
      <w:r>
        <w:rPr>
          <w:rFonts w:ascii="Times New Roman;Times;serif" w:hAnsi="Times New Roman;Times;serif"/>
          <w:i/>
          <w:sz w:val="20"/>
        </w:rPr>
        <w:t>S-K 1300 Prefeasibility Study for NORI Area D Technical Report Summary</w:t>
      </w:r>
      <w:r>
        <w:rPr>
          <w:rFonts w:ascii="Times New Roman;Times;serif" w:hAnsi="Times New Roman;Times;serif"/>
          <w:sz w:val="20"/>
        </w:rPr>
        <w:t xml:space="preserve">, dated August 4, 2025, prepared by AMC Consultants Pty Ltd. and other qualified persons (the “NORI-D PFS”), which declared the world’s first mineral reserves for a seafloor polymetallic nodule project demonstrating the project’s economic viability. We also recently released an initial assessment of certain of our other development areas in a report titled </w:t>
      </w:r>
      <w:r>
        <w:rPr>
          <w:rFonts w:ascii="Times New Roman;Times;serif" w:hAnsi="Times New Roman;Times;serif"/>
          <w:i/>
          <w:sz w:val="20"/>
        </w:rPr>
        <w:t>S-K 1300 Technical Report Summary—Initial Assessment of TOML and NORI Properties</w:t>
      </w:r>
      <w:r>
        <w:rPr>
          <w:rFonts w:ascii="Times New Roman;Times;serif" w:hAnsi="Times New Roman;Times;serif"/>
          <w:sz w:val="20"/>
        </w:rPr>
        <w:t>, Clarion-Clipperton Zone, dated August 4, 2025, prepared by AMC Consultants Pty Lt. and other qualified persons (the “TOML and NORI IA” together with the NORI-D PFS, the “Technical Reports”). We have yet to obtain a commercial recovery permit or other related offshore and onshore permits from the regulators. Additionally, we do not yet hold the environmental or other permits required to construct and operate commercial-scale polymetallic nodule processing and refining facilities on land.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Two parallel regulatory regimes exist to regulate deep seabed exploration and extraction activities in the high seas. The United States adopted the Deep Seabed Hard Mineral Resources Act of 1980 (“DSHMRA”), a U.S. domestic statute administered by the U.S. Department of Commerce through the National Oceanic and Atmospheric Administration (“NOAA”) to regulate deep-sea mining activities of its citizens in the high seas. NOAA implemented regulations for exploration licenses in 1981 and for commercial recovery permits in 1989 and amended these regulations introducing a consolidated exploration license and commercial recovery permit application process in 2026. In parallel, the International Seabed Authority (“ISA”), comprised today of 171 countries and the European Union was established in 1994, pursuant to the United Nations Convention on the Law of the Sea (“UNCLOS”) to regulate deep seabed exploration and exploitation activities of the nationals of Member States. The ISA has adopted exploration regulations in 2000 (amended in 2013 and 2014) and issued 19 polymetallic nodule exploration contracts (17 of which are located in the CCZ) but has been unable to adopt the final exploitation regulations, standards and guidelines despite initiating work in 2014. Almost 30 countries, including the United States, have not ratified UNCLOS and are not Member States of the ISA. The United States has remained a persistent objector to UNCLOS ratification, primarily due to its Part XI seabed mining provisions.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continue focusing on advancing our commercial production strategy under the DSHMRA regime. In April 2025, our wholly owned subsidiary, The Metals Company USA, LLC (“ TMC USA”), submitted two exploration license applications (covering 187,017 square kilometers in the CCZ referred to as TMC USA-A and TMC USA-B) and one commercial recovery permit application (covering 25,160 square kilometers in the CCZ referred to as TMC USA-A) to NOAA. Following the introduction of the consolidated application process by NOAA in January 2026, TMC USA submitted a consolidated exploration license and commercial recovery permit application covering a subset of TMC USA-A area previously applied over in April 2025. The application areas in total are estimated to hold approximately 1.639 billion wet tonnes of measured, indicated and inferred mineral resources. Together, the mineral resources are estimated to contain approximately 15.5 million tonnes of nickel, 12.8 million tonnes of copper, 2.0 million tonnes of cobalt, and 345 million tonnes of manganese.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DSHMRA provides a viable and robust regulatory path to commercial production, distinct from the ISA regime under UNCLOS, which despite expectations to the contrary, has repeatedly failed to adopt the Regulations and Standards and Guidelines on the Exploitation of Mineral Resources in the Area. On April 24, 2025, the Executive Order 14825, titled “Unleashing America’s Offshore Critical Minerals and Resources” directed the Commerce Secretary to implement an expedited permitting process under DSHMRA. In addition to directing the International Development Finance Corporation, Export-Import Bank and Trade and Development Agency to identify tools to support this new industry, the Executive Order instructed the Departments of War and Energy to assess the use of the National Defense Stockpile for nodule-derived minerals and of entering into offtake agreements for the procurement of these minerals. These departments were also directed to review and support domestic processing capabilities for seabed mineral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the same time as we pursue the U.S. regulatory pathway, we continue to maintain our ISA contracts and comply with all of our contractual obligations under the ISA system. While the ISA does not have jurisdiction over activities conducted under the regulatory authority of the United States, we maintain two ISA exploration contracts in the CCZ, one held by our subsidiary Nauru Ocean Resources Inc. (“NORI”), sponsored by the Republic of Nauru (“Nauru”), and another held by Tonga Offshore Mining Limited (“TOML”), sponsored by the Kingdom of Tonga (“Tonga”). Operations of NORI and TOML in the CCZ are being conducted under our ISA exploration contracts and will be conducted under these contracts until TMC USA receives an exploration license or commercial recovery permit under DSHMRA from NOAA.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key strategic partnerships with (i) Allseas, a leading global offshore engineering contractor, which developed and tested a pilot collection system, and is now modifying it into the first commercial production system, (ii) Pacific Metals Co. Ltd. (“PAMCO”), an experienced Japanese ferronickel producer, which is responsible for pre-feasibility and feasibility studies on nodule processing at their smelting facilities in Hachinohe, Japan, (iii) Korea Zinc, a world leader in non-ferrous metal refining and precursor Cathode Active Material (“pCAM”) technology, partnering to advance development in the U.S. and (iv) Mariana Minerals, a software-first mineral developer and operator working as part of TMC USA’s owners’ team to accelerate the development of potential domestic onshore processing and refining facilities (“Mariana”) and (v) Glencore International AG (“Glencore”) which holds offtake rights to 50% of the NORI nickel and copper production if produced from a TMC-owned or controlled facility. In addition, we are working with engineering firm Hatch Ltd. (“Hatch”) and consultants Kingston Process Metallurgy Inc. (“KPM”) to develop, test and engineer a near-zero solid waste flowsheet. The primary processing stages of the flowsheet from nodule to NiCuCo matte intermediate were demonstrated as part of our pilot plant program at FLSmidth facilities in Pennsuylvania, USA and XPS’ (Glencore subsidiary) facilities in Ontario, Canada; and later at industrial scale at PAMCO’s facilities in Hachinohe, Japan. The matte refining stages have been tested at an SGS facility in Lakefield Canada with positive results. The near-zero solid waste flowsheet provides a design that is expected to serve as the basis for our onshore processing facilities. On March 19, 2026, we signed a Strategic Partnership Agreement with Mariana focusing on the potential development of a nodule processing and refining facility in the Port of Brownsville, Texas as part of our owner’s team.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reach our objective and initiate commercial production, we are working to: (i) further refine our project economics, (ii) completed the development and commision a commercial offshore nodule collection system, (iii) continue to assess the environmental, social and cultural impacts of offshore nodule collection, and (iv) secure existing foreign and/or develop new domestic U.S. onshore facilities to process collected polymetallic nodules into a manganese silicate product, an intermediate nickel-copper-cobalt matte product and end-products of nickel, cobalt and copper metal.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2025 Highlights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Below are a few of the developments that occurred in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Developments with our Projects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Publication of Technical Reports Prepared under Subpart 1300 of Regulation S-K</w:t>
      </w:r>
    </w:p>
    <w:p>
      <w:pPr>
        <w:pStyle w:val="TextBody"/>
        <w:bidi w:val="0"/>
        <w:spacing w:lineRule="auto" w:line="300" w:before="0" w:after="240"/>
        <w:ind w:left="0" w:right="0" w:firstLine="288"/>
        <w:jc w:val="both"/>
        <w:rPr>
          <w:rFonts w:ascii="Times New Roman;Times;serif" w:hAnsi="Times New Roman;Times;serif"/>
          <w:sz w:val="20"/>
        </w:rPr>
      </w:pPr>
      <w:r>
        <w:rPr>
          <w:rFonts w:ascii="Times New Roman;Times;serif" w:hAnsi="Times New Roman;Times;serif"/>
          <w:sz w:val="20"/>
        </w:rPr>
        <w:t>On August 4, 2025, we released (i) the NORI-D PFS, which declared the world’s first mineral reserves for a seafloor polymetallic nodule project demonstrating the project’s economic viability, and the TOML and NORI IA, which provided a concept level valuation for the resources outside of NORI Area D. The NORI-D PFS covers a portion of the area that is included in NORI’s ISA exploration contract and in TMC USA’s consolidated application for exploration license and commercial recovery permit (TMC USA-A) under DSHMRA. The TOML and NORI IA covers the remaining areas held under NORI’s and TOML’s ISA exploration contracts and portions of the areas covered under TMC USA’s applications for exploration license and commercial recovery permits under DSHMRA.</w:t>
      </w:r>
    </w:p>
    <w:p>
      <w:pPr>
        <w:pStyle w:val="TextBody"/>
        <w:pBdr/>
        <w:bidi w:val="0"/>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TMC USA Submits Applications for Commercial Recovery of Deep-Sea Minerals Under U.S. Seabed Mining Code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29, 2025, we announced that TMC USA had submitted the first-ever application for a commercial recovery permit and two exploration licenses under DSHMRA. The application area for the commercial recovery permit, TMC USA-A, covers a total combined area of 25,160 square kilometers in the CCZ which includes areas that contain the Company’s already indicated and measured resources. TMC USA also submitted two exploration license applications: TMC USA-A and TMC USA-B with a total combined area of 187,017 square kilometers. The Company believes the TMC USA-A and USA-B exploration areas contain 1.635 billion wet tonnes of polymetallic nodules, with an additional potential exploration upside. The resources are estimated to contain approximately 15.5 million tonnes of nickel, 12.8 million tonnes of copper, 2.0 million tonnes of cobalt, and 345 million tonnes of manganese.</w:t>
      </w:r>
    </w:p>
    <w:p>
      <w:pPr>
        <w:pStyle w:val="TextBody"/>
        <w:pBdr/>
        <w:bidi w:val="0"/>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NOAA Confirms Full Compliance of TMC USA’s Exploration License Applications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11, 2025, TMC USA received notice of full compliance from NOAA on its exploration applications, and confirmation that TMC USA has priority right over both exploration areas. Both applications entered the certification stage in late July 2025. The news follows earlier determinations by NOAA in May 2025 that the applications were in substantial compliance, which we believe demonstrates a systematic regulatory process under DSHMRA as we target a fourth quarter 2027 commissioning, subject to timely obtaining all necessary regulatory approvals.</w:t>
      </w:r>
    </w:p>
    <w:p>
      <w:pPr>
        <w:pStyle w:val="TextBody"/>
        <w:pBdr/>
        <w:bidi w:val="0"/>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TMC Pioneers Process to Produce High-Purity Manganese Sulfate from Seafloor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2025, we announced that we had successfully produced battery-grade, high-purity manganese sulfate from our nodule-derived manganese silicate product during bench scale trials at our partner KPM’s operating facility in Ontario. North America is largely reliant on foreign sources of manganese. As the planet’s largest source of manganese, nodules hold significant potential to supply a range of key industries from steelmaking and infrastructure to energy, defense and automotive manufacturing, with automakers increasingly turning toward manganese-rich cathode chemistries for their next-generation electric vehicles.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TMC and PAMCO Achieve Nodule Processing Milestone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18, 2025, we announced that PAMCO had successfully smelted 450 tonnes of calcine into 35 tonnes of NiCuCo alloy and 320 tonnes of Mn silicate products, during a campaign to process a 2,000-tonne sample of deep-seafloor polymetallic nodules at our partner PAMCO’s Hachinohe Rotary Kiln Electric-Arc Furnace facility in Hachinohe, Japan, demonstrating the process at scale. The process data and operational experience gathered during the processing trial was used by PAMCO to complete a feasibility study in June 2025 which will inform expected definitive processing agreements between the parties.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 Regulatory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TMC Welcomes U.S. Executive Order to Expedite Permitting and Evaluate Offtake of Critical Minerals from Nodules in the High Seas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25, 2025, we welcomed an Executive Order signed by President Trump to create a robust domestic supply for critical minerals derived from seabed resources. The Executive Order, ‘Unleashing America’s Offshore Critical Minerals and Resources’, directs the Commerce Secretary to implement an expedited permitting process under the DSHMRA, a statute passed by Congress in 1980. In addition to directing the International Development Finance Corporation, Export-Import Bank and Trade and Development Agency to identify tools to support this new industry, the order instructs the Departments of War and Energy to assess the use of the National Defense Stockpile for nodule-derived minerals and entering into offtake agreements for the procurement of these minerals. These departments are also directed to review and support domestic processing capabilities for seabed mineral resources and Defense Production Act authorities. The executive order also issued a directive for a joint assessment, led by the Secretaries of Commerce, State, Interior, and Energy in coordination with U.S. partners and allies, on the feasibility of an international seabed benefit-sharing mechanism.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Corporate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TMC and Nauru Announce Updated Sponsorship Agreement for Nauru Ocean Resources Inc. (NORI)</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4, 2025, we announced the signing of a revised Sponsorship Agreement (Agreement), updating the terms of the Agreement signed between the parties in 2017. The Agreement guarantees that Nauru will continue to receive existing financial benefits, training and capacity building programs and in-country community and social programs it receives today, while ensuring that, in consideration for its continued sponsorship of NORI, Nauru will receive continuity benefits upon the commencement of commercial production by any subsidiary of TMC, other than NORI, under the U.S. regulatory regime.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TMC and Tonga Announce Updated Sponsorship Agreement for Tonga Offshore Mining Ltd. (TOML)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4, 2025, we announced the signing of a revised Sponsorship Agreement (Agreement), updating the terms of the Agreement signed between the parties in 2021. The Agreement guarantees that Tonga will continue to receive existing financial benefits, training and capacity building programs and in-country community and social programs it receives today, while ensuring that, in consideration for its continued sponsorship of TOML, Tonga will receive continuity benefits upon the commencement of commercial production by any subsidiary of TMC, other than TOML, under the U.S. regulatory regime.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Rutger Bosland, Pioneering Engineer and Technical Lead on Development of TMC’s Nodule Collection System, Joins TMC to Drive Commercial Readiness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15, 2025, we announced that Rutger Bosland, the engineer and technical lead who oversaw the design, build, and successful test deployment of Allseas’ integrated nodule collection system, had joined the Company as Chief Innovation and Offshore Technology Officer (CIOTO). Rutger will lead offshore innovation and efforts to scale our technologies for commercial production. He brings world-class expertise in deep-sea mining, naval architecture, and offshore operations to TMC, having led a team of 80+ engineers in developing TMC’s nodule collection system, and Allseas’ program to scale-up nodule collection technology in preparation for TMC’s planned commercial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Industry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TMC CEO Testifies to U.S. House of Representatives on Benefits of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29, 2025, our CEO Gerard Barron gave testimony during a meeting of the U.S. House Natural Resources Subcommittee on Oversight and Investigations at a hearing titled, “</w:t>
      </w:r>
      <w:r>
        <w:rPr>
          <w:rFonts w:ascii="Times New Roman;Times;serif" w:hAnsi="Times New Roman;Times;serif"/>
          <w:i/>
          <w:sz w:val="20"/>
        </w:rPr>
        <w:t>Exploring the Potential of Deep-Sea Mining to Expand American Mineral Production</w:t>
      </w:r>
      <w:r>
        <w:rPr>
          <w:rFonts w:ascii="Times New Roman;Times;serif" w:hAnsi="Times New Roman;Times;serif"/>
          <w:sz w:val="20"/>
        </w:rPr>
        <w:t>”. In his remarks as an expert witness, Mr Barron highlighted the abundant, unattached polymetallic nodule resource as a platform to secure new supplies of critical minerals essential for U.S. infrastructure, defense, energy and technology. Another expert witness, Dr. Thomas Peacock of MIT — one of the world’s leading experts on deep-sea sediment plume dynamics — asked the Committee to be wary of misinformation, stating “unfortunately it’s not the case” that the latest scientific findings are being used to drive decisions and discussions about deep-sea mining.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Peer-reviewed Rebuttal to Publication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19, 2025, a peer-reviewed rebuttal was published in Frontiers in Marine Science refuting earlier claims in a paper published by Nature Geoscience that purported that seafloor nodules produce oxygen in the absence of sunlight. The rebuttal argues that the dark oxygen hypothesis is incompatible with decades of established evidence, and far better explained by the deliberate omission of contradictory data and improper equipment use. The peer-reviewed rebuttal follows the earlier submission of multiple rebuttals to Nature warning of serious flaws with the paper’s methodology and claims, including selective reporting of data and omission of key evidence which showed oxygen levels increasing without nodules, directly contradicting the authors’ claims.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Peer-reviewed Nature Study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December 5, 2025, a peer-reviewed study published in </w:t>
      </w:r>
      <w:r>
        <w:rPr>
          <w:rFonts w:ascii="Times New Roman;Times;serif" w:hAnsi="Times New Roman;Times;serif"/>
          <w:i/>
          <w:sz w:val="20"/>
        </w:rPr>
        <w:t>Nature Ecology &amp; Evolution</w:t>
      </w:r>
      <w:r>
        <w:rPr>
          <w:rFonts w:ascii="Times New Roman;Times;serif" w:hAnsi="Times New Roman;Times;serif"/>
          <w:sz w:val="20"/>
        </w:rPr>
        <w:t>, based on data collected two months after TMC’s test mining, confirmed that biodiversity impacts were confined to the directly mined areas, with no significant changes in plume-affected zones. Independent researchers observed 37% fewer organisms and a 32% reduction in species richness within collector tracks—impacts that were expected and less severe than anticipated. There will likely have been recolonization of mined areas over time, increasing species richness as has been observed with other size classes of sedimentary benthic biota.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Peer-reviewed Nature study demonstrates seafloor plume stays low, settles fast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27, 2025, a peer-reviewed study published in Nature based upon in-field data gathered from TMC’s test mining using innovative thorium-tracing techniques shows the plume stays low, settles fast, with concentrations returning to background levels within just 1-2 kilometers.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TMC Announces Registered Direct Offering for $37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2025, we entered into a securities purchase agreement with certain new and existing investors, including an existing strategic investor, for the sale of an aggregate of 12,333,333 common shares (the “Shares”) and accompanying Class C warrants (the “Class C Warrants”), in a registered direct offering. The offering price was $3.00 per Share, resulting in gross proceeds of $37.0 million ($36.75 million after associated fees), with each Share including an accompanying Class C Warrant to purchase one common share. The Class C Warrants are exercisable immediately upon issuance at a price of $4.50 per share and expire three years from issuance. The Class C Warrants include customary anti-dilution protections and a repurchase feature, permitting the Company to repurchase the warrants for $0.0001 per Common Share underlying the Class C Warrants if the volume-weighted average price of the Company’s common shares exceeds $7.00 per share for each trading day in a consecutive 20-trading-day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Strategic Investment from Korea Zinc — a World-Leader in Non-Ferrous Metal Refining and pCAM Technology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16, 2025, we announced that Korea Zinc, a world leader in non-ferrous metal refining and precursor Cathode Active Material (pCAM) technology, had agreed to make a strategic investment of approximately $85.2 million in us through the purchase of common shares and warrants in a private placement. Under the terms of the agreement, Korea Zinc purchased 19.6 million common shares at the last market closing price of $4.34 per share and received a three-year warrant to purchase 6.9 million common shares (0.35 warrant shares for every 1 initial common share for no additional consideration) with an exercise price of $7.00 per share, subject to call exercise provisions at our option should our common shares trade above $10.00 for 20 consecutive days. Upon closing on June 26, 2025, Korea Zinc became one of our largest strategic shareholders with ownership of approximately 5% of our outstanding common shares. As part of this investment, in July 2025, Yun B. Choi, the Chief Executive Officer of Korea Zinc became a non-voting observer to our board of directors.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TMC Board Appointments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Appointment of Michael Hess and Alex Spiro to our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16, 2025, we announced the appointment of Michael Hess and Alex Spiro to our Board of Directors strengthening our board as we execute on our U.S. strategy and accelerate progress toward commercial recovery of polymetallic nodules in international waters under the existing U.S. seabed mining code. Mr. Hess brings deep operational and investment experience in the U.S. energy sector, along with a strong network and strategic perspective that will support our path toward commercial operations under U.S. law. Mr. Spiro adds significant legal and capital markets expertise, and his counsel is already proving valuable as we work closely with NOAA and engage with the new Administration to advance our application.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Developments Subsequent to December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TMC Welcomes NOAA Rule Modernizing Deep-Seabed Mining Permits for U.S. Companies in the High Seas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21, 2026, we welcomed the new rule issued by the National Oceanic and Atmospheric Administration (NOAA) updating regulations governing deep seabed mineral exploration and commercial recovery under DSHMRA. Final rule establishes a consolidated application and review process under DSHMRA, allowing companies that have completed the necessary exploration, environmental, and technological development work to rely on exploration-phase data in commercial recovery permit applications, reducing duplication and improving regulatory efficiency.</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b/>
          <w:i/>
          <w:sz w:val="20"/>
        </w:rPr>
        <w:t>TMC USA Files First Consolidated Deep-Seabed Mining Application, Increasing Expected Commercial Recovery Permit Area to 65,000 km</w:t>
      </w:r>
      <w:r>
        <w:rPr>
          <w:rFonts w:ascii="Times New Roman;Times;serif" w:hAnsi="Times New Roman;Times;serif"/>
          <w:b/>
          <w:i/>
          <w:sz w:val="15"/>
        </w:rPr>
        <w:t>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22, 2026, we announced that TMC USA had submitted a consolidated application to NOAA for an exploration license and a commercial recovery permit for polymetallic nodules in international waters of the CCZ. The application represents the first consolidated exploration license and commercial recovery permit application submitted under NOAA’s new consolidated application and review process and increases the applied for commercial recovery area from ~25,000 to ~65,000 km2, with an estimated resource of 619 million tonnes (Mt) of wet nodules and a potential exploration upside. TMC USA was able to apply under NOAA’s new consolidated process because it can demonstrate the scientific, technical and financial capability to pursue commercial recovery activities expeditiously.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NOAA Determines TMC USA’s Consolidated Deep-Seabed Mining Application is in Substantial Compliance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9, 2026, we announced that NOAA determined that the consolidated application submitted by TMC USA for an exploration license and commercial recovery permit is in substantial compliance with the applicable requirements under DSHMRA and its implementing regulations. This determination marks a key step in the U.S. regulatory process for exploration and commercial recovery of polymetallic nodules in the CCZ under NOAA’s new rule establishing a consolidated application and review process. The process enables a more efficient regulatory timeline by allowing exploration-phase environmental, geological, and engineering data to be incorporated directly into the commercial recovery review.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Strategic Partnership with Mariana Minerals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19, 2026, we signed a Strategic Partnership Agreement with Mariana Minerals (“Mariana”) focusing on the potential development of a nodule processing and refining facility in the Port of Brownsville, Texas as part of our owner’s team. Mariana brings an AI, software-first approach to the permitting, construction and operation of critical mineral projects: fast-tracked capital project execution, which enabled Tesla to build its Lithium plant in Texas in less than 20 months and is core to how SpaceX and other cutting edge businesses operate, can be even further accelerated via a software-first approach and offers a faster, more modern pathway to re-industrialization.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Exclusivity on Lease Option for Site in Brownsville, Texas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27, 2026, we announced that TMC USA currently holds an exclusive right of negotiation with the Port of Brownsville, Texas on a lease and / or lease option for land sufficient to develop a domestic nodule processing and refining ecosystem for TMC USA and other American nodule developers, with the ultimate decision conditional on U.S. government support. The option on a 50-year lease covers a total of 1,466 acres of land at the Port of Brownsville, Texas, in two separate land parcels (735 acres on the Brownsville Texas Shipping Channel and an adjacent 731 acres). There is currently no financial commitment required of TMC USA.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 of Mining of Deep-Sea Polymetallic Nodules by the United States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Deep Seabed Hard Mineral Resources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establishes a domestic legal regime for U.S. citizens to explore for and commercially recover hard mineral resources from the seabed in areas beyond U.S. national jurisdiction. DSHMRA affirms that deep-sea mining is a lawful freedom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NOAA’s implementing regulations detail the criteria and conditions for issuance of deep seabed exploration licenses and commercial recovery permits to U.S. citizens, including any individual, corporation, or other entity organized under the laws of a U.S. state or territory.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 (iv) is not expected to result in significant adverse environmental effects; and (v) does not pose undue risk to life or property at sea. These findings reflect NOAA’s mandate of advancing U.S. commercial interests in seabed minerals while minimizing environmental and diplomatic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NOAA has historically adopted a cautious and science-based regulatory posture under DSHMRA, coordinating with other U.S. federal agencies and supporting environmental studies to inform future decisions. In the 1980s and 1990s, the United States entered into reciprocal recognition arrangements with other nations with similar domestic seabed mining laws, helping avoid overlapping claims prior to the establishment of the ISA. Once the ISA became operational in the 1990s, most reciprocating states transitioned to the UNCLOS/ISA system. The United States, however, remains outside that framework. NOAA is not restricted under DSHMRA from issuing licenses or permits over areas that are also subject to ISA exploration or exploitation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licenses under DSHMRA grant exclusive rights to conduct technical studies in a defined area and are issued for ten-year terms, subject to extension. Commercial recovery permits authorize full-scale extraction for a period of 20 years subject to extension and are subject to enhanced environmental and operational requirements. To date, NOAA has issued exploration licenses over four areas. Two of these licenses (USA-1 and USA-4) remain active and are currently held by Lockheed Martin. These licenses have been renewed until 2027 in accordance with DSHMRA’s statutory provisions, which require NOAA to grant extensions if the licensee has substantially complied with license terms. NOAA has not issued any commercial recovery permits under DSHMRA as no U.S. citizen had applied for a commercial recovery permit prior to TMC USA.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certification process includes an interagency consultation with other U.S. government departments (including the Department of State, the Department of War, and the Environmental Protection Agency). Following certification, an Environmental Impact Statement, or EIS, is expected to be prepared under NEPA, and a public comment period will be provided. Following the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 or unforeseen environmental harm.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and its implementing regulations do not include a statutory deadline for application review. However, the Executive Order signed by President Trump on April 24, 2025, directs the Commerce Secretary to implement an expedited permitting process under DSHMRA.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requires that all mining vessels and at least one transport vessel are U.S. flagged. TMC USA will ensure all vessels contracted for commercial recovery comply with relevant laws pertaining to vessel standards and crew safety. DSHMRA also requires that recovered minerals be processed in the United States unless a waiver is granted, in which case the permittee is required to provide assurances that processed materials are returned to the United States. We are currently evaluating U.S.-based vessel and processing options to satisfy this requirement as well as working with Japan and South Korea-based supply chain to ensure processed materials can be returned to the United States in the event the permit to process outside the United States is granted for an initial period. If necessary, we expect to seek a waiver based on the statutory criteria and applicable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become subject to additional U.S. laws and regulations as development progresses and are in the early stages of analyzing their applicability and potential impact on our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Existing ISA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hold exploration rights to certain polymetallic nodule areas in the CCZ through our subsidiaries NORI and TOML, sponsored by the Republic of Nauru and the Kingdom of Tonga,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our wholly-owned subsidiary, holds exploration rights to four blocks (NORI Area A, B, C, and D, the “NORI Contract Area”) covering 74,830 square kilometers in the CCZ that were granted by the ISA in July 2011. NORI is sponsored by Nauru pursuant to a certificate of sponsorship signed by the Government of Nauru on April 11, 2011. In September 2017, Nauru and NORI entered into a sponsorship agreement formalizing certain obligations of the parties in relation to NORI’s exploration and potential collection of nodules in the NORI Contract Area, which was revised in May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TOML, our wholly-owned subsidiary which we acquired in March 2020, holds exploration rights to an area covering 74,713 square kilometers in the CCZ that were granted by the ISA in January 2012 (the “TOML Contract Area”). On March 8, 2008, Tonga and TOML entered into a sponsorship agreement formalizing certain obligations of the parties in relation to TOML’s exploration and potential collection of nodules in the TOML Contract Area, which was most recently revised in August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Key Trends, Opportunities and Uncertainties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currently a pre-revenue company, and we do not anticipate earning revenues (other than potential service revenue) until one of our wholly-owned subsidiaries receives an exploitation contract or commercial recovery permit and we are able to successfully collect and process polymetallic nodules into saleable products on a commercial scale. We believe that our performance and future success pose risks and challenges, including those related to the approval of an application for a commercial recovery permit, development of environmental terms, conditions and restrictions associated with our application and development of our technologies to collect and process polymetallic nodules. The timing of NOAA’s review and decision on our exploration license and commercial recovery permit applications under DSHMRA remains uncertain and is outside the Company’s control. Actual timelines for certification, environmental review, and potential issuance of licenses or permits may differ materially from management’s expectations. These risks, as well as other risks, are discussed in Item 7A entitled “</w:t>
      </w:r>
      <w:r>
        <w:rPr>
          <w:rFonts w:ascii="Times New Roman;Times;serif" w:hAnsi="Times New Roman;Times;serif"/>
          <w:i/>
          <w:sz w:val="20"/>
        </w:rPr>
        <w:t>Quantitative and Qualitative Disclosures About Market Risk</w:t>
      </w:r>
      <w:r>
        <w:rPr>
          <w:rFonts w:ascii="Times New Roman;Times;serif" w:hAnsi="Times New Roman;Times;serif"/>
          <w:sz w:val="20"/>
        </w:rPr>
        <w:t>” and Item 1A entitled “</w:t>
      </w:r>
      <w:r>
        <w:rPr>
          <w:rFonts w:ascii="Times New Roman;Times;serif" w:hAnsi="Times New Roman;Times;serif"/>
          <w:i/>
          <w:sz w:val="20"/>
        </w:rPr>
        <w:t>Risk Factors</w:t>
      </w:r>
      <w:r>
        <w:rPr>
          <w:rFonts w:ascii="Times New Roman;Times;serif" w:hAnsi="Times New Roman;Times;serif"/>
          <w:sz w:val="20"/>
        </w:rPr>
        <w:t>” included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Impact of Climate Change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committed to adopting the Task Force on Climate-Related Financial Disclosures recommendations. In our Impact Report, we provided climate-related disclosure and shared how our vision is aligned with supporting the global energy transition and contributing to a circular metals economy. We recognize that climate change may have a meaningful impact on our financial performance over time, and we continue the process of assessing key risks and corresponding action plans to mitigate their negative impact of climate change on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climate related transition risks and opportunities are likely to be driven by changes in regulation, public policy, and technology as well as risk of business disruptions due to climate related events.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Regulations related to emissions limits, such as cap-and-trade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working on a plan for continuous reduction of emissions and aiming to develop operations with near zero emissions. When selecting the location of our onshore plant, one of our requirements is access to renewable energy as our metallurgical process will be the most energy intensive step in our operations. In addition, we are seeking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Public policy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seeking to close the emerging supply gap of the critical metals contained in nodules needed for the transition to renewable energy and adoption of EVs and other critical and/or emerging applications. We plan to take advantage of this opportunity to supply these potentially lower carbon critical metals, avoid deforestation, and help reduce the cost of batteries.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Technology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Physical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Impact of Global Inflation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global inflation rate stayed relatively high in 2025 and over the past several years, marine fuel prices and vessel day rates remained high and have increased our exploration expenses beyond what was originally expected. Additionally, we are experiencing higher offshore labor costs through our contractors.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pre-revenue company, persistent inflation may affect our ultimate cash requirements prior to our ability to begin commercial production.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currently conduct our business through one operating segment. As a pre-revenue company with no commercial operations, our activities to date have been limited. Our results are reported under Generally Accepted Accounting Principles in the United States (“U.S. GAAP”) and in U.S. dollars.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in the development stage with no revenue to date and a net loss of $319.8 million for the year ended December 31, 2025, compared to a net loss of $81.9 million in the prior year. We have an accumulated deficit of approximately $951.3 million from inception through December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align our operating expenses based on activity performed by our personnel which allocates these costs under Exploration and Evaluation expenses and General and Administrative expenses. This alignment is adjusted throughout the year to reflect changes in business activities.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we have not generated any revenue. We expect to generate revenue once we receive a commercial recovery permit, and we are able to successfully collect and process polymetallic nodules into saleable products on a commercial scale. Any revenue from initial production is difficult to predict.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expense all costs relating to exploration and development of mineral claims. Such exploration and development costs include, but are not limited to, regulatory approvals, exploration mineral title management, geological, geochemical and geophysical studies, environmental baseline studies and process development activities. Our exploration expenses are impacted by the amount of exploration work conducted during each period. The acquisition cost of polymetallic nodule mineral title will be charged to operations as amortization expense on a unit-of-production method based on proven and probable reserves should commercial production commence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(“G&amp;A”) expenses consist primarily of compensation for employees, consultants and directors, including wages and salaries,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costs from the issuance of stock options and restricted share units (“RSUs”) are measured at the grant date based on the fair value of the award and are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Nauru and Tonga Warrant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Nauru and Tonga Warrant costs represent the fair value of the warrants issued as part of the revised sponsorship agreement with the Government of the Republic of Nauru signed on May 29, 2025 and the revised sponsorship agreement with the Tonga Seabed Minerals Authority signed on August 4, 2025. As the warrants did not contain complex features, the fair value was calculated using a Black-Scholes valuation model.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Income/Expense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consists primarily of interest earned on our cash balance.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Fees and interest on borrowings and credit facilities represent interest charged on our short-term debt and interest and underutilization fees associated with our credit facilities.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Foreign Exchange Loss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foreign exchange income or loss for the periods reported primarily relates to unrealized gain or loss due to revaluation of foreign denominated accounts payable and accrued liabilities.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warrants liabilities primarily consists of the change in the fair value of the 9,500,000 Private Warrants issued to Sustainable Opportunities Holdings LLC concurrently with Sustainable Opportunities Acquisition Corp.’s (“SOAC”) initial public offering (the “Private Warrants”). For accounting purposes, we were considered to have issued the Private Warrants as part of the Business Combination, and we are required to re-measure the fair value of our Private Warrants at the end of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discussion of our results of operations for the years ended December 31, 2025 and 2024. Our accounting policies are described in Note 3 “Significant Accounting Policies” in our annual financial statements herein.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periods ended December 31, 2025 and 2024</w:t>
      </w:r>
    </w:p>
    <w:tbl>
      <w:tblPr>
        <w:tblW w:w="10205" w:type="dxa"/>
        <w:jc w:val="left"/>
        <w:tblInd w:w="0" w:type="dxa"/>
        <w:tblLayout w:type="fixed"/>
        <w:tblCellMar>
          <w:top w:w="0" w:type="dxa"/>
          <w:left w:w="0" w:type="dxa"/>
          <w:bottom w:w="0" w:type="dxa"/>
          <w:right w:w="0" w:type="dxa"/>
        </w:tblCellMar>
      </w:tblPr>
      <w:tblGrid>
        <w:gridCol w:w="2389"/>
        <w:gridCol w:w="346"/>
        <w:gridCol w:w="211"/>
        <w:gridCol w:w="680"/>
        <w:gridCol w:w="346"/>
        <w:gridCol w:w="211"/>
        <w:gridCol w:w="680"/>
        <w:gridCol w:w="346"/>
        <w:gridCol w:w="871"/>
        <w:gridCol w:w="361"/>
        <w:gridCol w:w="211"/>
        <w:gridCol w:w="781"/>
        <w:gridCol w:w="346"/>
        <w:gridCol w:w="211"/>
        <w:gridCol w:w="680"/>
        <w:gridCol w:w="346"/>
        <w:gridCol w:w="871"/>
        <w:gridCol w:w="318"/>
      </w:tblGrid>
      <w:tr>
        <w:trPr/>
        <w:tc>
          <w:tcPr>
            <w:tcW w:w="2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517015" cy="175260"/>
                      <wp:effectExtent l="0" t="0" r="0" b="0"/>
                      <wp:wrapNone/>
                      <wp:docPr id="72" name="Frame50"/>
                      <a:graphic xmlns:a="http://schemas.openxmlformats.org/drawingml/2006/main">
                        <a:graphicData uri="http://schemas.microsoft.com/office/word/2010/wordprocessingShape">
                          <wps:wsp>
                            <wps:cNvSpPr txBox="1"/>
                            <wps:spPr>
                              <a:xfrm>
                                <a:off x="0" y="0"/>
                                <a:ext cx="151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3"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4"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31800" cy="175260"/>
                      <wp:effectExtent l="0" t="0" r="0" b="0"/>
                      <wp:wrapNone/>
                      <wp:docPr id="75" name="Frame53"/>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6"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77"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31800" cy="175260"/>
                      <wp:effectExtent l="0" t="0" r="0" b="0"/>
                      <wp:wrapNone/>
                      <wp:docPr id="78" name="Frame56"/>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79"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53085" cy="175260"/>
                      <wp:effectExtent l="0" t="0" r="0" b="0"/>
                      <wp:wrapNone/>
                      <wp:docPr id="80" name="Frame5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9235" cy="175260"/>
                      <wp:effectExtent l="0" t="0" r="0" b="0"/>
                      <wp:wrapNone/>
                      <wp:docPr id="81" name="Frame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2"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3" name="Frame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4"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5"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31800" cy="175260"/>
                      <wp:effectExtent l="0" t="0" r="0" b="0"/>
                      <wp:wrapNone/>
                      <wp:docPr id="86" name="Frame64"/>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87"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53085" cy="175260"/>
                      <wp:effectExtent l="0" t="0" r="0" b="0"/>
                      <wp:wrapNone/>
                      <wp:docPr id="88" name="Frame6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1930" cy="175260"/>
                      <wp:effectExtent l="0" t="0" r="0" b="0"/>
                      <wp:wrapNone/>
                      <wp:docPr id="89" name="Frame67"/>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4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61" w:type="dxa"/>
            <w:tcBorders/>
            <w:vAlign w:val="center"/>
          </w:tcPr>
          <w:p>
            <w:pPr>
              <w:pStyle w:val="TableContents"/>
              <w:bidi w:val="0"/>
              <w:spacing w:before="0" w:after="0"/>
              <w:ind w:left="0" w:right="0" w:hanging="0"/>
              <w:jc w:val="left"/>
              <w:rPr/>
            </w:pPr>
            <w:r>
              <w:rPr/>
              <w:t>​</w:t>
            </w:r>
          </w:p>
        </w:tc>
        <w:tc>
          <w:tcPr>
            <w:tcW w:w="3446"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318" w:type="dxa"/>
            <w:tcBorders/>
            <w:vAlign w:val="center"/>
          </w:tcPr>
          <w:p>
            <w:pPr>
              <w:pStyle w:val="TableContents"/>
              <w:bidi w:val="0"/>
              <w:spacing w:before="0" w:after="0"/>
              <w:ind w:left="0" w:right="0" w:hanging="0"/>
              <w:jc w:val="center"/>
              <w:rPr/>
            </w:pPr>
            <w:r>
              <w:rPr/>
              <w:t> </w:t>
            </w:r>
          </w:p>
        </w:tc>
      </w:tr>
      <w:tr>
        <w:trPr/>
        <w:tc>
          <w:tcPr>
            <w:tcW w:w="238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(Dollar amounts in thousands, </w:t>
            </w:r>
          </w:p>
        </w:tc>
        <w:tc>
          <w:tcPr>
            <w:tcW w:w="346" w:type="dxa"/>
            <w:tcBorders/>
            <w:vAlign w:val="center"/>
          </w:tcPr>
          <w:p>
            <w:pPr>
              <w:pStyle w:val="TableContents"/>
              <w:bidi w:val="0"/>
              <w:spacing w:before="0" w:after="0"/>
              <w:ind w:left="0" w:right="0" w:hanging="0"/>
              <w:jc w:val="center"/>
              <w:rPr/>
            </w:pPr>
            <w:r>
              <w:rPr/>
              <w:t>​</w:t>
            </w:r>
          </w:p>
        </w:tc>
        <w:tc>
          <w:tcPr>
            <w:tcW w:w="334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61" w:type="dxa"/>
            <w:tcBorders/>
            <w:vAlign w:val="center"/>
          </w:tcPr>
          <w:p>
            <w:pPr>
              <w:pStyle w:val="TableContents"/>
              <w:bidi w:val="0"/>
              <w:spacing w:before="0" w:after="0"/>
              <w:ind w:left="0" w:right="0" w:hanging="0"/>
              <w:jc w:val="left"/>
              <w:rPr/>
            </w:pPr>
            <w:r>
              <w:rPr/>
              <w:t>​</w:t>
            </w:r>
          </w:p>
        </w:tc>
        <w:tc>
          <w:tcPr>
            <w:tcW w:w="344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18" w:type="dxa"/>
            <w:tcBorders/>
            <w:vAlign w:val="center"/>
          </w:tcPr>
          <w:p>
            <w:pPr>
              <w:pStyle w:val="TableContents"/>
              <w:bidi w:val="0"/>
              <w:spacing w:before="0" w:after="0"/>
              <w:ind w:left="0" w:right="0" w:hanging="0"/>
              <w:jc w:val="center"/>
              <w:rPr/>
            </w:pPr>
            <w:r>
              <w:rPr/>
              <w:t>​</w:t>
            </w:r>
          </w:p>
        </w:tc>
      </w:tr>
      <w:tr>
        <w:trPr/>
        <w:tc>
          <w:tcPr>
            <w:tcW w:w="238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except as noted)</w:t>
            </w:r>
          </w:p>
        </w:tc>
        <w:tc>
          <w:tcPr>
            <w:tcW w:w="346" w:type="dxa"/>
            <w:tcBorders/>
            <w:vAlign w:val="center"/>
          </w:tcPr>
          <w:p>
            <w:pPr>
              <w:pStyle w:val="TableContents"/>
              <w:bidi w:val="0"/>
              <w:spacing w:before="0" w:after="0"/>
              <w:ind w:left="0" w:right="0" w:hanging="0"/>
              <w:jc w:val="center"/>
              <w:rPr/>
            </w:pPr>
            <w:r>
              <w:rPr/>
              <w:t>  ​ ​ ​</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8" w:type="dxa"/>
            <w:tcBorders/>
            <w:vAlign w:val="center"/>
          </w:tcPr>
          <w:p>
            <w:pPr>
              <w:pStyle w:val="TableContents"/>
              <w:bidi w:val="0"/>
              <w:spacing w:before="0" w:after="0"/>
              <w:ind w:left="0" w:right="0" w:hanging="0"/>
              <w:jc w:val="center"/>
              <w:rPr/>
            </w:pPr>
            <w:r>
              <w:rPr/>
              <w:t>​</w:t>
            </w:r>
          </w:p>
        </w:tc>
      </w:tr>
      <w:tr>
        <w:trPr/>
        <w:tc>
          <w:tcPr>
            <w:tcW w:w="2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10,638</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8,304</w:t>
            </w:r>
          </w:p>
        </w:tc>
        <w:tc>
          <w:tcPr>
            <w:tcW w:w="346" w:type="dxa"/>
            <w:tcBorders/>
            <w:shd w:fill="CCEEFF" w:val="clear"/>
            <w:vAlign w:val="center"/>
          </w:tcPr>
          <w:p>
            <w:pPr>
              <w:pStyle w:val="TableContents"/>
              <w:bidi w:val="0"/>
              <w:spacing w:before="0" w:after="0"/>
              <w:ind w:left="0" w:right="0" w:hanging="0"/>
              <w:jc w:val="center"/>
              <w:rPr/>
            </w:pPr>
            <w:r>
              <w:rPr/>
              <w:t>  ​ ​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40,282</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50,643</w:t>
            </w:r>
          </w:p>
        </w:tc>
        <w:tc>
          <w:tcPr>
            <w:tcW w:w="346" w:type="dxa"/>
            <w:tcBorders/>
            <w:shd w:fill="CCEEFF" w:val="clear"/>
            <w:vAlign w:val="center"/>
          </w:tcPr>
          <w:p>
            <w:pPr>
              <w:pStyle w:val="TableContents"/>
              <w:bidi w:val="0"/>
              <w:spacing w:before="0" w:after="0"/>
              <w:ind w:left="0" w:right="0" w:hanging="0"/>
              <w:jc w:val="center"/>
              <w:rPr/>
            </w:pPr>
            <w:r>
              <w:rPr/>
              <w:t>  ​ ​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34,067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8,044</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99,772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30,644</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Nauru and Tonga warrant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royalty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dilution of investment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termination of contract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borrowings and credit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2,602</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year, after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16,061</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81,943</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 Year 2025 compared to Full Year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and evaluation expenses for the year ended December 31, 2025 were $40.3 million, compared to $50.6 million incurred in 2024. The decrease of $10.3 million was primarily due to a decrease of $14.8 million in mining, technological and process development cost due to costs incurred in 2024 for Campaign 8 resource definition work, Allseas vessel transit cost and transportation of nodules to PAMCO’s facility in Japan, decrease in ISA permitting application cost in 2025, partially offset by an increase in share-based compensation of $4.9 million on the amortization of the fair value of retention grants, RSUs and options granted to officers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(“G&amp;A”)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G&amp;A expenses for the year ended December 31, 2025 were $99.8 million compared to $30.6 million for the same period in 2024. The increase of $69.2 million in G&amp;A expenses was mainly the result of an increase in share-based compensation of $63.7 million due to the amortization of the fair value of retention grants, RSUs and options granted to directors and consultants in the third quarter of 2025, and higher consulting and advisory fees of $5.4 million. This increase was partially offset by decreased travel and insurance costs incurred in 2025 compared to the same period in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Nauru and Tonga Warrant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signing of a revised Sponsorship Agreement with Nauru on May 29, 2025, we issued 9,146,268 warrants to Nauru to purchase common shares. The fair value of the Nauru Warrants, calculated using a Black-Scholes valuation model, valued each warrant at $3.62 for a total value of $33.1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signing of a revised Sponsorship Agreement with the Tonga Seabed Minerals Authority (the “State”) on August 4, 2025, we issued 1,000,000 warrants to the State to purchase common shares of the Company. The fair value of the Tonga Warrants, calculated using a Black-Scholes valuation model, valued each warrant at $5.00 for a total value of $5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details on this non-recurring item, refer to Note 16 “Warrants” in our annual financial statements herein.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Gain on Dilution of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Low Carbon Royalties issued 8,013,469 common shares through a private placement and option exercises, raising $25.1 million of gross proceeds. We did not participate in the offering, which reduced our ownership interest in Low Carbon Royalties from 32.27% to 27.19% (December 31, 2024: 32.27%). As the common shares were issued in the financing at a price higher than Low Carbon Royalties’ book value per share, we recorded a dilution gain of $5.6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Royalty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royalty liability as at December 31, 2025 was valued using a market approach for NORI Areas A to C, while for Area D an income approach was used following the release of the NORI-D PFS in August 2025. The resulting royalty liability fair value of NORI Areas A to D totaled $145 million, an increase of $131 million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2025, we earned interest of $2.8 million, as compared to $0.2 million in 2024, mainly from the investment of our higher cash balance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warrants liability primarily consists of the change in the fair value of the 9,500,000 Private Warrants. The debit recorded in 2025 reflects the increase in the fair value price of our Private Warrants due to the increase in the market price of our common shares and Public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interest charged on our short-term debt borrowings was $0.3 million in the year ended December 31, 2025 ($0.2 million for the same period of 2024), while interest on drawn amounts on our credit facilities was $0.1 million and underutilization fees on these same facilities was $2.8 million in the year ended December 31, 2025 ($0.3 million and $2.1 million over the same period in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sources of financing have come from private placements and public offerings of Common Shares and warrants, and the issuance of convertible debentures. As of December 31, 2025, we had cash on hand of $117.6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then the applications of exploration licenses and commercial recovery permits with NOAA under DHMRA, and by negotiating the settlement of program expenditures with our equity whenever possible, and by utilizing existing assets for offshore and onshore production.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yet to generate any revenue from our business operations. We are a development company and the recovery of our investment in mineral exploration contracts and attainment of profitable operations is dependent upon many factors including, among other things, the development of a commercial production system for collecting polymetallic nodules from the seafloor as well as the development of our processing technology for the metallurgical treatment of such nodules, the establishment of additional mineable reserves, the demonstration of commercial and technical feasibility of seafloor polymetallic nodule collection and processing systems, metal prices, and securing approvals under the U.S. regulatory regime or ISA exploitation contracts or provisional approvals. While we have obtained financing in the past, there is no assurance that such financing will continue to be available on favorable terms, in sufficient amounts,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incur significant expenses and operating losses for the foreseeable future, particularly as we advance our application to NOAA for a commercial recovery permit and preparation for potential commercialization. Based on our cash balance and availability of borrowing under our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Annual Report.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will however need and are seeking additional financing to fund our continued operations over time. These financings could include additional public or private equity, debt financings, equity-linked financings or other sources of financing, including through government-based funding,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16, 2022, we filed a registration statement on Form S-3 with the SEC, which the SEC declared effective on October 14, 2022, to sell up to $100 million of securities. In addition, on November 30, 2023, we filed an additional registration statement on Form S-3 with the SEC, which the SEC declared effective on December 8, 2023, to sell up to an additional $100 million of securities. As previously disclosed in 2025, remaining capacity on the two previously filed Form S-3s has been nearly extinguished following various equity and warrant transactions, and we expect to file a new registration statement on Form S-3 following the filing of this Annual Report.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In 2025, we issued 7,542,996 common shares at an average share price of $2.02, for net proceeds of $14.8 million under the Sale Agreement. The Sales Agreement expired in October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2023, we entered into the 2023 Credit Facility with Argentum Cedit Virtuti GCV, the parent of Allseas Investments S.A. and an affiliate of Allseas, which was amended on July 31, 2023 and March 22, 2024, pursuant to which, we were able to borrow from the Lender up to $25 million in the aggregate, from time to time, subject to certain conditions. All amounts drawn under the 2023 Credit Facility bore interest at the 6-month SOFR, 180-day average plus 4.0% per annum payable in cash semi-annually (or plus 5% if paid-in-kind at maturity, our election) on the first business day of each of June and January. We agreed to pay an underutilization fee equal to 4.0% per annum payable semi-annually for any amounts that remain undrawn under the 2023 Credit Facility. We had the right to pre-pay the entire amount outstanding under the 2023 Credit Facility at any time, before the 2023 Credit Facility’s stated maturity of August 31, 2025. The 2023 Credit Facility also contained customary events of default. No amounts had been drawn under the 2023 Credit Facility. Pursuant to the Letter Agreement we entered into on March 24, 2025, we and Argentum Cedit Virtuti GCV agreed to cancel the 2023 Credit Facility with no outstanding amounts remaining, other than our obligation to pay the underutilization fee thereunder.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2024, we entered into the 2024 Credit Facility with Gerard Barron, our Chief Executive Officer and Chairman, and ERAS Capital LLC, the family fund of our director, Andrei Karkar (the “2024 Credit Facility”), pursuant to which, we may borrow from the 2024 Lenders up to $25 million in the aggregate ($12.5 million from each of the 2024 Lenders), from time to time (was initially $20 million in the aggregate ($10 million from each of the 2024 Lenders), subject to certain conditions. All amounts drawn under the 2024 Credit Facility will bear interest at the 6-month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On August 13, 2024, we entered into the First Amendment to the 2024 Credit Facility to increase the borrowing limit to $25 million in the aggregate ($12.5 million from each of the 2024 Lenders). Under the terms of the First Amendment, the borrowing limit was due to return to the initial $20 million in the aggregate ($10 million from each of the 2024 Lenders) upon certain financing events. On November 14, 2024, we entered into the Second Amendment to the 2024 Credit Facility with ERAS Capital LLC and Gerard Barron, to increase the borrowing limit to $38 million in the aggregate ($19 million from each of the 2024 Lenders) and to extend the maturity of the 2024 Credit Facility to December 31, 2025. As per the Second Amendment, the rate of underutilization fee was retroactively increased from 4% to 6.5% on any undrawn amounts under the 2024 Credit Facility. On January 30, 2025, we repaid $1.8 million from the drawn amount, leaving a balance of $2.5 million drawn under the 2024 Credit Facility, as of the date of this Annual Report. With the January 2025 repayment, the borrowing limit on the 2024 Credit Facility was reduced to $36.2 million ($17.2 million from Gerard Barron and $19 million from ERAS Capital LLC).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9, 2024, we entered into a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was payable to the Lender on or before the earlier of (i) the occurrence of certain financing events and (ii) April 1, 2025 (the “Repayment Date”). The Working Capital Loan bore interest based on the 6-month Secured Overnight Financing Rate, 180-day average plus a margin of 4.0% per annum payable in two installments on January 2, 2025, and the Repayment Date (or plus a margin of 5.0% if we deferred all interest payments to the Repayment Date). On October 18, 2024, we entered into the First Amendment to the Working Capital Loan Agreement with Allseas Investments, resulting in a further draw of $2.5 million by us and a total Working Capital Loan drawn amount of $7.5 million. On March 24, 2025, we entered into the Letter Agreement with Allseas Investments and Argentum Cedit Virtuti GCV, pursuant to which the repayment date under the Working Capital Loan Agreement was extended to September 30, 2025. In the second quarter of 2025, the entire Working Capital Loan amount along with the interest payable was repaid and the facility was cancelled.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14, 2024, we entered into a securities purchase agreement (the “2024 Purchase Agreement”) with certain new and existing institutional investors for the sale of an aggregate of 17,500,000 common shares (the “Shares”) and accompanying Class B warrants (the “Class B Warrants”), in a registered direct offering. The offering price was $1.00 per common share, with each common share including an accompanying Class B Warrant to purchase 0.5 common shares. The Class B Warrants are exercisable immediately upon issuance at a price of $2.00 per share and expire five years from issuance. On November 26, 2024, we entered into the First Amendment to the 2024 Purchase Agreement, pursuant to which we agreed to sell and issue an additional 2,400,000 common shares and accompanying Class B Warrants to purchase 1,200,000 common shares to new investors on the same terms and conditions as initially offered. Including the First Amendment to the 2024 Purchase Agreement, we agreed to sell and issue in aggregate 19,900,000 common shares and Class B Warrants to purchase 9,950,000 common shares. We received gross proceeds in the offering, exclusive of warrant exercises, of $19.9 million (net proceeds of $14.2 million, after offering expenses), of which $5 million was received on February 6,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2025, we entered into a securities purchase agreement with certain new and existing investors, including an existing strategic investor, for the sale of an aggregate of 12,333,333 common shares and accompanying Class C Warrants, in a registered direct offering, for gross proceeds, exclusive of warrant exercises, of $37 million (net proceeds of $36.7 million, after offering expenses). The offering price was $3.00 per common share, with each common share including an accompanying Class C Warrant to purchase one common share. The Class C Warrants are exercisable immediately upon issuance at a price of $4.50 per share and expire three years from issuance.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16, 2025, we entered into a Securities Purchase Agreement with Korea Zinc, pursuant to which in consideration of gross cash receipt of $85.2 million, we agreed to issue and sell to Korea Zinc 19,623,376 of our common shares and accompanying warrants to purchase an aggregate of 6,868,181 common shares. The purchase price per share and accompanying warrant was set at $4.34. The Korea Zinc Warrant is exercisable at an exercise price of $7.00 per share and expires on June 25, 2028. Pursuant to this Securities Purchase Agreement, subject to certain exceptions, Korea Zinc will have a right to participate in any public offering or private placement of any of our common shares or common share equivalents primarily for capital raising purposes (each a “Proposed Offering”) up to such amount of securities to maintain its percentage ownership at the time of such Proposed Offering. Such right to participate in future financings will expire upon the earlier to occur of (i) June 16, 2030, (ii) the date on which Korea Zinc owns less than all of the common shares it purchased and subscribed pursuant to this Securities Purchase Agreement and (iii) immediately after a closing of a Proposed Offering where Korea Zinc does not exercise its participation right in full. The funds raised under this Securities Purchase Agreement are to be used for general corporate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receive up to approximately $432.5 million in aggregate gross proceeds from cash exercises of the Public Warrants, the Private Warrants, the Class A Warrants, the Class B Warrants, Class C Warrants, and Warrants issued to Korea Zinc, Nauru and Tonga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in September 2026 worthless. In certain circumstances, the Public Warrants and Private Warrants, Class A Warrants, Class B Warrants and Class C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The warrants issued to the Republic of Nauru and Kingdom of Tonga can only be exercised after the commercial recovery permit is received and commercial production commences and there can be no assurance that the exercise conditions will be met prior to their expiration. In addition, the exercise price to purchase one common share under the outstanding Class A Warrants and Class B Warrants is $2.00 each, Class C Warrants is $4.5, warrants issued to Korea Zinc is $7.00, warrants issued to Republic of Nauru is $4.72 and warrants issued to Tonga is $5.87 (subject to customary adjustments) and there can be no assurance that such warrants will be exercised prior to their expiration, and as such, such warrants may expire, and we will not receive any proceeds from the exercise thereof.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Summary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Comparison of the Periods Ended December 31, 2025 and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sources and uses of cash for the three and twelve months ended December 31, 2025 and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Presented below is a summary of our operating, investing and financing cash flows:</w:t>
      </w:r>
    </w:p>
    <w:tbl>
      <w:tblPr>
        <w:tblW w:w="9673" w:type="dxa"/>
        <w:jc w:val="left"/>
        <w:tblInd w:w="0" w:type="dxa"/>
        <w:tblLayout w:type="fixed"/>
        <w:tblCellMar>
          <w:top w:w="0" w:type="dxa"/>
          <w:left w:w="0" w:type="dxa"/>
          <w:bottom w:w="0" w:type="dxa"/>
          <w:right w:w="0" w:type="dxa"/>
        </w:tblCellMar>
      </w:tblPr>
      <w:tblGrid>
        <w:gridCol w:w="4216"/>
        <w:gridCol w:w="346"/>
        <w:gridCol w:w="211"/>
        <w:gridCol w:w="796"/>
        <w:gridCol w:w="346"/>
        <w:gridCol w:w="211"/>
        <w:gridCol w:w="796"/>
        <w:gridCol w:w="346"/>
        <w:gridCol w:w="211"/>
        <w:gridCol w:w="796"/>
        <w:gridCol w:w="346"/>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677160" cy="175260"/>
                      <wp:effectExtent l="0" t="0" r="0" b="0"/>
                      <wp:wrapNone/>
                      <wp:docPr id="90" name="Frame68"/>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1"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2"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05460" cy="175260"/>
                      <wp:effectExtent l="0" t="0" r="0" b="0"/>
                      <wp:wrapNone/>
                      <wp:docPr id="93" name="Frame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4"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5"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05460" cy="175260"/>
                      <wp:effectExtent l="0" t="0" r="0" b="0"/>
                      <wp:wrapNone/>
                      <wp:docPr id="96" name="Frame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7"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98"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05460" cy="175260"/>
                      <wp:effectExtent l="0" t="0" r="0" b="0"/>
                      <wp:wrapNone/>
                      <wp:docPr id="99" name="Frame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0"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1"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34035" cy="175260"/>
                      <wp:effectExtent l="0" t="0" r="0" b="0"/>
                      <wp:wrapNone/>
                      <wp:docPr id="102" name="Frame8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December 31,</w:t>
            </w:r>
          </w:p>
        </w:tc>
      </w:tr>
      <w:tr>
        <w:trPr/>
        <w:tc>
          <w:tcPr>
            <w:tcW w:w="42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(43,468)</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40,686</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 Year 2025 compared to Full Year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2025, major operating activities over this period involved advanced work on pre-feasibility studies and work to advance our permit applications with NOAA resulting in net cash used in operating activities of $42.9 million. This mainly consisted of $11.1 million on payroll costs, $8.1 million on various environmental work, $7.5 million on legal and consulting fees, $3.7 million on stakeholder engagement, $3.7 million on interest and underutilization fees paid on the 2024 Credit Facility and working capital loan, $3.3 million on business development, investor relations and communications, $1.4 million on mining technological and process development and $4.1 million for various expenses, partially offset by interest income receipts of $2.4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2024, major operating activities over this period involved Campaign 8, as well as advanced work on engineering and pre-feasibility studies as we advance towards our application to the ISA for a NORI exploitation contract and prepare for potential future commercial production. Net cash used in operating activities in the year ended December 31, 2024, amounted to $43.5 million, and consisted mainly of $14.7 million on Campaign 8 and various environmental work, $11.7 million on personnel costs, $9.2 million on legal, advisory and consulting, $2.4 million for sponsorship, training and stakeholder engagement support, $1.9 million spent on engineering and pre-feasibility studies, $1.7 million on communication and business development expenses, $0.9 million on and additional payments of $1.8 million for various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used in/provided by 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generated by investing activities 2025 was $0.4 million which included proceeds from the return of capital from Investee offset by the purchase of equipment and software development. In the comparative period of 2024, $0.5 million was spent on acquisition of equipment and software development.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provided by 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2025 was $156.6 million, which comprised of net cash proceeds received from the Korea Zinc investment of $85.2 million, net proceeds from the 2025 Registered Direct Offering of $36.7 million, the remaining net proceeds from the 2024 Registered Direct Offerings of $4.5 million, proceeds from common shares sold under the Sales Agreement of $14.8 million and proceeds from the exercise of stock options and warrants of $27.2 million. This increase was partially offset by repayments totaling $11.8 million on our credit facilities and on the Allseas Working Capital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year ended December 31, 2024 was $40.7 million, which comprised of net proceeds received from the 2024 Registered Direct Offering of $14.7 million, net proceeds of $8.8 million from the 2023 Offering, proceeds from short-term debt and credit facilities of $11.8 million, proceeds from common shares sold under the Sales Agreement of $4.9 million and proceeds from the exercise of stock options and employee stock plans of $0.5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NORI Exploration Contract with the ISA, NORI submitted a periodic review report to the ISA which included a five-year plan covering 2022 to 2026: NORI is currently implementing its approved five-year plan. NORI’s exploration contract expires on July 21, 2026. NORI submitted an application to the ISA for a five-year extension of the contract that is currently under review. The cost of the proposed five-year plan of work include in NORI’s extension application is dependent on the ISA’s approval of the NORI extension Work plans are reviewed annually by NORI, agreed with the ISA and may be subject to change depending on their progress to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TOML Exploration Contract with the ISA, TOML submitted a periodic review report to the ISA which included a five-year plan covering 2022 to 2026. TOML is currently implementing its approved plan, which included an estimated five-year expenditure of up to $44 million. The five-year estimated expenditure is indicative and subject to change, TOML will review the program regularly and TOML will inform the ISA of any changes through its annual reports. TOML’s exploration contract expires on January 10, 2027. TOML is required to submit an application for extension no later than six months before the expiration of the contract. TOML intends to submit an application for a five-year extension in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Regulatory Obligations Relating to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Both TOML and NORI require sponsorship from their host sponsoring States, Tonga and Nauru, respectively. Each company has been registered and incorporated within the applicable host State’s jurisdiction. The ISA requires that a contractor must obtain and maintain sponsorship by a host state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Sponsorship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Throughout the period of the NORI Exploration Contract, NORI must be sponsored by a State that is party to UNCLOS. If the nationality or control of NORI changes or NORI’s sponsoring State, as defined in the ISA Regulations, terminates its sponsorship, NORI must promptly notify the ISA. In either event, if NORI does not obtain another sponsor meeting the requirements prescribed in the ISA Regulations and fails to submit to the ISA a certificate of sponsorship for NORI in the prescribed form within six months, the NORI Exploration Contract will terminate.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On May 29, 2025 the Republic of Nauru and NORI signed a revised Sponsorship Agreement, updating the terms of the Agreement signed between the parties in 2017.</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revised Sponsorship Agreement will remain in force unless terminated by mutual agreement of the parties or earlier terminated in accordance with its terms, including in the event of a material breach by either party or upon the assignment of NORI’s rights and the transfer of sponsorship to another sponsoring State. Under the agreement, NORI will pay Nauru a seabed mineral recovery payment of $2 per tonne of polymetallic nodules recovered under an ISA contract, subject to annual inflation adjustment. In addition, NORI will pay an annual administration fee, initially capped at $500,000, to support Nauru’s administration of its sponsorship and regulatory oversight. The agreement also provides for potential continuity payments to Nauru if a subsidiary other than NORI develops nodules in the NORI Contract Area under the U.S. regulatory regime with the applicable payment amounts and schedule to be determined in accordance with the terms of the agreement. During any period in which such continuity payments are made, NORI has agreed to maintain an office in Nauru and make annual investments in local presence, community initiatives and training and capacity-building programs for Nauruan nationals. In connection with the Sponsorship Agreement, Nauru holds warrants to purchase 9,146,268 of our common shares at an exercise price of $4.72. In connection with the revised Sponsorship Agreement, we also executed a Deed of Guarantee and Indemnity in favor of Nauru, under which we guarantee certain financial obligations of NORI under Nauruan law and the Sponsorship Agreement and provides limited indemnification.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and again on August 4, 2025.</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revised Sponsorship Agreement between Tonga and TOML will remain in force unless terminated by mutual agreement of the parties or earlier terminated in accordance with its terms, including in the event of a material breach by either party. Under the agreement, Tonga will continue to sponsor TOML’s seabed mineral activities in the ISA contract area. Upon commencement of commercial recovery of polymetallic nodules under an ISA contract, TOML will pay the Tonga Seabed Minerals Authority a commercial recovery payment of $2 per tonne of polymetallic nodules recovered from the contract area, subject to annual inflation adjustment. In addition, TOML will pay an annual administration fee of $90,000, which may increase by up to 5% annually, to support the administration of Tonga’s sponsorship and regulatory oversight. The agreement also provides for potential continuity benefit payments to Tonga if a subsidiary other than TOML develops nodules in the TOML Contract Area under the U.S. regulatory regime. The applicable payment amounts and schedule will be determined in accordance with the terms of the agreement. During any period in which such continuity benefits are provided, TOML has agreed to maintain an office in Tonga and make annual investments in local presence, community initiatives and training and capacity-building programs for Tongan nationals. In connection with the Sponsorship Agreement, Tonga holds warrants to purchase 1,000,000 of our common shares at an exercise price of $5.87. In connection with the revised Sponsorship Agreement, we also executed a Deed of Guarantee and Indemnity in favor of Tonga, under which we guarantee certain financial obligations of TOML under Tongan law and the Sponsorship Agreement and provides limited indemnification.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Allseas Agreements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a commercial nodule collection system production targets, system design and cost estimates and intend to enter into a binding Heads of Terms by the end of 2024.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December 31, 2025,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 2023, we entered into an Exclusive Vessel Use Agreement with Allseas pursuant to which Allseas will give us exclusive use of the vessel (“</w:t>
      </w:r>
      <w:r>
        <w:rPr>
          <w:rFonts w:ascii="Times New Roman;Times;serif" w:hAnsi="Times New Roman;Times;serif"/>
          <w:i/>
          <w:sz w:val="20"/>
        </w:rPr>
        <w:t>Hidden Gem</w:t>
      </w:r>
      <w:r>
        <w:rPr>
          <w:rFonts w:ascii="Times New Roman;Times;serif" w:hAnsi="Times New Roman;Times;serif"/>
          <w:sz w:val="20"/>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Offtake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Borrowing with Company Related to Allseas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2023 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described above, on March 22, 2023, we entered into the 2023 Credit Facility with Argentum Cedit Virtuti GCV, an affiliate of Allseas, under which we may borrow up to $25.0 million pursuant to the terms and conditions of the 2023 Credit Facility, as amended, which has a maturity date of August 31, 2025. On August 16, 2024, we entered into the Third Amendment to the 2023 Credit Facility, to increase the borrowing limit of the 2023 Credit Facility to $27.5 million. Under the terms of the Third Amendment, upon closing of the November 2024 Registered Direct Offering discussed above, the borrowing limit returned to $25 million. There was no outstanding balance under the 2023 Credit Facility as at December 31, 2025. Pursuant to the Letter Agreement entered into on March 24, 2025, we agreed to cancel the 2023 Credit Facility with no outstanding amounts remaining, other than our obligation to pay Argentum Cedit Virtuti GCV the underutilization fee thereunder.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2024 Short-Term Loan and Working Capital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27, 2024, we entered into a short-term loan agreement with Argentum Cedit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9, 2024, we entered into a working capital loan agreement (the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“Original Repayment Date”). The Working Capital Loan will bear interest based on the 6-month Secured Overnight Financing Rate, 180-day average plus a margin of 4.0% per annum and is payable in two installments on January 2, 2025, and the Original Repayment Date (or plus a margin of 5.0% if all interest payments are deferred to the Original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a Letter Agreement with Allseas Investments and Argentum Cedit Virtuti GCV, pursuant to which the Original Repayment Date under the Working Capital Loan Agreement was extended to September 30, 2025, with principal and interest now repayable on that date. During the second quarter of 2025, we repaid the entire outstanding loan and interest, amounting to $7.5 million and $0.5 million, respectively, and cancelled the Working Capital Loan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2024 Credit Facility with ERAS Capital LLC and Gerard Barron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2024 Credit Facility wit ERAS Capital LLC and Gerard Barron we may borrow up to $44 million in the aggregate ($22 million from each of the 2024 Lenders). The Maturity Date for any borrowings under the 2024 Credit Facility is June 30, 2026. See above for a further description of the 2024 Credit Facility. As of December 31, 2025, we had no borrowing under the 2024 Credit Facility and are only incurring the underutilization fee.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not party to any off-balance sheet arrangements.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“Basis of Presentation” to our audited consolidated financial statements included in this Annual Report. We have the critical accounting policies and estimates which are described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Value of Common Share-Based 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recognize the cost of share-based awards granted to employees, directors and non-employees based on the estimated grant-date fair value of the awards. We determine the fair value of stock options using the Black-Scholes option pricing model, which is impacted by the following assumptions: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common shares on the Date of the Grant — We used the price of the most recent offerings of our Common Shares to assess the value of our shares on the date of the grant of incentive stock options.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 We used the term of the award when calculating the expected term due to insufficient historical exercise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 As our common shares were not actively traded, the volatility is based on a benchmark of comparable companies within the mining industry.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 — The dividend rate used is zero as we have never paid any cash dividends on our common shares and do not anticipate doing so in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 — The interest rates used are based on the implied yield available on Canadian Treasury zero-coupon issues with an equivalent remaining term equal to the expected life of the award.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our common shares. Changes in these assumptions used to determine the fair value of incentive stock options, including the vesting timeline of granted stock options, could have a material impact on our loss and comprehensive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Valuation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re-measure the fair value of the Private Warrants at the end of each reporting period. The fair value of the Private Warrants is estimated using a Black-Scholes option pricing model whereby the expected volatility is estimated by using a blended volatility calculated by assigning equal weights to both implied volatility of our Public Warrants and the historical volatility of our common share price. The expected volatility was estimated using a binomial model based on consideration of the implied volatility from our Public Warrants, adjusted to account for the call feature of the Public Warrants at prices above $18.00 during 20 trading days within any 30-trading-day period and historical volatility of the share price of our Common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Going Concern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assess quarterly whether we have the ability to meet our committed cash requirements for the next twelve months and continue to operate as a going concern. This assessment requires the use of forecasts of our business activities and related estimates of future cost obligations which can be subject to change. Changes in these assumptions could have a material impact on our assessment and related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5 “Recent Accounting Pronouncements Issued and Adopted” to the audited consolidated financial statements included in this Annual Report for more information about recent accounting pronouncements, the timing of their adoption, and our assessment, to the extent we have made one, of their potential impact on our financial condition and our results of operations and cash flows.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 w:name="Item7AQUANTITATIVEANDQUALITATIVEDISCLOSU"/>
      <w:bookmarkStart w:id="62" w:name="_c48d50f7_b068_4865_959a_2d8fb7b96d81"/>
      <w:bookmarkEnd w:id="61"/>
      <w:bookmarkEnd w:id="62"/>
      <w:r>
        <w:rPr>
          <w:rFonts w:ascii="Times New Roman;Times;serif" w:hAnsi="Times New Roman;Times;serif"/>
          <w:b/>
          <w:i w:val="false"/>
          <w:caps w:val="false"/>
          <w:smallCaps w:val="false"/>
          <w:sz w:val="20"/>
        </w:rPr>
        <w:t>Item 7A.</w:t>
      </w:r>
      <w:r>
        <w:rPr>
          <w:rFonts w:ascii="Times New Roman;Times;serif" w:hAnsi="Times New Roman;Times;serif"/>
          <w:b/>
          <w:sz w:val="20"/>
        </w:rPr>
        <w:t>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 and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rate risk is the risk that the fair value of our future cash flows and our financial instruments will fluctuate because of changes in market interest rates.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December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the Great British Pound and the Euro. We primarily hold our cash in U.S. dollars and settle our foreign currency payables soon after the receipt of invoices thereby minimizing the foreign currency exposure.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Commodity Price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63" w:name="Item8FINANCIALSTATEMENTSANDSUPPLEM"/>
      <w:bookmarkStart w:id="64" w:name="_c088c9d5_ce8e_44a4_907e_d0c729332bfa"/>
      <w:bookmarkEnd w:id="63"/>
      <w:bookmarkEnd w:id="64"/>
      <w:r>
        <w:rPr>
          <w:rFonts w:ascii="Times New Roman;Times;serif" w:hAnsi="Times New Roman;Times;serif"/>
          <w:b/>
          <w:i w:val="false"/>
          <w:caps w:val="false"/>
          <w:smallCaps w:val="false"/>
          <w:sz w:val="20"/>
        </w:rPr>
        <w:t>Item 8.</w:t>
      </w:r>
      <w:r>
        <w:rPr>
          <w:rFonts w:ascii="Times New Roman;Times;serif" w:hAnsi="Times New Roman;Times;serif"/>
          <w:b/>
          <w:sz w:val="20"/>
        </w:rPr>
        <w:t>FINANCIAL STATEMENTS AND SUPPLEMENTARY DATA</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left"/>
        <w:rPr/>
      </w:pPr>
      <w:r>
        <w:rPr/>
        <w:t>​</w:t>
      </w:r>
    </w:p>
    <w:tbl>
      <w:tblPr>
        <w:tblW w:w="10068" w:type="dxa"/>
        <w:jc w:val="left"/>
        <w:tblInd w:w="0" w:type="dxa"/>
        <w:tblLayout w:type="fixed"/>
        <w:tblCellMar>
          <w:top w:w="0" w:type="dxa"/>
          <w:left w:w="0" w:type="dxa"/>
          <w:bottom w:w="0" w:type="dxa"/>
          <w:right w:w="0" w:type="dxa"/>
        </w:tblCellMar>
      </w:tblPr>
      <w:tblGrid>
        <w:gridCol w:w="8926"/>
        <w:gridCol w:w="346"/>
        <w:gridCol w:w="796"/>
      </w:tblGrid>
      <w:tr>
        <w:trPr/>
        <w:tc>
          <w:tcPr>
            <w:tcW w:w="8926"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8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9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Index to Financial Statements and Financial Statement Schedules</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w:t>
            </w:r>
          </w:p>
        </w:tc>
      </w:tr>
      <w:tr>
        <w:trPr/>
        <w:tc>
          <w:tcPr>
            <w:tcW w:w="89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8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8926"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1263)</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8926" w:type="dxa"/>
            <w:tcBorders/>
            <w:vAlign w:val="center"/>
          </w:tcPr>
          <w:p>
            <w:pPr>
              <w:pStyle w:val="TableContents"/>
              <w:bidi w:val="0"/>
              <w:spacing w:before="0" w:after="0"/>
              <w:ind w:left="0" w:right="0" w:hanging="0"/>
              <w:jc w:val="left"/>
              <w:rPr/>
            </w:pPr>
            <w:hyperlink w:anchor="ConsolidatedBalanceSheets_421904">
              <w:r>
                <w:rPr>
                  <w:rStyle w:val="InternetLink"/>
                  <w:rFonts w:ascii="Times New Roman;Times;serif" w:hAnsi="Times New Roman;Times;serif"/>
                  <w:b w:val="false"/>
                  <w:i w:val="false"/>
                  <w:caps w:val="false"/>
                  <w:smallCaps w:val="false"/>
                  <w:sz w:val="20"/>
                </w:rPr>
                <w:t>Consolidated Balance Sheets as at December 31, 2025 and 2024</w:t>
              </w:r>
            </w:hyperlink>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8926" w:type="dxa"/>
            <w:tcBorders/>
            <w:vAlign w:val="center"/>
          </w:tcPr>
          <w:p>
            <w:pPr>
              <w:pStyle w:val="TableContents"/>
              <w:bidi w:val="0"/>
              <w:spacing w:before="0" w:after="0"/>
              <w:ind w:left="0" w:right="0" w:hanging="0"/>
              <w:jc w:val="left"/>
              <w:rPr/>
            </w:pPr>
            <w:hyperlink w:anchor="ConsolidatedStatementsofLossandComprehen">
              <w:r>
                <w:rPr>
                  <w:rStyle w:val="InternetLink"/>
                  <w:rFonts w:ascii="Times New Roman;Times;serif" w:hAnsi="Times New Roman;Times;serif"/>
                  <w:b w:val="false"/>
                  <w:i w:val="false"/>
                  <w:caps w:val="false"/>
                  <w:smallCaps w:val="false"/>
                  <w:sz w:val="20"/>
                </w:rPr>
                <w:t>Consolidated Statements of Loss and Comprehensive Loss for the Years Ended December 31, 2025 and 2024</w:t>
              </w:r>
            </w:hyperlink>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8926" w:type="dxa"/>
            <w:tcBorders/>
            <w:vAlign w:val="center"/>
          </w:tcPr>
          <w:p>
            <w:pPr>
              <w:pStyle w:val="TableContents"/>
              <w:bidi w:val="0"/>
              <w:spacing w:before="0" w:after="0"/>
              <w:ind w:left="0" w:right="0" w:hanging="0"/>
              <w:jc w:val="left"/>
              <w:rPr/>
            </w:pPr>
            <w:hyperlink w:anchor="ConsolidatedStatementsofChangesinEquity_">
              <w:r>
                <w:rPr>
                  <w:rStyle w:val="InternetLink"/>
                  <w:rFonts w:ascii="Times New Roman;Times;serif" w:hAnsi="Times New Roman;Times;serif"/>
                  <w:b w:val="false"/>
                  <w:i w:val="false"/>
                  <w:caps w:val="false"/>
                  <w:smallCaps w:val="false"/>
                  <w:sz w:val="20"/>
                </w:rPr>
                <w:t>Consolidated Statements of Changes in Equity for the Years Ended December 31, 2025 and 2024</w:t>
              </w:r>
            </w:hyperlink>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8926" w:type="dxa"/>
            <w:tcBorders/>
            <w:vAlign w:val="center"/>
          </w:tcPr>
          <w:p>
            <w:pPr>
              <w:pStyle w:val="TableContents"/>
              <w:bidi w:val="0"/>
              <w:spacing w:before="0" w:after="0"/>
              <w:ind w:left="0" w:right="0" w:hanging="0"/>
              <w:jc w:val="left"/>
              <w:rPr/>
            </w:pPr>
            <w:hyperlink w:anchor="ConsolidatedStatementsofCashFlows_372717">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8926" w:type="dxa"/>
            <w:tcBorders/>
            <w:vAlign w:val="center"/>
          </w:tcPr>
          <w:p>
            <w:pPr>
              <w:pStyle w:val="TableContents"/>
              <w:bidi w:val="0"/>
              <w:spacing w:before="0" w:after="0"/>
              <w:ind w:left="0" w:right="0" w:hanging="0"/>
              <w:jc w:val="left"/>
              <w:rPr/>
            </w:pPr>
            <w:hyperlink w:anchor="NatureofOperations_351113">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5" w:name="REPORTOFINDEPENDENTREGISTEREDPUBLICACCOU"/>
      <w:bookmarkStart w:id="66" w:name="_177f86db_ce09_440c_bb83_18f30c4f6a91"/>
      <w:bookmarkEnd w:id="65"/>
      <w:bookmarkEnd w:id="66"/>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 TMC the metals company Inc.</w:t>
      </w:r>
    </w:p>
    <w:p>
      <w:pPr>
        <w:pStyle w:val="TextBody"/>
        <w:bidi w:val="0"/>
        <w:spacing w:before="0" w:after="240"/>
        <w:ind w:left="0" w:right="0" w:hanging="0"/>
        <w:jc w:val="left"/>
        <w:rPr>
          <w:rFonts w:ascii="Times New Roman;Times;serif" w:hAnsi="Times New Roman;Times;serif"/>
          <w:b/>
          <w:sz w:val="20"/>
        </w:rPr>
      </w:pPr>
      <w:bookmarkStart w:id="67" w:name="_Hlk98930285"/>
      <w:bookmarkEnd w:id="67"/>
      <w:r>
        <w:rPr>
          <w:rFonts w:ascii="Times New Roman;Times;serif" w:hAnsi="Times New Roman;Times;serif"/>
          <w:b/>
          <w:sz w:val="20"/>
        </w:rPr>
        <w:t xml:space="preserve">Opinion on the Financial Statements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TMC the metals company Inc. (the “Company”) as of December 31, 2025 and 2024, the related consolidated statements of loss and comprehensive loss, changes in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Valuation of royalty liability</w:t>
      </w:r>
    </w:p>
    <w:p>
      <w:pPr>
        <w:pStyle w:val="Normal"/>
        <w:bidi w:val="0"/>
        <w:spacing w:before="0" w:after="0"/>
        <w:jc w:val="left"/>
        <w:rPr>
          <w:sz w:val="4"/>
          <w:szCs w:val="4"/>
        </w:rPr>
      </w:pPr>
      <w:r>
        <w:rPr>
          <w:sz w:val="4"/>
          <w:szCs w:val="4"/>
        </w:rPr>
      </w:r>
      <w:bookmarkStart w:id="68" w:name="_Hlk225116166"/>
      <w:bookmarkStart w:id="69" w:name="_Hlk225116166"/>
      <w:bookmarkEnd w:id="69"/>
    </w:p>
    <w:tbl>
      <w:tblPr>
        <w:tblW w:w="10205" w:type="dxa"/>
        <w:jc w:val="left"/>
        <w:tblInd w:w="0" w:type="dxa"/>
        <w:tblLayout w:type="fixed"/>
        <w:tblCellMar>
          <w:top w:w="0" w:type="dxa"/>
          <w:left w:w="0" w:type="dxa"/>
          <w:bottom w:w="0" w:type="dxa"/>
          <w:right w:w="0" w:type="dxa"/>
        </w:tblCellMar>
      </w:tblPr>
      <w:tblGrid>
        <w:gridCol w:w="1231"/>
        <w:gridCol w:w="8974"/>
      </w:tblGrid>
      <w:tr>
        <w:trPr/>
        <w:tc>
          <w:tcPr>
            <w:tcW w:w="123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p>
            <w:pPr>
              <w:pStyle w:val="TableContents"/>
              <w:bidi w:val="0"/>
              <w:spacing w:before="0" w:after="0"/>
              <w:ind w:left="0" w:right="0" w:hanging="0"/>
              <w:jc w:val="left"/>
              <w:rPr/>
            </w:pPr>
            <w:r>
              <w:rPr/>
              <w:t>​</w:t>
            </w:r>
          </w:p>
        </w:tc>
        <w:tc>
          <w:tcPr>
            <w:tcW w:w="89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December 31, 2025, the fair value of the NORI D Royalty (“royalty liability”) was $130.0 million, as disclosed in Note 10 to the consolidated financial statements. The royalty liability was recognized in accordance with ASC 470 </w:t>
            </w:r>
            <w:r>
              <w:rPr>
                <w:rFonts w:ascii="Times New Roman;Times;serif" w:hAnsi="Times New Roman;Times;serif"/>
                <w:i/>
                <w:sz w:val="20"/>
              </w:rPr>
              <w:t>Debt</w:t>
            </w:r>
            <w:r>
              <w:rPr>
                <w:rFonts w:ascii="Times New Roman;Times;serif" w:hAnsi="Times New Roman;Times;serif"/>
                <w:sz w:val="20"/>
              </w:rPr>
              <w:t>, and the Company measures the royalty liability at fair value through profit and loss at the end of each reporting period. Specifically at December 31, 2025, the Company determined the fair value of the royalty liability using an income approach. This required management to make significant assumptions with respect to the discount rate, future metal prices, production levels, repurchase options and certain operational matters that include permitting and project timelines.</w:t>
            </w:r>
          </w:p>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Auditing management’s estimate of the fair value of the royalty liability was complex due to the significant estimation uncertainty and judgement applied by management in determining these significant assumptions. This required the involvement of specialists.</w:t>
            </w:r>
          </w:p>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How We Addressed the Matter in Our Audit </w:t>
            </w:r>
          </w:p>
          <w:p>
            <w:pPr>
              <w:pStyle w:val="TableContents"/>
              <w:bidi w:val="0"/>
              <w:spacing w:before="0" w:after="0"/>
              <w:ind w:left="0" w:right="0" w:hanging="0"/>
              <w:jc w:val="left"/>
              <w:rPr/>
            </w:pPr>
            <w:r>
              <w:rPr/>
              <w:t>​</w:t>
            </w:r>
          </w:p>
        </w:tc>
        <w:tc>
          <w:tcPr>
            <w:tcW w:w="88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test the fair value of the royalty liability we performed the following procedures, amongst others. We involved valuation specialists to evaluate the discount rate against current industry and economic trends, compared future metal prices against market data, evaluated management’s sensitivity on the economics of triggering the repurchase options from a market participant’s perspective and performed sensitivity analyses over certain assumptions to assess the impact on the fair value. We assessed the reasonableness of permitting assumptions and project timelines based on the latest available information, and tested the completeness, accuracy, and relevance of underlying data used in the Company’s models.</w:t>
            </w:r>
          </w:p>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involved our mining specialists to assist in evaluating the methods and assumptions used by management’s specialists to estimate production levels. We also involved our mining specialists in evaluating the methods and assumptions employed by management regarding certain operational matters that form the basis of cash flow estimates, including permitting assumptions. Further, we assessed the adequacy of the consolidated financial statement disclosures.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Chartered Professional Accountants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Vancouver, Canada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2026</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0" w:name="_82a354fc_d409_41d9_bcfc_ad5d7102e088"/>
      <w:bookmarkEnd w:id="70"/>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71" w:name="ConsolidatedBalanceSheets_421904"/>
      <w:bookmarkEnd w:id="71"/>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2" w:name="Tc_wZFIJAa16ki6TeE2jKn8Xw_39_7"/>
      <w:bookmarkStart w:id="73" w:name="Tc_FQRK0PpRn0-izVEXDLyAPA_39_4"/>
      <w:bookmarkStart w:id="74" w:name="Tc_aEdjoetkIkSr0igI8ugGgQ_39_0"/>
      <w:bookmarkStart w:id="75" w:name="Tc_h6WqwmFhP0uQJus31-OWSg_37_0"/>
      <w:bookmarkStart w:id="76" w:name="Tc_YueVX1_gUUCVmnv4mj2uvw_36_0"/>
      <w:bookmarkStart w:id="77" w:name="Tc_7DkqZZaQJ0C8s6qL03n1ag_35_0"/>
      <w:bookmarkStart w:id="78" w:name="Tc_ZReWx-nZkk6pY5tdFsk3sA_34_0"/>
      <w:bookmarkStart w:id="79" w:name="Tc_DvWD4yfAkUKXvl0W6cYt8g_33_2"/>
      <w:bookmarkStart w:id="80" w:name="_29b214de_f71c_495f_8226_4aabe4bf274e_3"/>
      <w:bookmarkStart w:id="81" w:name="_29b214de_f71c_495f_8226_4aabe4bf274e_2"/>
      <w:bookmarkStart w:id="82" w:name="_29b214de_f71c_495f_8226_4aabe4bf274e"/>
      <w:bookmarkStart w:id="83" w:name="Tc_adkP4TTS30usuGOMVo3oyA_33_0"/>
      <w:bookmarkStart w:id="84" w:name="Tc_gFgRpE3Seke6F59h-NVCrg_32_0"/>
      <w:bookmarkStart w:id="85" w:name="Tc_yMb8ICCJZEe0nt1uGikRDg_30_7"/>
      <w:bookmarkStart w:id="86" w:name="Tc_X4ar5MDWlkeHmJKRNeiuYg_30_4"/>
      <w:bookmarkStart w:id="87" w:name="Tc_Rvi1Oz7IiUS7wvrd68oaoA_30_0"/>
      <w:bookmarkStart w:id="88" w:name="Tc_MdPwJd_1Akm78fJbIdKXIw_27_5"/>
      <w:bookmarkStart w:id="89" w:name="Tc_MmU0hbkJD0m3nEDWAWSUrg_27_2"/>
      <w:bookmarkStart w:id="90" w:name="Tc_FC2-8AGYBkaXwaWtSetg_w_27_0"/>
      <w:bookmarkStart w:id="91" w:name="Tc_iFMYyjBaz0-V3tv_UMkDyQ_26_2"/>
      <w:bookmarkStart w:id="92" w:name="Tc_V7lO8yUGtE2NExHYQcr-dw_26_0"/>
      <w:bookmarkStart w:id="93" w:name="Tc_3wzFjgboQEGnybp8joURMA_25_2"/>
      <w:bookmarkStart w:id="94" w:name="Tc_TlMzP1K0b0St8R6ztZO5MQ_25_0"/>
      <w:bookmarkStart w:id="95" w:name="Tc_i9h1gfLgAkW9Yea6EGMZTA_24_0"/>
      <w:bookmarkStart w:id="96" w:name="Tc_3113YvsIbESc1O90DuHI6w_22_8"/>
      <w:bookmarkStart w:id="97" w:name="Tc_ZurIPxC5L0-L592phlIRlA_22_2"/>
      <w:bookmarkStart w:id="98" w:name="Tc_2l8NJsgztEOXSLAlfRTc2g_22_0"/>
      <w:bookmarkStart w:id="99" w:name="Tc_k9sWRCz2CUiKy4DewJjRJQ_21_5"/>
      <w:bookmarkStart w:id="100" w:name="Tc_1Q6PW6FMQ0eB7et1HweBSw_21_2"/>
      <w:bookmarkStart w:id="101" w:name="Tc_Q4TJtDlGSECE-rP3ZedzfQ_21_0"/>
      <w:bookmarkStart w:id="102" w:name="Tc_FH_PVa8zSU6zgKjR77m_vA_20_2"/>
      <w:bookmarkStart w:id="103" w:name="Tc_20ssMk1Bckeg3gJhkMeLLw_20_0"/>
      <w:bookmarkStart w:id="104" w:name="Tc_mRpwOC3yUkuOGtQOO5wbsw_19_0"/>
      <w:bookmarkStart w:id="105" w:name="Tc_l-WrX6fVAU2N1ejSGhBFLA_18_0"/>
      <w:bookmarkStart w:id="106" w:name="Tc_7o09sPHJaUCh1iiH_z_uYA_16_7"/>
      <w:bookmarkStart w:id="107" w:name="Tc_uH2DDpGhBU6GK4bQloFzrw_16_4"/>
      <w:bookmarkStart w:id="108" w:name="Tc_SVWWJVvHh0anACuaEjd59w_16_0"/>
      <w:bookmarkStart w:id="109" w:name="Tc__6WC-6qgY0iENFYKbXCkZg_13_2"/>
      <w:bookmarkStart w:id="110" w:name="Tc_YMDQJfxk7km-Hqm2bVGGgA_13_0"/>
      <w:bookmarkStart w:id="111" w:name="Tc_fN9tcPEhvU2EQaQuBKwZuQ_12_2"/>
      <w:bookmarkStart w:id="112" w:name="Tc_YIrttG31QkSk6GlCAOf93w_12_0"/>
      <w:bookmarkStart w:id="113" w:name="Tc_0_FclBKNV0aN8--nTBYMXw_11_2"/>
      <w:bookmarkStart w:id="114" w:name="Tc_DG0D4fEoNU64qwVW48xJYw_11_0"/>
      <w:bookmarkStart w:id="115" w:name="Tc_qqVGkYTiOUaxRFif6X3eCg_10_2"/>
      <w:bookmarkStart w:id="116" w:name="Tc_gp2PG7f_WEqVL_hYXbQ8YQ_10_0"/>
      <w:bookmarkStart w:id="117" w:name="Tc_EiO-2BI7-UOhz6X4EE-aIA_9_2"/>
      <w:bookmarkStart w:id="118" w:name="Tc_sWl-mvqeAE6fTJG1pm9JNA_9_0"/>
      <w:bookmarkStart w:id="119" w:name="Tc_N_XCqL1Oe0WyLB1ZiU66xA_8_0"/>
      <w:bookmarkStart w:id="120" w:name="Tc_6WfL2zrMtE6vOaGnQfWyuA_6_2"/>
      <w:bookmarkStart w:id="121" w:name="Tc_57up9gO_NEuwTdFgG6EI8A_6_0"/>
      <w:bookmarkStart w:id="122" w:name="Tc_uE_Tj5rwskCslRuoAXTNmQ_5_7"/>
      <w:bookmarkStart w:id="123" w:name="Tc_1mao29CxsUmkIdNKInAecg_5_4"/>
      <w:bookmarkStart w:id="124" w:name="Tc_LTIjwlTWFke9pRcsyeDDDg_5_0"/>
      <w:bookmarkStart w:id="125" w:name="Tc_u7UJo-xoTkmfJnvCLYIj-g_4_0"/>
      <w:bookmarkStart w:id="126" w:name="Tc_BibJSVjte0GuAAfOnocReA_3_7"/>
      <w:bookmarkStart w:id="127" w:name="Tc_nLcDW3zX3kitvPIveToymA_3_4"/>
      <w:bookmarkStart w:id="128" w:name="Tc_05x5lvC6s0u-L90t838fbQ_3_2"/>
      <w:bookmarkStart w:id="129" w:name="Tc_9S2Maea5D0mOKcaBVvFMBw_3_0"/>
      <w:bookmarkStart w:id="130" w:name="Tc_os31WMiimki8ejaN9zBE1w_2_7"/>
      <w:bookmarkStart w:id="131" w:name="Tc_I12Nlpcu1EufLGlP7wiJ_Q_2_4"/>
      <w:bookmarkStart w:id="132" w:name="Tc_jY2BQukjTES9TmMNxFWRYA_1_7"/>
      <w:bookmarkStart w:id="133" w:name="Tc_MXm3MevQaEKFAYMtktB9ew_1_4"/>
      <w:bookmarkStart w:id="134" w:name="_5716167f_ab65_443f_a684_45d31d4be6a8"/>
      <w:bookmarkStart w:id="135" w:name="Tc_wZFIJAa16ki6TeE2jKn8Xw_39_7"/>
      <w:bookmarkStart w:id="136" w:name="Tc_FQRK0PpRn0-izVEXDLyAPA_39_4"/>
      <w:bookmarkStart w:id="137" w:name="Tc_aEdjoetkIkSr0igI8ugGgQ_39_0"/>
      <w:bookmarkStart w:id="138" w:name="Tc_h6WqwmFhP0uQJus31-OWSg_37_0"/>
      <w:bookmarkStart w:id="139" w:name="Tc_YueVX1_gUUCVmnv4mj2uvw_36_0"/>
      <w:bookmarkStart w:id="140" w:name="Tc_7DkqZZaQJ0C8s6qL03n1ag_35_0"/>
      <w:bookmarkStart w:id="141" w:name="Tc_ZReWx-nZkk6pY5tdFsk3sA_34_0"/>
      <w:bookmarkStart w:id="142" w:name="Tc_DvWD4yfAkUKXvl0W6cYt8g_33_2"/>
      <w:bookmarkStart w:id="143" w:name="_29b214de_f71c_495f_8226_4aabe4bf274e_3"/>
      <w:bookmarkStart w:id="144" w:name="_29b214de_f71c_495f_8226_4aabe4bf274e_2"/>
      <w:bookmarkStart w:id="145" w:name="_29b214de_f71c_495f_8226_4aabe4bf274e"/>
      <w:bookmarkStart w:id="146" w:name="Tc_adkP4TTS30usuGOMVo3oyA_33_0"/>
      <w:bookmarkStart w:id="147" w:name="Tc_gFgRpE3Seke6F59h-NVCrg_32_0"/>
      <w:bookmarkStart w:id="148" w:name="Tc_yMb8ICCJZEe0nt1uGikRDg_30_7"/>
      <w:bookmarkStart w:id="149" w:name="Tc_X4ar5MDWlkeHmJKRNeiuYg_30_4"/>
      <w:bookmarkStart w:id="150" w:name="Tc_Rvi1Oz7IiUS7wvrd68oaoA_30_0"/>
      <w:bookmarkStart w:id="151" w:name="Tc_MdPwJd_1Akm78fJbIdKXIw_27_5"/>
      <w:bookmarkStart w:id="152" w:name="Tc_MmU0hbkJD0m3nEDWAWSUrg_27_2"/>
      <w:bookmarkStart w:id="153" w:name="Tc_FC2-8AGYBkaXwaWtSetg_w_27_0"/>
      <w:bookmarkStart w:id="154" w:name="Tc_iFMYyjBaz0-V3tv_UMkDyQ_26_2"/>
      <w:bookmarkStart w:id="155" w:name="Tc_V7lO8yUGtE2NExHYQcr-dw_26_0"/>
      <w:bookmarkStart w:id="156" w:name="Tc_3wzFjgboQEGnybp8joURMA_25_2"/>
      <w:bookmarkStart w:id="157" w:name="Tc_TlMzP1K0b0St8R6ztZO5MQ_25_0"/>
      <w:bookmarkStart w:id="158" w:name="Tc_i9h1gfLgAkW9Yea6EGMZTA_24_0"/>
      <w:bookmarkStart w:id="159" w:name="Tc_3113YvsIbESc1O90DuHI6w_22_8"/>
      <w:bookmarkStart w:id="160" w:name="Tc_ZurIPxC5L0-L592phlIRlA_22_2"/>
      <w:bookmarkStart w:id="161" w:name="Tc_2l8NJsgztEOXSLAlfRTc2g_22_0"/>
      <w:bookmarkStart w:id="162" w:name="Tc_k9sWRCz2CUiKy4DewJjRJQ_21_5"/>
      <w:bookmarkStart w:id="163" w:name="Tc_1Q6PW6FMQ0eB7et1HweBSw_21_2"/>
      <w:bookmarkStart w:id="164" w:name="Tc_Q4TJtDlGSECE-rP3ZedzfQ_21_0"/>
      <w:bookmarkStart w:id="165" w:name="Tc_FH_PVa8zSU6zgKjR77m_vA_20_2"/>
      <w:bookmarkStart w:id="166" w:name="Tc_20ssMk1Bckeg3gJhkMeLLw_20_0"/>
      <w:bookmarkStart w:id="167" w:name="Tc_mRpwOC3yUkuOGtQOO5wbsw_19_0"/>
      <w:bookmarkStart w:id="168" w:name="Tc_l-WrX6fVAU2N1ejSGhBFLA_18_0"/>
      <w:bookmarkStart w:id="169" w:name="Tc_7o09sPHJaUCh1iiH_z_uYA_16_7"/>
      <w:bookmarkStart w:id="170" w:name="Tc_uH2DDpGhBU6GK4bQloFzrw_16_4"/>
      <w:bookmarkStart w:id="171" w:name="Tc_SVWWJVvHh0anACuaEjd59w_16_0"/>
      <w:bookmarkStart w:id="172" w:name="Tc__6WC-6qgY0iENFYKbXCkZg_13_2"/>
      <w:bookmarkStart w:id="173" w:name="Tc_YMDQJfxk7km-Hqm2bVGGgA_13_0"/>
      <w:bookmarkStart w:id="174" w:name="Tc_fN9tcPEhvU2EQaQuBKwZuQ_12_2"/>
      <w:bookmarkStart w:id="175" w:name="Tc_YIrttG31QkSk6GlCAOf93w_12_0"/>
      <w:bookmarkStart w:id="176" w:name="Tc_0_FclBKNV0aN8--nTBYMXw_11_2"/>
      <w:bookmarkStart w:id="177" w:name="Tc_DG0D4fEoNU64qwVW48xJYw_11_0"/>
      <w:bookmarkStart w:id="178" w:name="Tc_qqVGkYTiOUaxRFif6X3eCg_10_2"/>
      <w:bookmarkStart w:id="179" w:name="Tc_gp2PG7f_WEqVL_hYXbQ8YQ_10_0"/>
      <w:bookmarkStart w:id="180" w:name="Tc_EiO-2BI7-UOhz6X4EE-aIA_9_2"/>
      <w:bookmarkStart w:id="181" w:name="Tc_sWl-mvqeAE6fTJG1pm9JNA_9_0"/>
      <w:bookmarkStart w:id="182" w:name="Tc_N_XCqL1Oe0WyLB1ZiU66xA_8_0"/>
      <w:bookmarkStart w:id="183" w:name="Tc_6WfL2zrMtE6vOaGnQfWyuA_6_2"/>
      <w:bookmarkStart w:id="184" w:name="Tc_57up9gO_NEuwTdFgG6EI8A_6_0"/>
      <w:bookmarkStart w:id="185" w:name="Tc_uE_Tj5rwskCslRuoAXTNmQ_5_7"/>
      <w:bookmarkStart w:id="186" w:name="Tc_1mao29CxsUmkIdNKInAecg_5_4"/>
      <w:bookmarkStart w:id="187" w:name="Tc_LTIjwlTWFke9pRcsyeDDDg_5_0"/>
      <w:bookmarkStart w:id="188" w:name="Tc_u7UJo-xoTkmfJnvCLYIj-g_4_0"/>
      <w:bookmarkStart w:id="189" w:name="Tc_BibJSVjte0GuAAfOnocReA_3_7"/>
      <w:bookmarkStart w:id="190" w:name="Tc_nLcDW3zX3kitvPIveToymA_3_4"/>
      <w:bookmarkStart w:id="191" w:name="Tc_05x5lvC6s0u-L90t838fbQ_3_2"/>
      <w:bookmarkStart w:id="192" w:name="Tc_9S2Maea5D0mOKcaBVvFMBw_3_0"/>
      <w:bookmarkStart w:id="193" w:name="Tc_os31WMiimki8ejaN9zBE1w_2_7"/>
      <w:bookmarkStart w:id="194" w:name="Tc_I12Nlpcu1EufLGlP7wiJ_Q_2_4"/>
      <w:bookmarkStart w:id="195" w:name="Tc_jY2BQukjTES9TmMNxFWRYA_1_7"/>
      <w:bookmarkStart w:id="196" w:name="Tc_MXm3MevQaEKFAYMtktB9ew_1_4"/>
      <w:bookmarkStart w:id="197" w:name="_5716167f_ab65_443f_a684_45d31d4be6a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tbl>
      <w:tblPr>
        <w:tblW w:w="10205" w:type="dxa"/>
        <w:jc w:val="left"/>
        <w:tblInd w:w="0" w:type="dxa"/>
        <w:tblLayout w:type="fixed"/>
        <w:tblCellMar>
          <w:top w:w="0" w:type="dxa"/>
          <w:left w:w="0" w:type="dxa"/>
          <w:bottom w:w="0" w:type="dxa"/>
          <w:right w:w="0" w:type="dxa"/>
        </w:tblCellMar>
      </w:tblPr>
      <w:tblGrid>
        <w:gridCol w:w="6366"/>
        <w:gridCol w:w="346"/>
        <w:gridCol w:w="571"/>
        <w:gridCol w:w="346"/>
        <w:gridCol w:w="211"/>
        <w:gridCol w:w="881"/>
        <w:gridCol w:w="346"/>
        <w:gridCol w:w="211"/>
        <w:gridCol w:w="927"/>
      </w:tblGrid>
      <w:tr>
        <w:trPr/>
        <w:tc>
          <w:tcPr>
            <w:tcW w:w="6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042410" cy="175260"/>
                      <wp:effectExtent l="0" t="0" r="0" b="0"/>
                      <wp:wrapNone/>
                      <wp:docPr id="103" name="Frame81"/>
                      <a:graphic xmlns:a="http://schemas.openxmlformats.org/drawingml/2006/main">
                        <a:graphicData uri="http://schemas.microsoft.com/office/word/2010/wordprocessingShape">
                          <wps:wsp>
                            <wps:cNvSpPr txBox="1"/>
                            <wps:spPr>
                              <a:xfrm>
                                <a:off x="0" y="0"/>
                                <a:ext cx="404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4"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2585" cy="175260"/>
                      <wp:effectExtent l="0" t="0" r="0" b="0"/>
                      <wp:wrapNone/>
                      <wp:docPr id="105" name="Frame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06"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07"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59435" cy="175260"/>
                      <wp:effectExtent l="0" t="0" r="0" b="0"/>
                      <wp:wrapNone/>
                      <wp:docPr id="108" name="Frame86"/>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09"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0"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88645" cy="175260"/>
                      <wp:effectExtent l="0" t="0" r="0" b="0"/>
                      <wp:wrapNone/>
                      <wp:docPr id="111" name="Frame89"/>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 ​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 ​ ​</w:t>
            </w:r>
          </w:p>
        </w:tc>
        <w:tc>
          <w:tcPr>
            <w:tcW w:w="1092"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As at</w:t>
            </w:r>
          </w:p>
        </w:tc>
        <w:tc>
          <w:tcPr>
            <w:tcW w:w="346" w:type="dxa"/>
            <w:tcBorders/>
            <w:vAlign w:val="center"/>
          </w:tcPr>
          <w:p>
            <w:pPr>
              <w:pStyle w:val="TableContents"/>
              <w:bidi w:val="0"/>
              <w:spacing w:before="0" w:after="1"/>
              <w:ind w:left="0" w:right="0" w:hanging="0"/>
              <w:jc w:val="right"/>
              <w:rPr/>
            </w:pPr>
            <w:r>
              <w:rPr/>
              <w:t>​</w:t>
            </w:r>
          </w:p>
        </w:tc>
        <w:tc>
          <w:tcPr>
            <w:tcW w:w="1138"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As at</w:t>
            </w:r>
          </w:p>
        </w:tc>
      </w:tr>
      <w:tr>
        <w:trPr/>
        <w:tc>
          <w:tcPr>
            <w:tcW w:w="63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092"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right"/>
              <w:rPr/>
            </w:pPr>
            <w:r>
              <w:rPr/>
              <w:t>  ​ ​ ​</w:t>
            </w:r>
          </w:p>
        </w:tc>
        <w:tc>
          <w:tcPr>
            <w:tcW w:w="1138"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w:t>
            </w:r>
          </w:p>
        </w:tc>
      </w:tr>
      <w:tr>
        <w:trPr/>
        <w:tc>
          <w:tcPr>
            <w:tcW w:w="636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1"/>
              <w:ind w:left="0" w:right="0" w:hanging="0"/>
              <w:jc w:val="right"/>
              <w:rPr/>
            </w:pPr>
            <w:r>
              <w:rPr/>
              <w:t>​</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right"/>
              <w:rPr/>
            </w:pPr>
            <w:r>
              <w:rPr/>
              <w:t>​</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pPr>
            <w:r>
              <w:rPr/>
              <w:t>  ​</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117,633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w:t>
            </w:r>
          </w:p>
        </w:tc>
      </w:tr>
      <w:tr>
        <w:trPr/>
        <w:tc>
          <w:tcPr>
            <w:tcW w:w="6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120,682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5,331</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pPr>
            <w:r>
              <w:rPr/>
              <w:t>  ​</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assets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42,951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42,951</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8,203</w:t>
            </w:r>
          </w:p>
        </w:tc>
      </w:tr>
      <w:tr>
        <w:trPr/>
        <w:tc>
          <w:tcPr>
            <w:tcW w:w="63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57,667</w:t>
            </w:r>
          </w:p>
        </w:tc>
      </w:tr>
      <w:tr>
        <w:trPr/>
        <w:tc>
          <w:tcPr>
            <w:tcW w:w="6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181,631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62,998</w:t>
            </w:r>
          </w:p>
        </w:tc>
      </w:tr>
      <w:tr>
        <w:trPr/>
        <w:tc>
          <w:tcPr>
            <w:tcW w:w="6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left"/>
              <w:rPr/>
            </w:pPr>
            <w:r>
              <w:rPr/>
              <w:t>​</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pPr>
            <w:r>
              <w:rPr/>
              <w:t>  ​</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pPr>
            <w:r>
              <w:rPr/>
              <w:t>  ​</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46,048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42,754</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8, 21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11,775</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59,399</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54,529</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pPr>
            <w:r>
              <w:rPr/>
              <w:t>  ​</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10,675</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Royalty liability</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145,000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63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25,587</w:t>
            </w:r>
          </w:p>
        </w:tc>
      </w:tr>
      <w:tr>
        <w:trPr/>
        <w:tc>
          <w:tcPr>
            <w:tcW w:w="6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215,074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80,116</w:t>
            </w:r>
          </w:p>
        </w:tc>
      </w:tr>
      <w:tr>
        <w:trPr/>
        <w:tc>
          <w:tcPr>
            <w:tcW w:w="6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left"/>
              <w:rPr/>
            </w:pPr>
            <w:r>
              <w:rPr/>
              <w:t>​</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pPr>
            <w:r>
              <w:rPr/>
              <w:t>  ​</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shares </w:t>
            </w:r>
            <w:r>
              <w:rPr>
                <w:rFonts w:ascii="Times New Roman;Times;serif" w:hAnsi="Times New Roman;Times;serif"/>
                <w:i/>
                <w:sz w:val="20"/>
              </w:rPr>
              <w:t>(unlimited</w:t>
            </w:r>
            <w:r>
              <w:rPr>
                <w:rFonts w:ascii="Times New Roman;Times;serif" w:hAnsi="Times New Roman;Times;serif"/>
                <w:sz w:val="20"/>
              </w:rPr>
              <w:t xml:space="preserve"> </w:t>
            </w:r>
            <w:r>
              <w:rPr>
                <w:rFonts w:ascii="Times New Roman;Times;serif" w:hAnsi="Times New Roman;Times;serif"/>
                <w:i/>
                <w:sz w:val="20"/>
              </w:rPr>
              <w:t>shares, no</w:t>
            </w:r>
            <w:r>
              <w:rPr>
                <w:rFonts w:ascii="Times New Roman;Times;serif" w:hAnsi="Times New Roman;Times;serif"/>
                <w:sz w:val="20"/>
              </w:rPr>
              <w:t xml:space="preserve"> </w:t>
            </w:r>
            <w:r>
              <w:rPr>
                <w:rFonts w:ascii="Times New Roman;Times;serif" w:hAnsi="Times New Roman;Times;serif"/>
                <w:i/>
                <w:sz w:val="20"/>
              </w:rPr>
              <w:t>par value – issued: 422,966,333</w:t>
            </w:r>
            <w:r>
              <w:rPr>
                <w:rFonts w:ascii="Times New Roman;Times;serif" w:hAnsi="Times New Roman;Times;serif"/>
                <w:sz w:val="20"/>
              </w:rPr>
              <w:t xml:space="preserve"> </w:t>
            </w:r>
            <w:r>
              <w:rPr>
                <w:rFonts w:ascii="Times New Roman;Times;serif" w:hAnsi="Times New Roman;Times;serif"/>
                <w:i/>
                <w:sz w:val="20"/>
              </w:rPr>
              <w:t>(December 31, 2024 – 340,708,460))</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681,343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477,217</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 - in capital</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237,696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138,303</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w:t>
            </w:r>
          </w:p>
        </w:tc>
      </w:tr>
      <w:tr>
        <w:trPr/>
        <w:tc>
          <w:tcPr>
            <w:tcW w:w="63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Deficit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(951,279)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(631,435)</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(33,443)</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(17,118)</w:t>
            </w:r>
          </w:p>
        </w:tc>
      </w:tr>
      <w:tr>
        <w:trPr/>
        <w:tc>
          <w:tcPr>
            <w:tcW w:w="63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636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181,631</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7"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62,998</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Nature of Operations </w:t>
      </w:r>
      <w:r>
        <w:rPr>
          <w:rFonts w:ascii="Times New Roman;Times;serif" w:hAnsi="Times New Roman;Times;serif"/>
          <w:i/>
          <w:sz w:val="20"/>
        </w:rPr>
        <w:t>(Note 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Commitments and Contingent Liabilities </w:t>
      </w:r>
      <w:r>
        <w:rPr>
          <w:rFonts w:ascii="Times New Roman;Times;serif" w:hAnsi="Times New Roman;Times;serif"/>
          <w:i/>
          <w:sz w:val="20"/>
        </w:rPr>
        <w:t>(Note 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Subsequent Event </w:t>
      </w:r>
      <w:r>
        <w:rPr>
          <w:rFonts w:ascii="Times New Roman;Times;serif" w:hAnsi="Times New Roman;Times;serif"/>
          <w:i/>
          <w:sz w:val="20"/>
        </w:rPr>
        <w:t>(Note 25)</w:t>
      </w:r>
    </w:p>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8" w:name="_d8ece3c9_6c3d_4558_9fdf_e1d2df49f0e8"/>
      <w:bookmarkEnd w:id="198"/>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199" w:name="ConsolidatedStatementsofLossandComprehen"/>
      <w:bookmarkEnd w:id="199"/>
      <w:r>
        <w:rPr>
          <w:rFonts w:ascii="Times New Roman;Times;serif" w:hAnsi="Times New Roman;Times;serif"/>
          <w:b/>
          <w:sz w:val="20"/>
        </w:rPr>
        <w:t>Consolidated Statements of Loss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w:t>
      </w:r>
    </w:p>
    <w:p>
      <w:pPr>
        <w:pStyle w:val="TextBody"/>
        <w:bidi w:val="0"/>
        <w:spacing w:before="0" w:after="240"/>
        <w:ind w:left="0" w:right="0" w:firstLine="360"/>
        <w:jc w:val="left"/>
        <w:rPr/>
      </w:pPr>
      <w:r>
        <w:rPr/>
        <w:t>​</w:t>
      </w:r>
    </w:p>
    <w:p>
      <w:pPr>
        <w:pStyle w:val="Normal"/>
        <w:bidi w:val="0"/>
        <w:spacing w:before="0" w:after="0"/>
        <w:jc w:val="left"/>
        <w:rPr>
          <w:sz w:val="4"/>
          <w:szCs w:val="4"/>
        </w:rPr>
      </w:pPr>
      <w:r>
        <w:rPr>
          <w:sz w:val="4"/>
          <w:szCs w:val="4"/>
        </w:rPr>
      </w:r>
      <w:bookmarkStart w:id="200" w:name="Tc_DVL15_Ljnkuj2-XTPtSlYw_29_0"/>
      <w:bookmarkStart w:id="201" w:name="Tc_9lS7N0aOQk20kbjmaKzARA_27_7"/>
      <w:bookmarkStart w:id="202" w:name="Tc_HClE_GPhwkiE0aYk3DrMQw_27_4"/>
      <w:bookmarkStart w:id="203" w:name="Tc_3rBi3t5JWkq7Ts8RuPRAEw_27_2"/>
      <w:bookmarkStart w:id="204" w:name="Tc_NQXFB2sHW06fz3yF8_-qDQ_27_0"/>
      <w:bookmarkStart w:id="205" w:name="Tc_FVfAQlPoYkSQZK7aFotTJw_26_0"/>
      <w:bookmarkStart w:id="206" w:name="Tc_MHp7bQAyLkuKTnK9YVEG3w_24_7"/>
      <w:bookmarkStart w:id="207" w:name="Tc_2OsHOK9zV0y0P3K022oj0A_24_4"/>
      <w:bookmarkStart w:id="208" w:name="Tc_0hbyn6SwPk6-5XZ0Q4HPXg_24_0"/>
      <w:bookmarkStart w:id="209" w:name="Tc_bGlPtvwlXUmgSHgbMpk_cg_22_2"/>
      <w:bookmarkStart w:id="210" w:name="Tc_geIYJyhCa0afF1V-IbcCMQ_22_0"/>
      <w:bookmarkStart w:id="211" w:name="Tc_pzbD6YwcVEefRsdIG73tlw_20_7"/>
      <w:bookmarkStart w:id="212" w:name="Tc_QO4IPEK5KUuhOL48eh47pQ_20_4"/>
      <w:bookmarkStart w:id="213" w:name="Tc_ZnD2ZdwmxUm_7L0tj2Y5kQ_20_0"/>
      <w:bookmarkStart w:id="214" w:name="Tc_GEinawx_5U2omxrebz8Ceg_18_2"/>
      <w:bookmarkStart w:id="215" w:name="Tc_ZtytLWH30EqZhZQMSklU3g_18_0"/>
      <w:bookmarkStart w:id="216" w:name="Tc_05owdE9tLUaGu2IHm36ywQ_17_0"/>
      <w:bookmarkStart w:id="217" w:name="Tc_9KCatI5qVkOK7na0aGrXfg_16_0"/>
      <w:bookmarkStart w:id="218" w:name="Tc_VrctpRv9j0ucMEfEfY0Zmg_15_2"/>
      <w:bookmarkStart w:id="219" w:name="Tc_3M9Q6t5Uj0CTsP0Pdgizog_15_0"/>
      <w:bookmarkStart w:id="220" w:name="Tc_gct3VoaVIE2RtcjKVq73gA_14_5"/>
      <w:bookmarkStart w:id="221" w:name="Tc_PPS-wn1w6EaXR9prkUApsw_14_0"/>
      <w:bookmarkStart w:id="222" w:name="Tc_9JNY0tFevU6qIDdvztP-Ng_13_8"/>
      <w:bookmarkStart w:id="223" w:name="Tc_EvdjXMCnAEyr_q54yP97tA_13_2"/>
      <w:bookmarkStart w:id="224" w:name="Tc_0SZlXL_0F0iaZQJ00oseOQ_13_0"/>
      <w:bookmarkStart w:id="225" w:name="Tc__rZ-NuAp6UmDqh9afFe4hA_12_2"/>
      <w:bookmarkStart w:id="226" w:name="Tc_Ge24FalpGEGqCb9Q-aGm4w_12_0"/>
      <w:bookmarkStart w:id="227" w:name="Tc_HIePXI7AM0CdVjUyrYJwQg_11_8"/>
      <w:bookmarkStart w:id="228" w:name="Tc_zXx5f3EcYEawYd19z1MDRA_11_2"/>
      <w:bookmarkStart w:id="229" w:name="Tc_rz0VmnNiVEaoToxL_hbrVQ_11_0"/>
      <w:bookmarkStart w:id="230" w:name="Tc_Sc8sQSOWhEStyvAwdLFAeQ_10_8"/>
      <w:bookmarkStart w:id="231" w:name="Tc_olRSdAw9rky0EjeiBdTvzA_10_2"/>
      <w:bookmarkStart w:id="232" w:name="Tc_xgBQmMMDR0OUc4nqKeoqzQ_10_0"/>
      <w:bookmarkStart w:id="233" w:name="Tc_untPTbcqMU-uSF9wCD9xlg_9_0"/>
      <w:bookmarkStart w:id="234" w:name="Tc_D4SukkwAQEKu6sd_Jg8XZg_7_0"/>
      <w:bookmarkStart w:id="235" w:name="Tc_3sNYsTmAKE24rnHtVsPYJA_6_2"/>
      <w:bookmarkStart w:id="236" w:name="Tc_PkRs-uPeSkG1uqrFGBmdDQ_6_0"/>
      <w:bookmarkStart w:id="237" w:name="Tc_KuELM-Xja0-Ihu8fhujXHg_5_7"/>
      <w:bookmarkStart w:id="238" w:name="Tc_lsnkVAwqskOdxTUx-A0i9A_5_4"/>
      <w:bookmarkStart w:id="239" w:name="Tc_2zMiiUzVH0OvU9iwFpru3w_5_2"/>
      <w:bookmarkStart w:id="240" w:name="Tc_X9P6mOtEy02NVzvBfV4mDw_5_0"/>
      <w:bookmarkStart w:id="241" w:name="Tc_lXuZ54CvGE645B2zpNKjUA_4_0"/>
      <w:bookmarkStart w:id="242" w:name="Tc_J3ALsFw5tEmyzcKPpipKnw_3_7"/>
      <w:bookmarkStart w:id="243" w:name="Tc_VMo0YrW9CkCpkBG8yckFhQ_3_4"/>
      <w:bookmarkStart w:id="244" w:name="Tc_snrN6bKevUqIKNvTH2_VBg_3_2"/>
      <w:bookmarkStart w:id="245" w:name="Tc_5ESVB74QikOZxjtorGDG6w_2_7"/>
      <w:bookmarkStart w:id="246" w:name="Tc_C_TJa8tigUiD83J57H1nkA_2_4"/>
      <w:bookmarkStart w:id="247" w:name="Tc_HrDbiA8MBUmDCVV5l5S_uw_1_7"/>
      <w:bookmarkStart w:id="248" w:name="Tc_VqQ65SdePUiH3ddSL8cBkA_1_4"/>
      <w:bookmarkStart w:id="249" w:name="_8b92d9f5_3cf8_44e4_83d4_a201fe040eda"/>
      <w:bookmarkStart w:id="250" w:name="_ea34c774_6f13_4475_85a8_33d3e7c765ac"/>
      <w:bookmarkStart w:id="251" w:name="Tc_DVL15_Ljnkuj2-XTPtSlYw_29_0"/>
      <w:bookmarkStart w:id="252" w:name="Tc_9lS7N0aOQk20kbjmaKzARA_27_7"/>
      <w:bookmarkStart w:id="253" w:name="Tc_HClE_GPhwkiE0aYk3DrMQw_27_4"/>
      <w:bookmarkStart w:id="254" w:name="Tc_3rBi3t5JWkq7Ts8RuPRAEw_27_2"/>
      <w:bookmarkStart w:id="255" w:name="Tc_NQXFB2sHW06fz3yF8_-qDQ_27_0"/>
      <w:bookmarkStart w:id="256" w:name="Tc_FVfAQlPoYkSQZK7aFotTJw_26_0"/>
      <w:bookmarkStart w:id="257" w:name="Tc_MHp7bQAyLkuKTnK9YVEG3w_24_7"/>
      <w:bookmarkStart w:id="258" w:name="Tc_2OsHOK9zV0y0P3K022oj0A_24_4"/>
      <w:bookmarkStart w:id="259" w:name="Tc_0hbyn6SwPk6-5XZ0Q4HPXg_24_0"/>
      <w:bookmarkStart w:id="260" w:name="Tc_bGlPtvwlXUmgSHgbMpk_cg_22_2"/>
      <w:bookmarkStart w:id="261" w:name="Tc_geIYJyhCa0afF1V-IbcCMQ_22_0"/>
      <w:bookmarkStart w:id="262" w:name="Tc_pzbD6YwcVEefRsdIG73tlw_20_7"/>
      <w:bookmarkStart w:id="263" w:name="Tc_QO4IPEK5KUuhOL48eh47pQ_20_4"/>
      <w:bookmarkStart w:id="264" w:name="Tc_ZnD2ZdwmxUm_7L0tj2Y5kQ_20_0"/>
      <w:bookmarkStart w:id="265" w:name="Tc_GEinawx_5U2omxrebz8Ceg_18_2"/>
      <w:bookmarkStart w:id="266" w:name="Tc_ZtytLWH30EqZhZQMSklU3g_18_0"/>
      <w:bookmarkStart w:id="267" w:name="Tc_05owdE9tLUaGu2IHm36ywQ_17_0"/>
      <w:bookmarkStart w:id="268" w:name="Tc_9KCatI5qVkOK7na0aGrXfg_16_0"/>
      <w:bookmarkStart w:id="269" w:name="Tc_VrctpRv9j0ucMEfEfY0Zmg_15_2"/>
      <w:bookmarkStart w:id="270" w:name="Tc_3M9Q6t5Uj0CTsP0Pdgizog_15_0"/>
      <w:bookmarkStart w:id="271" w:name="Tc_gct3VoaVIE2RtcjKVq73gA_14_5"/>
      <w:bookmarkStart w:id="272" w:name="Tc_PPS-wn1w6EaXR9prkUApsw_14_0"/>
      <w:bookmarkStart w:id="273" w:name="Tc_9JNY0tFevU6qIDdvztP-Ng_13_8"/>
      <w:bookmarkStart w:id="274" w:name="Tc_EvdjXMCnAEyr_q54yP97tA_13_2"/>
      <w:bookmarkStart w:id="275" w:name="Tc_0SZlXL_0F0iaZQJ00oseOQ_13_0"/>
      <w:bookmarkStart w:id="276" w:name="Tc__rZ-NuAp6UmDqh9afFe4hA_12_2"/>
      <w:bookmarkStart w:id="277" w:name="Tc_Ge24FalpGEGqCb9Q-aGm4w_12_0"/>
      <w:bookmarkStart w:id="278" w:name="Tc_HIePXI7AM0CdVjUyrYJwQg_11_8"/>
      <w:bookmarkStart w:id="279" w:name="Tc_zXx5f3EcYEawYd19z1MDRA_11_2"/>
      <w:bookmarkStart w:id="280" w:name="Tc_rz0VmnNiVEaoToxL_hbrVQ_11_0"/>
      <w:bookmarkStart w:id="281" w:name="Tc_Sc8sQSOWhEStyvAwdLFAeQ_10_8"/>
      <w:bookmarkStart w:id="282" w:name="Tc_olRSdAw9rky0EjeiBdTvzA_10_2"/>
      <w:bookmarkStart w:id="283" w:name="Tc_xgBQmMMDR0OUc4nqKeoqzQ_10_0"/>
      <w:bookmarkStart w:id="284" w:name="Tc_untPTbcqMU-uSF9wCD9xlg_9_0"/>
      <w:bookmarkStart w:id="285" w:name="Tc_D4SukkwAQEKu6sd_Jg8XZg_7_0"/>
      <w:bookmarkStart w:id="286" w:name="Tc_3sNYsTmAKE24rnHtVsPYJA_6_2"/>
      <w:bookmarkStart w:id="287" w:name="Tc_PkRs-uPeSkG1uqrFGBmdDQ_6_0"/>
      <w:bookmarkStart w:id="288" w:name="Tc_KuELM-Xja0-Ihu8fhujXHg_5_7"/>
      <w:bookmarkStart w:id="289" w:name="Tc_lsnkVAwqskOdxTUx-A0i9A_5_4"/>
      <w:bookmarkStart w:id="290" w:name="Tc_2zMiiUzVH0OvU9iwFpru3w_5_2"/>
      <w:bookmarkStart w:id="291" w:name="Tc_X9P6mOtEy02NVzvBfV4mDw_5_0"/>
      <w:bookmarkStart w:id="292" w:name="Tc_lXuZ54CvGE645B2zpNKjUA_4_0"/>
      <w:bookmarkStart w:id="293" w:name="Tc_J3ALsFw5tEmyzcKPpipKnw_3_7"/>
      <w:bookmarkStart w:id="294" w:name="Tc_VMo0YrW9CkCpkBG8yckFhQ_3_4"/>
      <w:bookmarkStart w:id="295" w:name="Tc_snrN6bKevUqIKNvTH2_VBg_3_2"/>
      <w:bookmarkStart w:id="296" w:name="Tc_5ESVB74QikOZxjtorGDG6w_2_7"/>
      <w:bookmarkStart w:id="297" w:name="Tc_C_TJa8tigUiD83J57H1nkA_2_4"/>
      <w:bookmarkStart w:id="298" w:name="Tc_HrDbiA8MBUmDCVV5l5S_uw_1_7"/>
      <w:bookmarkStart w:id="299" w:name="Tc_VqQ65SdePUiH3ddSL8cBkA_1_4"/>
      <w:bookmarkStart w:id="300" w:name="_8b92d9f5_3cf8_44e4_83d4_a201fe040eda"/>
      <w:bookmarkStart w:id="301" w:name="_ea34c774_6f13_4475_85a8_33d3e7c765ac"/>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tbl>
      <w:tblPr>
        <w:tblW w:w="10205" w:type="dxa"/>
        <w:jc w:val="left"/>
        <w:tblInd w:w="0" w:type="dxa"/>
        <w:tblLayout w:type="fixed"/>
        <w:tblCellMar>
          <w:top w:w="0" w:type="dxa"/>
          <w:left w:w="0" w:type="dxa"/>
          <w:bottom w:w="0" w:type="dxa"/>
          <w:right w:w="0" w:type="dxa"/>
        </w:tblCellMar>
      </w:tblPr>
      <w:tblGrid>
        <w:gridCol w:w="5650"/>
        <w:gridCol w:w="346"/>
        <w:gridCol w:w="499"/>
        <w:gridCol w:w="346"/>
        <w:gridCol w:w="231"/>
        <w:gridCol w:w="1255"/>
        <w:gridCol w:w="346"/>
        <w:gridCol w:w="221"/>
        <w:gridCol w:w="1311"/>
      </w:tblGrid>
      <w:tr>
        <w:trPr/>
        <w:tc>
          <w:tcPr>
            <w:tcW w:w="5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587750" cy="175260"/>
                      <wp:effectExtent l="0" t="0" r="0" b="0"/>
                      <wp:wrapNone/>
                      <wp:docPr id="112" name="Frame90"/>
                      <a:graphic xmlns:a="http://schemas.openxmlformats.org/drawingml/2006/main">
                        <a:graphicData uri="http://schemas.microsoft.com/office/word/2010/wordprocessingShape">
                          <wps:wsp>
                            <wps:cNvSpPr txBox="1"/>
                            <wps:spPr>
                              <a:xfrm>
                                <a:off x="0" y="0"/>
                                <a:ext cx="3587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3"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16865" cy="175260"/>
                      <wp:effectExtent l="0" t="0" r="0" b="0"/>
                      <wp:wrapNone/>
                      <wp:docPr id="114" name="Frame92"/>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5"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6685" cy="175260"/>
                      <wp:effectExtent l="0" t="0" r="0" b="0"/>
                      <wp:wrapNone/>
                      <wp:docPr id="116" name="Frame9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96925" cy="175260"/>
                      <wp:effectExtent l="0" t="0" r="0" b="0"/>
                      <wp:wrapNone/>
                      <wp:docPr id="117" name="Frame95"/>
                      <a:graphic xmlns:a="http://schemas.openxmlformats.org/drawingml/2006/main">
                        <a:graphicData uri="http://schemas.microsoft.com/office/word/2010/wordprocessingShape">
                          <wps:wsp>
                            <wps:cNvSpPr txBox="1"/>
                            <wps:spPr>
                              <a:xfrm>
                                <a:off x="0" y="0"/>
                                <a:ext cx="796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18"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0335" cy="175260"/>
                      <wp:effectExtent l="0" t="0" r="0" b="0"/>
                      <wp:wrapNone/>
                      <wp:docPr id="119" name="Frame9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32485" cy="175260"/>
                      <wp:effectExtent l="0" t="0" r="0" b="0"/>
                      <wp:wrapNone/>
                      <wp:docPr id="120" name="Frame98"/>
                      <a:graphic xmlns:a="http://schemas.openxmlformats.org/drawingml/2006/main">
                        <a:graphicData uri="http://schemas.microsoft.com/office/word/2010/wordprocessingShape">
                          <wps:wsp>
                            <wps:cNvSpPr txBox="1"/>
                            <wps:spPr>
                              <a:xfrm>
                                <a:off x="0" y="0"/>
                                <a:ext cx="83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4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48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For the year ended</w:t>
            </w:r>
          </w:p>
        </w:tc>
        <w:tc>
          <w:tcPr>
            <w:tcW w:w="346" w:type="dxa"/>
            <w:tcBorders/>
            <w:vAlign w:val="center"/>
          </w:tcPr>
          <w:p>
            <w:pPr>
              <w:pStyle w:val="TableContents"/>
              <w:bidi w:val="0"/>
              <w:spacing w:before="0" w:after="0"/>
              <w:ind w:left="0" w:right="0" w:hanging="0"/>
              <w:jc w:val="right"/>
              <w:rPr/>
            </w:pPr>
            <w:r>
              <w:rPr/>
              <w:t>  ​ ​ ​</w:t>
            </w:r>
          </w:p>
        </w:tc>
        <w:tc>
          <w:tcPr>
            <w:tcW w:w="153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For the year ended</w:t>
            </w:r>
          </w:p>
        </w:tc>
      </w:tr>
      <w:tr>
        <w:trPr/>
        <w:tc>
          <w:tcPr>
            <w:tcW w:w="56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48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right"/>
              <w:rPr/>
            </w:pPr>
            <w:r>
              <w:rPr/>
              <w:t>​</w:t>
            </w:r>
          </w:p>
        </w:tc>
        <w:tc>
          <w:tcPr>
            <w:tcW w:w="153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w:t>
            </w:r>
          </w:p>
        </w:tc>
      </w:tr>
      <w:tr>
        <w:trPr/>
        <w:tc>
          <w:tcPr>
            <w:tcW w:w="56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right"/>
              <w:rPr/>
            </w:pPr>
            <w:r>
              <w:rPr/>
              <w:t>​</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right"/>
              <w:rPr/>
            </w:pPr>
            <w:r>
              <w:rPr/>
              <w:t>​</w:t>
            </w:r>
          </w:p>
        </w:tc>
        <w:tc>
          <w:tcPr>
            <w:tcW w:w="153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right"/>
              <w:rPr/>
            </w:pPr>
            <w:r>
              <w:rPr/>
              <w:t>  ​</w:t>
            </w:r>
          </w:p>
        </w:tc>
      </w:tr>
      <w:tr>
        <w:trPr/>
        <w:tc>
          <w:tcPr>
            <w:tcW w:w="56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40,282</w:t>
            </w:r>
          </w:p>
        </w:tc>
        <w:tc>
          <w:tcPr>
            <w:tcW w:w="3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50,643</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99,772</w:t>
            </w:r>
          </w:p>
        </w:tc>
        <w:tc>
          <w:tcPr>
            <w:tcW w:w="34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30,644</w:t>
            </w:r>
          </w:p>
        </w:tc>
      </w:tr>
      <w:tr>
        <w:trPr/>
        <w:tc>
          <w:tcPr>
            <w:tcW w:w="565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140,054</w:t>
            </w:r>
          </w:p>
        </w:tc>
        <w:tc>
          <w:tcPr>
            <w:tcW w:w="3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81,287</w:t>
            </w:r>
          </w:p>
        </w:tc>
      </w:tr>
      <w:tr>
        <w:trPr/>
        <w:tc>
          <w:tcPr>
            <w:tcW w:w="56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left"/>
              <w:rPr/>
            </w:pPr>
            <w:r>
              <w:rPr/>
              <w:t>​</w:t>
            </w:r>
          </w:p>
        </w:tc>
      </w:tr>
      <w:tr>
        <w:trPr/>
        <w:tc>
          <w:tcPr>
            <w:tcW w:w="565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items</w:t>
            </w:r>
          </w:p>
        </w:tc>
        <w:tc>
          <w:tcPr>
            <w:tcW w:w="3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right"/>
              <w:rPr/>
            </w:pPr>
            <w:r>
              <w:rPr/>
              <w:t>​</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Nauru and Tonga warrant costs</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38,056</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right"/>
              <w:rPr/>
            </w:pPr>
            <w:r>
              <w:rPr/>
              <w:t>—</w:t>
            </w:r>
          </w:p>
        </w:tc>
      </w:tr>
      <w:tr>
        <w:trPr/>
        <w:tc>
          <w:tcPr>
            <w:tcW w:w="56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royalty liability</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131,000</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right"/>
              <w:rPr/>
            </w:pPr>
            <w:r>
              <w:rPr/>
              <w:t>—</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46" w:type="dxa"/>
            <w:tcBorders/>
            <w:shd w:fill="CCEEFF" w:val="clear"/>
            <w:vAlign w:val="center"/>
          </w:tcPr>
          <w:p>
            <w:pPr>
              <w:pStyle w:val="TableContents"/>
              <w:bidi w:val="0"/>
              <w:spacing w:before="0" w:after="0"/>
              <w:ind w:left="0" w:right="0" w:hanging="0"/>
              <w:jc w:val="left"/>
              <w:rPr/>
            </w:pPr>
            <w:r>
              <w:rPr/>
              <w:t> </w:t>
            </w:r>
          </w:p>
        </w:tc>
        <w:tc>
          <w:tcPr>
            <w:tcW w:w="4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56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dilution of investment</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(5,649)</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right"/>
              <w:rPr/>
            </w:pPr>
            <w:r>
              <w:rPr/>
              <w:t>—</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termination of contract</w:t>
            </w:r>
          </w:p>
        </w:tc>
        <w:tc>
          <w:tcPr>
            <w:tcW w:w="346" w:type="dxa"/>
            <w:tcBorders/>
            <w:shd w:fill="CCEEFF" w:val="clear"/>
            <w:vAlign w:val="center"/>
          </w:tcPr>
          <w:p>
            <w:pPr>
              <w:pStyle w:val="TableContents"/>
              <w:bidi w:val="0"/>
              <w:spacing w:before="0" w:after="0"/>
              <w:ind w:left="0" w:right="0" w:hanging="0"/>
              <w:jc w:val="left"/>
              <w:rPr/>
            </w:pPr>
            <w:r>
              <w:rPr/>
              <w:t> </w:t>
            </w:r>
          </w:p>
        </w:tc>
        <w:tc>
          <w:tcPr>
            <w:tcW w:w="49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56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12,439</w:t>
            </w:r>
          </w:p>
        </w:tc>
        <w:tc>
          <w:tcPr>
            <w:tcW w:w="3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56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borrowings and credit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8, 21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2,602</w:t>
            </w:r>
          </w:p>
        </w:tc>
      </w:tr>
      <w:tr>
        <w:trPr/>
        <w:tc>
          <w:tcPr>
            <w:tcW w:w="56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right"/>
              <w:rPr/>
            </w:pPr>
            <w:r>
              <w:rPr/>
              <w:t>​</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and comprehensive loss for the year, before tax</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5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319,700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81,895</w:t>
            </w:r>
          </w:p>
        </w:tc>
      </w:tr>
      <w:tr>
        <w:trPr/>
        <w:tc>
          <w:tcPr>
            <w:tcW w:w="56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left"/>
              <w:rPr/>
            </w:pPr>
            <w:r>
              <w:rPr/>
              <w:t>​</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56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and comprehensive loss for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499"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5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319,844</w:t>
            </w:r>
          </w:p>
        </w:tc>
        <w:tc>
          <w:tcPr>
            <w:tcW w:w="34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81,943</w:t>
            </w:r>
          </w:p>
        </w:tc>
      </w:tr>
      <w:tr>
        <w:trPr/>
        <w:tc>
          <w:tcPr>
            <w:tcW w:w="56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311" w:type="dxa"/>
            <w:tcBorders/>
            <w:vAlign w:val="center"/>
          </w:tcPr>
          <w:p>
            <w:pPr>
              <w:pStyle w:val="TableContents"/>
              <w:bidi w:val="0"/>
              <w:spacing w:before="0" w:after="0"/>
              <w:ind w:left="0" w:right="0" w:hanging="0"/>
              <w:jc w:val="left"/>
              <w:rPr/>
            </w:pPr>
            <w:r>
              <w:rPr/>
              <w:t>​</w:t>
            </w:r>
          </w:p>
        </w:tc>
      </w:tr>
      <w:tr>
        <w:trPr/>
        <w:tc>
          <w:tcPr>
            <w:tcW w:w="56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Loss per share </w:t>
            </w:r>
          </w:p>
        </w:tc>
        <w:tc>
          <w:tcPr>
            <w:tcW w:w="346" w:type="dxa"/>
            <w:tcBorders/>
            <w:shd w:fill="CCEEFF" w:val="clear"/>
            <w:vAlign w:val="center"/>
          </w:tcPr>
          <w:p>
            <w:pPr>
              <w:pStyle w:val="TableContents"/>
              <w:bidi w:val="0"/>
              <w:spacing w:before="0" w:after="0"/>
              <w:ind w:left="0" w:right="0" w:hanging="0"/>
              <w:jc w:val="left"/>
              <w:rPr/>
            </w:pPr>
            <w:r>
              <w:rPr/>
              <w:t> </w:t>
            </w:r>
          </w:p>
        </w:tc>
        <w:tc>
          <w:tcPr>
            <w:tcW w:w="49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left"/>
              <w:rPr/>
            </w:pPr>
            <w:r>
              <w:rPr/>
              <w:t>​</w:t>
            </w:r>
          </w:p>
        </w:tc>
      </w:tr>
      <w:tr>
        <w:trPr/>
        <w:tc>
          <w:tcPr>
            <w:tcW w:w="565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Basic and diluted</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0.83</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0.25</w:t>
            </w:r>
          </w:p>
        </w:tc>
      </w:tr>
      <w:tr>
        <w:trPr/>
        <w:tc>
          <w:tcPr>
            <w:tcW w:w="56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311" w:type="dxa"/>
            <w:tcBorders/>
            <w:shd w:fill="CCEEFF" w:val="clear"/>
            <w:vAlign w:val="center"/>
          </w:tcPr>
          <w:p>
            <w:pPr>
              <w:pStyle w:val="TableContents"/>
              <w:bidi w:val="0"/>
              <w:spacing w:before="0" w:after="0"/>
              <w:ind w:left="0" w:right="0" w:hanging="0"/>
              <w:jc w:val="right"/>
              <w:rPr/>
            </w:pPr>
            <w:r>
              <w:rPr/>
              <w:t>​</w:t>
            </w:r>
          </w:p>
        </w:tc>
      </w:tr>
      <w:tr>
        <w:trPr/>
        <w:tc>
          <w:tcPr>
            <w:tcW w:w="565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 – basic and diluted</w:t>
            </w:r>
          </w:p>
        </w:tc>
        <w:tc>
          <w:tcPr>
            <w:tcW w:w="346"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384,512,470</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321,875,050</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2" w:name="_4fa6941d_6b24_4405_8dd9_23c10d7e8365"/>
      <w:bookmarkEnd w:id="302"/>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303" w:name="ConsolidatedStatementsofChangesinEquity_"/>
      <w:bookmarkEnd w:id="303"/>
      <w:r>
        <w:rPr>
          <w:rFonts w:ascii="Times New Roman;Times;serif" w:hAnsi="Times New Roman;Times;serif"/>
          <w:b/>
          <w:sz w:val="20"/>
        </w:rPr>
        <w:t>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240"/>
        <w:ind w:left="0" w:right="0" w:firstLine="360"/>
        <w:jc w:val="left"/>
        <w:rPr/>
      </w:pPr>
      <w:r>
        <w:rPr/>
        <w:t>​</w:t>
      </w:r>
    </w:p>
    <w:p>
      <w:pPr>
        <w:pStyle w:val="Normal"/>
        <w:bidi w:val="0"/>
        <w:spacing w:before="0" w:after="0"/>
        <w:jc w:val="left"/>
        <w:rPr>
          <w:sz w:val="4"/>
          <w:szCs w:val="4"/>
        </w:rPr>
      </w:pPr>
      <w:r>
        <w:rPr>
          <w:sz w:val="4"/>
          <w:szCs w:val="4"/>
        </w:rPr>
      </w:r>
      <w:bookmarkStart w:id="304" w:name="Tc_oegSufDVMEij4C4VURlPeA_17_16"/>
      <w:bookmarkStart w:id="305" w:name="Tc_JOR4hcyvM0S5p5ofyfk6eQ_17_13"/>
      <w:bookmarkStart w:id="306" w:name="Tc_QSl4UbxX30OtE-qjoB7gfQ_17_10"/>
      <w:bookmarkStart w:id="307" w:name="Tc_PGsoQbmuHUiEJxvoAFmrSA_17_7"/>
      <w:bookmarkStart w:id="308" w:name="Tc_keSoiguU30GJ7NYK2e7nOg_17_4"/>
      <w:bookmarkStart w:id="309" w:name="Tc_IUntZ7q3TUyeJCExUt5-Lw_17_0"/>
      <w:bookmarkStart w:id="310" w:name="Tc_1XYli1rM70icOYyMhmyvjw_16_11"/>
      <w:bookmarkStart w:id="311" w:name="Tc_kmbVMU81Lk6yTg0gKTgVjQ_16_8"/>
      <w:bookmarkStart w:id="312" w:name="Tc_nLBHhkKDDkS3-tAm_zM5cQ_16_5"/>
      <w:bookmarkStart w:id="313" w:name="Tc_JyNVrrvcNEu3JslsZkv-YQ_16_2"/>
      <w:bookmarkStart w:id="314" w:name="Tc_bXFRbo9qF0ih9t5AFvkPFg_16_0"/>
      <w:bookmarkStart w:id="315" w:name="Tc_9dpNGuaHf0yZNZmDk2cm_w_15_14"/>
      <w:bookmarkStart w:id="316" w:name="Tc_kD6Eon0PvUWE6WdcmUEJkw_15_11"/>
      <w:bookmarkStart w:id="317" w:name="Tc_I2_F2Z-a7EujVKWIie9Ecw_15_5"/>
      <w:bookmarkStart w:id="318" w:name="Tc_QllWNJf8rk-Bz7B7DRoZbA_15_2"/>
      <w:bookmarkStart w:id="319" w:name="Tc_4YSGz5I6JEmbepJguxtevA_15_0"/>
      <w:bookmarkStart w:id="320" w:name="Tc_6betAlVCKEu2U66AKTsFVw_14_14"/>
      <w:bookmarkStart w:id="321" w:name="Tc_M8oFwTXqikWlIaikiEAbiw_14_11"/>
      <w:bookmarkStart w:id="322" w:name="Tc_qpKKR1wmC0uz3XEliN3dBA_14_5"/>
      <w:bookmarkStart w:id="323" w:name="Tc_PR_LxcMYfE2a_4x9daJyaw_14_2"/>
      <w:bookmarkStart w:id="324" w:name="Tc_SJ0ra1Ib1E2DVh6n4xqyMw_14_0"/>
      <w:bookmarkStart w:id="325" w:name="Tc_JC6BQqSyJEOYkvKsYefBNw_13_14"/>
      <w:bookmarkStart w:id="326" w:name="Tc_MGkkr63tSEadBmhBBXOrPw_13_11"/>
      <w:bookmarkStart w:id="327" w:name="Tc_Ze2ZYeOaBkqPsgkK40KOQA_13_0"/>
      <w:bookmarkStart w:id="328" w:name="Tc_kw8b5Vow5kaG7sBpEeIaTw_12_14"/>
      <w:bookmarkStart w:id="329" w:name="Tc_RXISjyWuzUu83inMfl0-xQ_12_11"/>
      <w:bookmarkStart w:id="330" w:name="Tc_mzu9bx6iKEeRxbGxCsnSlw_12_0"/>
      <w:bookmarkStart w:id="331" w:name="Tc_SLPs4Tyq1U-tAPiaAt2udg_11_17"/>
      <w:bookmarkStart w:id="332" w:name="Tc_NprsVH_3yUSQqGeg3yvrRw_11_14"/>
      <w:bookmarkStart w:id="333" w:name="Tc_TSe_XI-vAE2mFFDcSmG0SA_11_11"/>
      <w:bookmarkStart w:id="334" w:name="Tc_pU9RezRzR0WNrx1wuonBbg_11_0"/>
      <w:bookmarkStart w:id="335" w:name="Tc_DpSF5jHCnEisuyE6LKH_JA_10_14"/>
      <w:bookmarkStart w:id="336" w:name="Tc_GWhCkv-ssE2YciEF1us-bg_10_11"/>
      <w:bookmarkStart w:id="337" w:name="Tc_AIwn9jmTukytmYdKf861jw_10_0"/>
      <w:bookmarkStart w:id="338" w:name="Tc_LgUy82X4pUODprWpO0TMig_9_14"/>
      <w:bookmarkStart w:id="339" w:name="Tc_B9Wdh6OALESW-SFWthMWgg_9_11"/>
      <w:bookmarkStart w:id="340" w:name="Tc_26W7zyCnD0SfuPb4PLKoOw_9_0"/>
      <w:bookmarkStart w:id="341" w:name="Tc_QGNUeRY-wE-KG2G9GSA-7A_8_14"/>
      <w:bookmarkStart w:id="342" w:name="Tc_4iGFXNV5t0u_ZJQuSPpqLg_8_11"/>
      <w:bookmarkStart w:id="343" w:name="Tc_EMk3LCeRUkGvhBkDri6UfQ_8_0"/>
      <w:bookmarkStart w:id="344" w:name="Tc_CvU4N6I6g06BrzIpYn9mEQ_7_14"/>
      <w:bookmarkStart w:id="345" w:name="Tc_8hwYvwamFkSvA69FUHcRog_7_11"/>
      <w:bookmarkStart w:id="346" w:name="Tc_aZPVteTmr06oH2vM6A70Xg_7_8"/>
      <w:bookmarkStart w:id="347" w:name="Tc_ne5LqFyZ806oBwpQLEwiDA_7_0"/>
      <w:bookmarkStart w:id="348" w:name="Tc_mtQjaecJTEWqTb9v-dkeZA_6_14"/>
      <w:bookmarkStart w:id="349" w:name="Tc_oEcyW2QI_0qOcldZbjELsA_6_11"/>
      <w:bookmarkStart w:id="350" w:name="Tc_Aa-t51RnPUqMV1R_H37gMA_6_0"/>
      <w:bookmarkStart w:id="351" w:name="Tc_xjPHLmb4wEOmdCq4KZQ9ng_5_14"/>
      <w:bookmarkStart w:id="352" w:name="Tc_NEH9fvBeGk2PWMGD66Pvtw_5_11"/>
      <w:bookmarkStart w:id="353" w:name="Tc_cwcXcz5y_UGKPH_oc3iq3Q_5_0"/>
      <w:bookmarkStart w:id="354" w:name="Tc_yyIhUnFrWEKq4vIeuepoqA_4_14"/>
      <w:bookmarkStart w:id="355" w:name="Tc_SGbN90npcEaFkQGyTFme3Q_4_11"/>
      <w:bookmarkStart w:id="356" w:name="Tc_HFiIJYIUB0eBzLFuZzuMwQ_4_0"/>
      <w:bookmarkStart w:id="357" w:name="Tc_3EtIQNeiiUKQZHxewV0gPw_3_16"/>
      <w:bookmarkStart w:id="358" w:name="Tc_g8MkAOSeGUuLKMscTHJoZA_3_13"/>
      <w:bookmarkStart w:id="359" w:name="Tc_HA7ZZQjgeUGoP8AVQmjOqA_3_10"/>
      <w:bookmarkStart w:id="360" w:name="Tc_bXxAlFUAUkqSffzxwrpNog_3_7"/>
      <w:bookmarkStart w:id="361" w:name="Tc_va6K3AGkk0Sgm8Pg46ET9Q_3_4"/>
      <w:bookmarkStart w:id="362" w:name="Tc_IAYuWF0uQE6wBQjOT0bBGA_3_0"/>
      <w:bookmarkStart w:id="363" w:name="Tc_EOTQ00qBLUi54Etwu-MheA_2_16"/>
      <w:bookmarkStart w:id="364" w:name="Tc_TthEDw9wU0a3XOh0BFyU2w_2_13"/>
      <w:bookmarkStart w:id="365" w:name="Tc_MoAo0Sx8ZkWINQ5uIUJoPA_2_10"/>
      <w:bookmarkStart w:id="366" w:name="Tc_sOD3v_CYJEa3NCccjVxT4Q_2_7"/>
      <w:bookmarkStart w:id="367" w:name="Tc_Ver1A4IQUECzDIY4BygeRg_2_4"/>
      <w:bookmarkStart w:id="368" w:name="Tc_NiVatyiv5kaAOwaC6dIgFw_2_2"/>
      <w:bookmarkStart w:id="369" w:name="Tc_p823VxBxCkqH43vCf36Hkg_2_0"/>
      <w:bookmarkStart w:id="370" w:name="Tc_ta4YA4uLP0WYx2hVCustPA_1_10"/>
      <w:bookmarkStart w:id="371" w:name="Tc_q8FmBew21kmvlgD0TMPO6w_1_7"/>
      <w:bookmarkStart w:id="372" w:name="Tc_6sgcOgF7zkOUcmhtlTo-Ow_1_2"/>
      <w:bookmarkStart w:id="373" w:name="_1a6c72bb_c60a_4263_83a3_df447637b6be"/>
      <w:bookmarkStart w:id="374" w:name="Tc_oegSufDVMEij4C4VURlPeA_17_16"/>
      <w:bookmarkStart w:id="375" w:name="Tc_JOR4hcyvM0S5p5ofyfk6eQ_17_13"/>
      <w:bookmarkStart w:id="376" w:name="Tc_QSl4UbxX30OtE-qjoB7gfQ_17_10"/>
      <w:bookmarkStart w:id="377" w:name="Tc_PGsoQbmuHUiEJxvoAFmrSA_17_7"/>
      <w:bookmarkStart w:id="378" w:name="Tc_keSoiguU30GJ7NYK2e7nOg_17_4"/>
      <w:bookmarkStart w:id="379" w:name="Tc_IUntZ7q3TUyeJCExUt5-Lw_17_0"/>
      <w:bookmarkStart w:id="380" w:name="Tc_1XYli1rM70icOYyMhmyvjw_16_11"/>
      <w:bookmarkStart w:id="381" w:name="Tc_kmbVMU81Lk6yTg0gKTgVjQ_16_8"/>
      <w:bookmarkStart w:id="382" w:name="Tc_nLBHhkKDDkS3-tAm_zM5cQ_16_5"/>
      <w:bookmarkStart w:id="383" w:name="Tc_JyNVrrvcNEu3JslsZkv-YQ_16_2"/>
      <w:bookmarkStart w:id="384" w:name="Tc_bXFRbo9qF0ih9t5AFvkPFg_16_0"/>
      <w:bookmarkStart w:id="385" w:name="Tc_9dpNGuaHf0yZNZmDk2cm_w_15_14"/>
      <w:bookmarkStart w:id="386" w:name="Tc_kD6Eon0PvUWE6WdcmUEJkw_15_11"/>
      <w:bookmarkStart w:id="387" w:name="Tc_I2_F2Z-a7EujVKWIie9Ecw_15_5"/>
      <w:bookmarkStart w:id="388" w:name="Tc_QllWNJf8rk-Bz7B7DRoZbA_15_2"/>
      <w:bookmarkStart w:id="389" w:name="Tc_4YSGz5I6JEmbepJguxtevA_15_0"/>
      <w:bookmarkStart w:id="390" w:name="Tc_6betAlVCKEu2U66AKTsFVw_14_14"/>
      <w:bookmarkStart w:id="391" w:name="Tc_M8oFwTXqikWlIaikiEAbiw_14_11"/>
      <w:bookmarkStart w:id="392" w:name="Tc_qpKKR1wmC0uz3XEliN3dBA_14_5"/>
      <w:bookmarkStart w:id="393" w:name="Tc_PR_LxcMYfE2a_4x9daJyaw_14_2"/>
      <w:bookmarkStart w:id="394" w:name="Tc_SJ0ra1Ib1E2DVh6n4xqyMw_14_0"/>
      <w:bookmarkStart w:id="395" w:name="Tc_JC6BQqSyJEOYkvKsYefBNw_13_14"/>
      <w:bookmarkStart w:id="396" w:name="Tc_MGkkr63tSEadBmhBBXOrPw_13_11"/>
      <w:bookmarkStart w:id="397" w:name="Tc_Ze2ZYeOaBkqPsgkK40KOQA_13_0"/>
      <w:bookmarkStart w:id="398" w:name="Tc_kw8b5Vow5kaG7sBpEeIaTw_12_14"/>
      <w:bookmarkStart w:id="399" w:name="Tc_RXISjyWuzUu83inMfl0-xQ_12_11"/>
      <w:bookmarkStart w:id="400" w:name="Tc_mzu9bx6iKEeRxbGxCsnSlw_12_0"/>
      <w:bookmarkStart w:id="401" w:name="Tc_SLPs4Tyq1U-tAPiaAt2udg_11_17"/>
      <w:bookmarkStart w:id="402" w:name="Tc_NprsVH_3yUSQqGeg3yvrRw_11_14"/>
      <w:bookmarkStart w:id="403" w:name="Tc_TSe_XI-vAE2mFFDcSmG0SA_11_11"/>
      <w:bookmarkStart w:id="404" w:name="Tc_pU9RezRzR0WNrx1wuonBbg_11_0"/>
      <w:bookmarkStart w:id="405" w:name="Tc_DpSF5jHCnEisuyE6LKH_JA_10_14"/>
      <w:bookmarkStart w:id="406" w:name="Tc_GWhCkv-ssE2YciEF1us-bg_10_11"/>
      <w:bookmarkStart w:id="407" w:name="Tc_AIwn9jmTukytmYdKf861jw_10_0"/>
      <w:bookmarkStart w:id="408" w:name="Tc_LgUy82X4pUODprWpO0TMig_9_14"/>
      <w:bookmarkStart w:id="409" w:name="Tc_B9Wdh6OALESW-SFWthMWgg_9_11"/>
      <w:bookmarkStart w:id="410" w:name="Tc_26W7zyCnD0SfuPb4PLKoOw_9_0"/>
      <w:bookmarkStart w:id="411" w:name="Tc_QGNUeRY-wE-KG2G9GSA-7A_8_14"/>
      <w:bookmarkStart w:id="412" w:name="Tc_4iGFXNV5t0u_ZJQuSPpqLg_8_11"/>
      <w:bookmarkStart w:id="413" w:name="Tc_EMk3LCeRUkGvhBkDri6UfQ_8_0"/>
      <w:bookmarkStart w:id="414" w:name="Tc_CvU4N6I6g06BrzIpYn9mEQ_7_14"/>
      <w:bookmarkStart w:id="415" w:name="Tc_8hwYvwamFkSvA69FUHcRog_7_11"/>
      <w:bookmarkStart w:id="416" w:name="Tc_aZPVteTmr06oH2vM6A70Xg_7_8"/>
      <w:bookmarkStart w:id="417" w:name="Tc_ne5LqFyZ806oBwpQLEwiDA_7_0"/>
      <w:bookmarkStart w:id="418" w:name="Tc_mtQjaecJTEWqTb9v-dkeZA_6_14"/>
      <w:bookmarkStart w:id="419" w:name="Tc_oEcyW2QI_0qOcldZbjELsA_6_11"/>
      <w:bookmarkStart w:id="420" w:name="Tc_Aa-t51RnPUqMV1R_H37gMA_6_0"/>
      <w:bookmarkStart w:id="421" w:name="Tc_xjPHLmb4wEOmdCq4KZQ9ng_5_14"/>
      <w:bookmarkStart w:id="422" w:name="Tc_NEH9fvBeGk2PWMGD66Pvtw_5_11"/>
      <w:bookmarkStart w:id="423" w:name="Tc_cwcXcz5y_UGKPH_oc3iq3Q_5_0"/>
      <w:bookmarkStart w:id="424" w:name="Tc_yyIhUnFrWEKq4vIeuepoqA_4_14"/>
      <w:bookmarkStart w:id="425" w:name="Tc_SGbN90npcEaFkQGyTFme3Q_4_11"/>
      <w:bookmarkStart w:id="426" w:name="Tc_HFiIJYIUB0eBzLFuZzuMwQ_4_0"/>
      <w:bookmarkStart w:id="427" w:name="Tc_3EtIQNeiiUKQZHxewV0gPw_3_16"/>
      <w:bookmarkStart w:id="428" w:name="Tc_g8MkAOSeGUuLKMscTHJoZA_3_13"/>
      <w:bookmarkStart w:id="429" w:name="Tc_HA7ZZQjgeUGoP8AVQmjOqA_3_10"/>
      <w:bookmarkStart w:id="430" w:name="Tc_bXxAlFUAUkqSffzxwrpNog_3_7"/>
      <w:bookmarkStart w:id="431" w:name="Tc_va6K3AGkk0Sgm8Pg46ET9Q_3_4"/>
      <w:bookmarkStart w:id="432" w:name="Tc_IAYuWF0uQE6wBQjOT0bBGA_3_0"/>
      <w:bookmarkStart w:id="433" w:name="Tc_EOTQ00qBLUi54Etwu-MheA_2_16"/>
      <w:bookmarkStart w:id="434" w:name="Tc_TthEDw9wU0a3XOh0BFyU2w_2_13"/>
      <w:bookmarkStart w:id="435" w:name="Tc_MoAo0Sx8ZkWINQ5uIUJoPA_2_10"/>
      <w:bookmarkStart w:id="436" w:name="Tc_sOD3v_CYJEa3NCccjVxT4Q_2_7"/>
      <w:bookmarkStart w:id="437" w:name="Tc_Ver1A4IQUECzDIY4BygeRg_2_4"/>
      <w:bookmarkStart w:id="438" w:name="Tc_NiVatyiv5kaAOwaC6dIgFw_2_2"/>
      <w:bookmarkStart w:id="439" w:name="Tc_p823VxBxCkqH43vCf36Hkg_2_0"/>
      <w:bookmarkStart w:id="440" w:name="Tc_ta4YA4uLP0WYx2hVCustPA_1_10"/>
      <w:bookmarkStart w:id="441" w:name="Tc_q8FmBew21kmvlgD0TMPO6w_1_7"/>
      <w:bookmarkStart w:id="442" w:name="Tc_6sgcOgF7zkOUcmhtlTo-Ow_1_2"/>
      <w:bookmarkStart w:id="443" w:name="_1a6c72bb_c60a_4263_83a3_df447637b6be"/>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tbl>
      <w:tblPr>
        <w:tblW w:w="10216" w:type="dxa"/>
        <w:jc w:val="left"/>
        <w:tblInd w:w="0" w:type="dxa"/>
        <w:tblLayout w:type="fixed"/>
        <w:tblCellMar>
          <w:top w:w="0" w:type="dxa"/>
          <w:left w:w="0" w:type="dxa"/>
          <w:bottom w:w="0" w:type="dxa"/>
          <w:right w:w="0" w:type="dxa"/>
        </w:tblCellMar>
      </w:tblPr>
      <w:tblGrid>
        <w:gridCol w:w="1516"/>
        <w:gridCol w:w="346"/>
        <w:gridCol w:w="1006"/>
        <w:gridCol w:w="346"/>
        <w:gridCol w:w="196"/>
        <w:gridCol w:w="691"/>
        <w:gridCol w:w="346"/>
        <w:gridCol w:w="268"/>
        <w:gridCol w:w="948"/>
        <w:gridCol w:w="346"/>
        <w:gridCol w:w="402"/>
        <w:gridCol w:w="1174"/>
        <w:gridCol w:w="346"/>
        <w:gridCol w:w="196"/>
        <w:gridCol w:w="751"/>
        <w:gridCol w:w="346"/>
        <w:gridCol w:w="196"/>
        <w:gridCol w:w="79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962660" cy="175260"/>
                      <wp:effectExtent l="0" t="0" r="0" b="0"/>
                      <wp:wrapNone/>
                      <wp:docPr id="121" name="Frame99"/>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2"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38810" cy="175260"/>
                      <wp:effectExtent l="0" t="0" r="0" b="0"/>
                      <wp:wrapNone/>
                      <wp:docPr id="123" name="Frame10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4"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24460" cy="175260"/>
                      <wp:effectExtent l="0" t="0" r="0" b="0"/>
                      <wp:wrapNone/>
                      <wp:docPr id="125"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38785" cy="175260"/>
                      <wp:effectExtent l="0" t="0" r="0" b="0"/>
                      <wp:wrapNone/>
                      <wp:docPr id="126" name="Frame1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7"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0180" cy="175260"/>
                      <wp:effectExtent l="0" t="0" r="0" b="0"/>
                      <wp:wrapNone/>
                      <wp:docPr id="128" name="Frame10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01980" cy="175260"/>
                      <wp:effectExtent l="0" t="0" r="0" b="0"/>
                      <wp:wrapNone/>
                      <wp:docPr id="129" name="Frame107"/>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0"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55270" cy="175260"/>
                      <wp:effectExtent l="0" t="0" r="0" b="0"/>
                      <wp:wrapNone/>
                      <wp:docPr id="131" name="Frame10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45490" cy="175260"/>
                      <wp:effectExtent l="0" t="0" r="0" b="0"/>
                      <wp:wrapNone/>
                      <wp:docPr id="132" name="Frame110"/>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3"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4460" cy="175260"/>
                      <wp:effectExtent l="0" t="0" r="0" b="0"/>
                      <wp:wrapNone/>
                      <wp:docPr id="134" name="Frame1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76885" cy="175260"/>
                      <wp:effectExtent l="0" t="0" r="0" b="0"/>
                      <wp:wrapNone/>
                      <wp:docPr id="135" name="Frame11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6"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4460" cy="175260"/>
                      <wp:effectExtent l="0" t="0" r="0" b="0"/>
                      <wp:wrapNone/>
                      <wp:docPr id="137"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05460" cy="175260"/>
                      <wp:effectExtent l="0" t="0" r="0" b="0"/>
                      <wp:wrapNone/>
                      <wp:docPr id="138" name="Frame1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  ​ ​ ​</w:t>
            </w:r>
          </w:p>
        </w:tc>
        <w:tc>
          <w:tcPr>
            <w:tcW w:w="15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51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year ended December 31, 2025</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1"/>
              <w:ind w:left="0" w:right="0" w:hanging="0"/>
              <w:jc w:val="center"/>
              <w:rPr/>
            </w:pPr>
            <w:r>
              <w:rPr/>
              <w:t>  ​ ​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Comprehensive Loss</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340,708,460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477,217</w:t>
            </w:r>
          </w:p>
        </w:tc>
        <w:tc>
          <w:tcPr>
            <w:tcW w:w="346" w:type="dxa"/>
            <w:tcBorders/>
            <w:shd w:fill="CCEEFF" w:val="clear"/>
            <w:vAlign w:val="center"/>
          </w:tcPr>
          <w:p>
            <w:pPr>
              <w:pStyle w:val="TableContents"/>
              <w:bidi w:val="0"/>
              <w:spacing w:before="0" w:after="1"/>
              <w:ind w:left="0" w:right="0" w:hanging="0"/>
              <w:jc w:val="left"/>
              <w:rPr/>
            </w:pPr>
            <w:r>
              <w:rPr/>
              <w:t> </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138,303</w:t>
            </w:r>
          </w:p>
        </w:tc>
        <w:tc>
          <w:tcPr>
            <w:tcW w:w="346" w:type="dxa"/>
            <w:tcBorders/>
            <w:shd w:fill="CCEEFF" w:val="clear"/>
            <w:vAlign w:val="center"/>
          </w:tcPr>
          <w:p>
            <w:pPr>
              <w:pStyle w:val="TableContents"/>
              <w:bidi w:val="0"/>
              <w:spacing w:before="0" w:after="1"/>
              <w:ind w:left="0" w:right="0" w:hanging="0"/>
              <w:jc w:val="left"/>
              <w:rPr/>
            </w:pPr>
            <w:r>
              <w:rPr/>
              <w:t> </w:t>
            </w:r>
          </w:p>
        </w:tc>
        <w:tc>
          <w:tcPr>
            <w:tcW w:w="40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(631,435)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(17,118)</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and warrants to Korea Zinc (Notes 14, 16)</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19,623,376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71,686</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13,432</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85,118</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and warrants under 2025 Registered Direct Offering, net of expenses (Notes 14, 16)</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12,333,333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24,149</w:t>
            </w:r>
          </w:p>
        </w:tc>
        <w:tc>
          <w:tcPr>
            <w:tcW w:w="346" w:type="dxa"/>
            <w:tcBorders/>
            <w:shd w:fill="CCEEFF" w:val="clear"/>
            <w:vAlign w:val="center"/>
          </w:tcPr>
          <w:p>
            <w:pPr>
              <w:pStyle w:val="TableContents"/>
              <w:bidi w:val="0"/>
              <w:spacing w:before="0" w:after="1"/>
              <w:ind w:left="0" w:right="0" w:hanging="0"/>
              <w:jc w:val="left"/>
              <w:rPr/>
            </w:pPr>
            <w:r>
              <w:rPr/>
              <w:t> </w:t>
            </w:r>
          </w:p>
        </w:tc>
        <w:tc>
          <w:tcPr>
            <w:tcW w:w="268"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12,548</w:t>
            </w:r>
          </w:p>
        </w:tc>
        <w:tc>
          <w:tcPr>
            <w:tcW w:w="346" w:type="dxa"/>
            <w:tcBorders/>
            <w:shd w:fill="CCEEFF" w:val="clear"/>
            <w:vAlign w:val="center"/>
          </w:tcPr>
          <w:p>
            <w:pPr>
              <w:pStyle w:val="TableContents"/>
              <w:bidi w:val="0"/>
              <w:spacing w:before="0" w:after="1"/>
              <w:ind w:left="0" w:right="0" w:hanging="0"/>
              <w:jc w:val="left"/>
              <w:rPr/>
            </w:pPr>
            <w:r>
              <w:rPr/>
              <w:t> </w:t>
            </w:r>
          </w:p>
        </w:tc>
        <w:tc>
          <w:tcPr>
            <w:tcW w:w="402"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36,697</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and warrants under 2024 Registered Direct Offering, net of expenses (Notes 14, 16)</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2,237</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2,763</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from At-the-Market Equity Distribution Agreement (Note 15)</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7,542,996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14,784</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14,784</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Class A warrants (Note 16)</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1,913,270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5,539</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(1,712)</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3,827</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Class B warrants (Note 16)</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8,433,096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17,024</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(7,224)</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9,800</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Class C warrants (Note 16)</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12,838</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(2,353)</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10,485</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Conversion of restricted share units, net of shares withheld for taxes (Note 18) </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20,296,128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41,355</w:t>
            </w:r>
          </w:p>
        </w:tc>
        <w:tc>
          <w:tcPr>
            <w:tcW w:w="346" w:type="dxa"/>
            <w:tcBorders/>
            <w:shd w:fill="CCEEFF" w:val="clear"/>
            <w:vAlign w:val="center"/>
          </w:tcPr>
          <w:p>
            <w:pPr>
              <w:pStyle w:val="TableContents"/>
              <w:bidi w:val="0"/>
              <w:spacing w:before="0" w:after="1"/>
              <w:ind w:left="0" w:right="0" w:hanging="0"/>
              <w:jc w:val="left"/>
              <w:rPr/>
            </w:pPr>
            <w:r>
              <w:rPr/>
              <w:t> </w:t>
            </w:r>
          </w:p>
        </w:tc>
        <w:tc>
          <w:tcPr>
            <w:tcW w:w="268"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(41,355)</w:t>
            </w:r>
          </w:p>
        </w:tc>
        <w:tc>
          <w:tcPr>
            <w:tcW w:w="346" w:type="dxa"/>
            <w:tcBorders/>
            <w:shd w:fill="CCEEFF" w:val="clear"/>
            <w:vAlign w:val="center"/>
          </w:tcPr>
          <w:p>
            <w:pPr>
              <w:pStyle w:val="TableContents"/>
              <w:bidi w:val="0"/>
              <w:spacing w:before="0" w:after="1"/>
              <w:ind w:left="0" w:right="0" w:hanging="0"/>
              <w:jc w:val="left"/>
              <w:rPr/>
            </w:pPr>
            <w:r>
              <w:rPr/>
              <w:t> </w:t>
            </w:r>
          </w:p>
        </w:tc>
        <w:tc>
          <w:tcPr>
            <w:tcW w:w="402"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stock options (Note 18)</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4,746,546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14,423</w:t>
            </w:r>
          </w:p>
        </w:tc>
        <w:tc>
          <w:tcPr>
            <w:tcW w:w="346" w:type="dxa"/>
            <w:tcBorders/>
            <w:vAlign w:val="center"/>
          </w:tcPr>
          <w:p>
            <w:pPr>
              <w:pStyle w:val="TableContents"/>
              <w:bidi w:val="0"/>
              <w:spacing w:before="0" w:after="1"/>
              <w:ind w:left="0" w:right="0" w:hanging="0"/>
              <w:jc w:val="left"/>
              <w:rPr/>
            </w:pPr>
            <w:r>
              <w:rPr/>
              <w:t> </w:t>
            </w:r>
          </w:p>
        </w:tc>
        <w:tc>
          <w:tcPr>
            <w:tcW w:w="268"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(11,410)</w:t>
            </w:r>
          </w:p>
        </w:tc>
        <w:tc>
          <w:tcPr>
            <w:tcW w:w="346" w:type="dxa"/>
            <w:tcBorders/>
            <w:vAlign w:val="center"/>
          </w:tcPr>
          <w:p>
            <w:pPr>
              <w:pStyle w:val="TableContents"/>
              <w:bidi w:val="0"/>
              <w:spacing w:before="0" w:after="1"/>
              <w:ind w:left="0" w:right="0" w:hanging="0"/>
              <w:jc w:val="left"/>
              <w:rPr/>
            </w:pPr>
            <w:r>
              <w:rPr/>
              <w:t> </w:t>
            </w:r>
          </w:p>
        </w:tc>
        <w:tc>
          <w:tcPr>
            <w:tcW w:w="402"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3,013</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purchases under Employee Stock Purchase Plan (Note 18)</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Nauru and Tonga warrant cost (Note 16)</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38,056</w:t>
            </w:r>
          </w:p>
        </w:tc>
        <w:tc>
          <w:tcPr>
            <w:tcW w:w="34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38,056</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and expenses settled with equity (Notes 11, 12, 18)</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96,672</w:t>
            </w:r>
          </w:p>
        </w:tc>
        <w:tc>
          <w:tcPr>
            <w:tcW w:w="34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96,672</w:t>
            </w:r>
          </w:p>
        </w:tc>
      </w:tr>
      <w:tr>
        <w:trPr/>
        <w:tc>
          <w:tcPr>
            <w:tcW w:w="15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(319,844)</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(319,844)</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422,966,333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681,343</w:t>
            </w:r>
          </w:p>
        </w:tc>
        <w:tc>
          <w:tcPr>
            <w:tcW w:w="346" w:type="dxa"/>
            <w:tcBorders/>
            <w:shd w:fill="CCEEFF" w:val="clear"/>
            <w:vAlign w:val="center"/>
          </w:tcPr>
          <w:p>
            <w:pPr>
              <w:pStyle w:val="TableContents"/>
              <w:bidi w:val="0"/>
              <w:spacing w:before="0" w:after="1"/>
              <w:ind w:left="0" w:right="0" w:hanging="0"/>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237,696</w:t>
            </w:r>
          </w:p>
        </w:tc>
        <w:tc>
          <w:tcPr>
            <w:tcW w:w="346" w:type="dxa"/>
            <w:tcBorders/>
            <w:shd w:fill="CCEEFF" w:val="clear"/>
            <w:vAlign w:val="center"/>
          </w:tcPr>
          <w:p>
            <w:pPr>
              <w:pStyle w:val="TableContents"/>
              <w:bidi w:val="0"/>
              <w:spacing w:before="0" w:after="1"/>
              <w:ind w:left="0" w:right="0" w:hanging="0"/>
              <w:jc w:val="left"/>
              <w:rPr/>
            </w:pPr>
            <w:r>
              <w:rPr/>
              <w:t> </w:t>
            </w:r>
          </w:p>
        </w:tc>
        <w:tc>
          <w:tcPr>
            <w:tcW w:w="4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(951,279)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(33,443)</w:t>
            </w:r>
          </w:p>
        </w:tc>
      </w:tr>
    </w:tbl>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444" w:name="Tc_Ezr-e_ihP0OlafZ0-3bbEg_13_16"/>
      <w:bookmarkStart w:id="445" w:name="Tc_3JAsnd8ktkOWxsnsVXJ9vQ_13_13"/>
      <w:bookmarkStart w:id="446" w:name="Tc_vtOYDRZUeUWpjVQ07tyVhw_13_10"/>
      <w:bookmarkStart w:id="447" w:name="Tc_L4xmkH8ZHkym3qiaAjc25g_13_7"/>
      <w:bookmarkStart w:id="448" w:name="Tc_wNXKwS_LDUCEl0TL3a_szw_13_4"/>
      <w:bookmarkStart w:id="449" w:name="Tc_xhjOu9XXPEefsZw3PipN4w_13_0"/>
      <w:bookmarkStart w:id="450" w:name="Tc_wI0iJJXuTECyuI_Nc_8Wog_12_11"/>
      <w:bookmarkStart w:id="451" w:name="Tc_cg2mvpuuPU63miYQK8Bsgg_12_8"/>
      <w:bookmarkStart w:id="452" w:name="Tc_7cgGxFnqFUCXjtE61c_Sog_12_5"/>
      <w:bookmarkStart w:id="453" w:name="Tc_0H7dfUEHIEaDvKVGUKoOPA_12_2"/>
      <w:bookmarkStart w:id="454" w:name="Tc_MT8R3ROm90qcI5fu0s-Neg_12_0"/>
      <w:bookmarkStart w:id="455" w:name="Tc_xN86jFAY10GXWoRrtV8Amg_11_14"/>
      <w:bookmarkStart w:id="456" w:name="Tc_Wj_5QL95FUyO-6J7vQq3gg_11_8"/>
      <w:bookmarkStart w:id="457" w:name="Tc_rBpe_JOSwEumo7S3ZoMcgA_11_5"/>
      <w:bookmarkStart w:id="458" w:name="Tc_a43BZSLP2EKDXK5XQ6fXQQ_11_2"/>
      <w:bookmarkStart w:id="459" w:name="Tc_sHvVkbCHd0-I2MLkkUGpFg_11_0"/>
      <w:bookmarkStart w:id="460" w:name="Tc_6IEs-kVjoEec3q0EnzjgmQ_10_14"/>
      <w:bookmarkStart w:id="461" w:name="Tc_XP-wTHt6MUeJ5cy-m12z1g_10_11"/>
      <w:bookmarkStart w:id="462" w:name="Tc_yHOG8QLvjkKFrwknpjOnvQ_10_5"/>
      <w:bookmarkStart w:id="463" w:name="Tc_kZ-4MCTMOkuluI2dOgPfvA_10_2"/>
      <w:bookmarkStart w:id="464" w:name="Tc_FvmJiiGqxEKCowFEUxVfcw_10_0"/>
      <w:bookmarkStart w:id="465" w:name="Tc_IC4nNRhBgk-VgR-Szn0tFA_9_14"/>
      <w:bookmarkStart w:id="466" w:name="Tc_YimyarqD_ki58WRIBwqEWA_9_11"/>
      <w:bookmarkStart w:id="467" w:name="Tc_JzWNiFUpNEixYEaEXaUMYg_9_0"/>
      <w:bookmarkStart w:id="468" w:name="Tc_LjIdpTOPokOGR13K8m-gdA_8_14"/>
      <w:bookmarkStart w:id="469" w:name="Tc_mBELOlsrbUCSZ_gBttHP0w_8_11"/>
      <w:bookmarkStart w:id="470" w:name="Tc_pPJbEK8bzUOYB-3D9O777A_8_0"/>
      <w:bookmarkStart w:id="471" w:name="Tc_J5y9g7MPD0Kfg1HNeTfAsQ_7_14"/>
      <w:bookmarkStart w:id="472" w:name="Tc_IppWyhrBnU60YCzOlosbGw_7_11"/>
      <w:bookmarkStart w:id="473" w:name="Tc_8jY23Ls4jEi6IY58jermUg_7_8"/>
      <w:bookmarkStart w:id="474" w:name="Tc_-SSc_-2Um0S39aHOR7S15A_7_0"/>
      <w:bookmarkStart w:id="475" w:name="Tc_CL6zSxVNp0iAcJwDszJ45w_6_17"/>
      <w:bookmarkStart w:id="476" w:name="Tc_arQhhDrFGEOVe8PQN-kL6Q_6_14"/>
      <w:bookmarkStart w:id="477" w:name="Tc_D8sSTfcc2UKlLDadWNaBAQ_6_11"/>
      <w:bookmarkStart w:id="478" w:name="Tc_7mJ5-DcOK0Owh2vhWss8UQ_6_0"/>
      <w:bookmarkStart w:id="479" w:name="Tc_8BwDlakIi0iVHnzZNm-zGw_5_17"/>
      <w:bookmarkStart w:id="480" w:name="Tc_AVQIq7qC7kiDZnBeVcZwxg_5_11"/>
      <w:bookmarkStart w:id="481" w:name="Tc_im4fBil9EU21sPFYLTLvDw_5_5"/>
      <w:bookmarkStart w:id="482" w:name="Tc_O26MdQdyekG5LBdkKzZMtA_5_2"/>
      <w:bookmarkStart w:id="483" w:name="Tc_hrfqjRn2I0S7GJBIBRfgVg_5_0"/>
      <w:bookmarkStart w:id="484" w:name="Tc_7ClSvHYCrku-nF_xHVdqXQ_4_14"/>
      <w:bookmarkStart w:id="485" w:name="Tc_RO8vNmuwskqPC3ypV6oNLA_4_11"/>
      <w:bookmarkStart w:id="486" w:name="Tc_PDOcXnnj9UiEbPBy0A7hzw_4_0"/>
      <w:bookmarkStart w:id="487" w:name="Tc_9cT-W_l7yEmIjTsMHX6EZg_3_16"/>
      <w:bookmarkStart w:id="488" w:name="Tc_gEe8SaJvIkeE3oPc3nd_ug_3_13"/>
      <w:bookmarkStart w:id="489" w:name="Tc_4pWO5hkGbUuyCFtzj3yOzg_3_10"/>
      <w:bookmarkStart w:id="490" w:name="Tc_e_APcFJKHEyUoIlL_9dZXQ_3_7"/>
      <w:bookmarkStart w:id="491" w:name="Tc_uQ_icbGZFUme2wnS4zkpOw_3_4"/>
      <w:bookmarkStart w:id="492" w:name="Tc_VqKFnWhN-0Sp7mcKU4ytqg_3_0"/>
      <w:bookmarkStart w:id="493" w:name="Tc_WhR2CGszqEapgNUG7BTRuA_2_16"/>
      <w:bookmarkStart w:id="494" w:name="Tc_HbQV2K-IMkyY4bm0KRYqBg_2_13"/>
      <w:bookmarkStart w:id="495" w:name="Tc_rae4FhT1OUGgzREa6tjz3A_2_10"/>
      <w:bookmarkStart w:id="496" w:name="Tc_o5PeOxOVmkixB72BCjhETg_2_7"/>
      <w:bookmarkStart w:id="497" w:name="Tc_p8ItCSdwoU6mkchSBzSRAA_2_4"/>
      <w:bookmarkStart w:id="498" w:name="Tc_zuRH0fmyp0SZDWSngZL2Zw_2_2"/>
      <w:bookmarkStart w:id="499" w:name="Tc_2UMlpvx7B0y3TDKNQkkEIA_2_0"/>
      <w:bookmarkStart w:id="500" w:name="Tc_2BfUL6IERkuFOJU5Z7RqjQ_1_10"/>
      <w:bookmarkStart w:id="501" w:name="Tc_z8lDl3e50E2D0vkL6_u08A_1_7"/>
      <w:bookmarkStart w:id="502" w:name="Tc_h3J8AeDau0yufTcTG92uJA_1_2"/>
      <w:bookmarkStart w:id="503" w:name="_626e0a22_98d8_4746_8f2b_79ad938c9f26"/>
      <w:bookmarkStart w:id="504" w:name="Tc_Ezr-e_ihP0OlafZ0-3bbEg_13_16"/>
      <w:bookmarkStart w:id="505" w:name="Tc_3JAsnd8ktkOWxsnsVXJ9vQ_13_13"/>
      <w:bookmarkStart w:id="506" w:name="Tc_vtOYDRZUeUWpjVQ07tyVhw_13_10"/>
      <w:bookmarkStart w:id="507" w:name="Tc_L4xmkH8ZHkym3qiaAjc25g_13_7"/>
      <w:bookmarkStart w:id="508" w:name="Tc_wNXKwS_LDUCEl0TL3a_szw_13_4"/>
      <w:bookmarkStart w:id="509" w:name="Tc_xhjOu9XXPEefsZw3PipN4w_13_0"/>
      <w:bookmarkStart w:id="510" w:name="Tc_wI0iJJXuTECyuI_Nc_8Wog_12_11"/>
      <w:bookmarkStart w:id="511" w:name="Tc_cg2mvpuuPU63miYQK8Bsgg_12_8"/>
      <w:bookmarkStart w:id="512" w:name="Tc_7cgGxFnqFUCXjtE61c_Sog_12_5"/>
      <w:bookmarkStart w:id="513" w:name="Tc_0H7dfUEHIEaDvKVGUKoOPA_12_2"/>
      <w:bookmarkStart w:id="514" w:name="Tc_MT8R3ROm90qcI5fu0s-Neg_12_0"/>
      <w:bookmarkStart w:id="515" w:name="Tc_xN86jFAY10GXWoRrtV8Amg_11_14"/>
      <w:bookmarkStart w:id="516" w:name="Tc_Wj_5QL95FUyO-6J7vQq3gg_11_8"/>
      <w:bookmarkStart w:id="517" w:name="Tc_rBpe_JOSwEumo7S3ZoMcgA_11_5"/>
      <w:bookmarkStart w:id="518" w:name="Tc_a43BZSLP2EKDXK5XQ6fXQQ_11_2"/>
      <w:bookmarkStart w:id="519" w:name="Tc_sHvVkbCHd0-I2MLkkUGpFg_11_0"/>
      <w:bookmarkStart w:id="520" w:name="Tc_6IEs-kVjoEec3q0EnzjgmQ_10_14"/>
      <w:bookmarkStart w:id="521" w:name="Tc_XP-wTHt6MUeJ5cy-m12z1g_10_11"/>
      <w:bookmarkStart w:id="522" w:name="Tc_yHOG8QLvjkKFrwknpjOnvQ_10_5"/>
      <w:bookmarkStart w:id="523" w:name="Tc_kZ-4MCTMOkuluI2dOgPfvA_10_2"/>
      <w:bookmarkStart w:id="524" w:name="Tc_FvmJiiGqxEKCowFEUxVfcw_10_0"/>
      <w:bookmarkStart w:id="525" w:name="Tc_IC4nNRhBgk-VgR-Szn0tFA_9_14"/>
      <w:bookmarkStart w:id="526" w:name="Tc_YimyarqD_ki58WRIBwqEWA_9_11"/>
      <w:bookmarkStart w:id="527" w:name="Tc_JzWNiFUpNEixYEaEXaUMYg_9_0"/>
      <w:bookmarkStart w:id="528" w:name="Tc_LjIdpTOPokOGR13K8m-gdA_8_14"/>
      <w:bookmarkStart w:id="529" w:name="Tc_mBELOlsrbUCSZ_gBttHP0w_8_11"/>
      <w:bookmarkStart w:id="530" w:name="Tc_pPJbEK8bzUOYB-3D9O777A_8_0"/>
      <w:bookmarkStart w:id="531" w:name="Tc_J5y9g7MPD0Kfg1HNeTfAsQ_7_14"/>
      <w:bookmarkStart w:id="532" w:name="Tc_IppWyhrBnU60YCzOlosbGw_7_11"/>
      <w:bookmarkStart w:id="533" w:name="Tc_8jY23Ls4jEi6IY58jermUg_7_8"/>
      <w:bookmarkStart w:id="534" w:name="Tc_-SSc_-2Um0S39aHOR7S15A_7_0"/>
      <w:bookmarkStart w:id="535" w:name="Tc_CL6zSxVNp0iAcJwDszJ45w_6_17"/>
      <w:bookmarkStart w:id="536" w:name="Tc_arQhhDrFGEOVe8PQN-kL6Q_6_14"/>
      <w:bookmarkStart w:id="537" w:name="Tc_D8sSTfcc2UKlLDadWNaBAQ_6_11"/>
      <w:bookmarkStart w:id="538" w:name="Tc_7mJ5-DcOK0Owh2vhWss8UQ_6_0"/>
      <w:bookmarkStart w:id="539" w:name="Tc_8BwDlakIi0iVHnzZNm-zGw_5_17"/>
      <w:bookmarkStart w:id="540" w:name="Tc_AVQIq7qC7kiDZnBeVcZwxg_5_11"/>
      <w:bookmarkStart w:id="541" w:name="Tc_im4fBil9EU21sPFYLTLvDw_5_5"/>
      <w:bookmarkStart w:id="542" w:name="Tc_O26MdQdyekG5LBdkKzZMtA_5_2"/>
      <w:bookmarkStart w:id="543" w:name="Tc_hrfqjRn2I0S7GJBIBRfgVg_5_0"/>
      <w:bookmarkStart w:id="544" w:name="Tc_7ClSvHYCrku-nF_xHVdqXQ_4_14"/>
      <w:bookmarkStart w:id="545" w:name="Tc_RO8vNmuwskqPC3ypV6oNLA_4_11"/>
      <w:bookmarkStart w:id="546" w:name="Tc_PDOcXnnj9UiEbPBy0A7hzw_4_0"/>
      <w:bookmarkStart w:id="547" w:name="Tc_9cT-W_l7yEmIjTsMHX6EZg_3_16"/>
      <w:bookmarkStart w:id="548" w:name="Tc_gEe8SaJvIkeE3oPc3nd_ug_3_13"/>
      <w:bookmarkStart w:id="549" w:name="Tc_4pWO5hkGbUuyCFtzj3yOzg_3_10"/>
      <w:bookmarkStart w:id="550" w:name="Tc_e_APcFJKHEyUoIlL_9dZXQ_3_7"/>
      <w:bookmarkStart w:id="551" w:name="Tc_uQ_icbGZFUme2wnS4zkpOw_3_4"/>
      <w:bookmarkStart w:id="552" w:name="Tc_VqKFnWhN-0Sp7mcKU4ytqg_3_0"/>
      <w:bookmarkStart w:id="553" w:name="Tc_WhR2CGszqEapgNUG7BTRuA_2_16"/>
      <w:bookmarkStart w:id="554" w:name="Tc_HbQV2K-IMkyY4bm0KRYqBg_2_13"/>
      <w:bookmarkStart w:id="555" w:name="Tc_rae4FhT1OUGgzREa6tjz3A_2_10"/>
      <w:bookmarkStart w:id="556" w:name="Tc_o5PeOxOVmkixB72BCjhETg_2_7"/>
      <w:bookmarkStart w:id="557" w:name="Tc_p8ItCSdwoU6mkchSBzSRAA_2_4"/>
      <w:bookmarkStart w:id="558" w:name="Tc_zuRH0fmyp0SZDWSngZL2Zw_2_2"/>
      <w:bookmarkStart w:id="559" w:name="Tc_2UMlpvx7B0y3TDKNQkkEIA_2_0"/>
      <w:bookmarkStart w:id="560" w:name="Tc_2BfUL6IERkuFOJU5Z7RqjQ_1_10"/>
      <w:bookmarkStart w:id="561" w:name="Tc_z8lDl3e50E2D0vkL6_u08A_1_7"/>
      <w:bookmarkStart w:id="562" w:name="Tc_h3J8AeDau0yufTcTG92uJA_1_2"/>
      <w:bookmarkStart w:id="563" w:name="_626e0a22_98d8_4746_8f2b_79ad938c9f26"/>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tbl>
      <w:tblPr>
        <w:tblW w:w="10205" w:type="dxa"/>
        <w:jc w:val="left"/>
        <w:tblInd w:w="0" w:type="dxa"/>
        <w:tblLayout w:type="fixed"/>
        <w:tblCellMar>
          <w:top w:w="0" w:type="dxa"/>
          <w:left w:w="0" w:type="dxa"/>
          <w:bottom w:w="0" w:type="dxa"/>
          <w:right w:w="0" w:type="dxa"/>
        </w:tblCellMar>
      </w:tblPr>
      <w:tblGrid>
        <w:gridCol w:w="1592"/>
        <w:gridCol w:w="346"/>
        <w:gridCol w:w="1006"/>
        <w:gridCol w:w="346"/>
        <w:gridCol w:w="196"/>
        <w:gridCol w:w="691"/>
        <w:gridCol w:w="346"/>
        <w:gridCol w:w="268"/>
        <w:gridCol w:w="948"/>
        <w:gridCol w:w="346"/>
        <w:gridCol w:w="402"/>
        <w:gridCol w:w="1174"/>
        <w:gridCol w:w="346"/>
        <w:gridCol w:w="196"/>
        <w:gridCol w:w="752"/>
        <w:gridCol w:w="346"/>
        <w:gridCol w:w="196"/>
        <w:gridCol w:w="708"/>
      </w:tblGrid>
      <w:tr>
        <w:trPr/>
        <w:tc>
          <w:tcPr>
            <w:tcW w:w="1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010920" cy="175260"/>
                      <wp:effectExtent l="0" t="0" r="0" b="0"/>
                      <wp:wrapNone/>
                      <wp:docPr id="139" name="Frame117"/>
                      <a:graphic xmlns:a="http://schemas.openxmlformats.org/drawingml/2006/main">
                        <a:graphicData uri="http://schemas.microsoft.com/office/word/2010/wordprocessingShape">
                          <wps:wsp>
                            <wps:cNvSpPr txBox="1"/>
                            <wps:spPr>
                              <a:xfrm>
                                <a:off x="0" y="0"/>
                                <a:ext cx="1010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0"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38810" cy="175260"/>
                      <wp:effectExtent l="0" t="0" r="0" b="0"/>
                      <wp:wrapNone/>
                      <wp:docPr id="141" name="Frame11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2"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43" name="Frame1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38785" cy="175260"/>
                      <wp:effectExtent l="0" t="0" r="0" b="0"/>
                      <wp:wrapNone/>
                      <wp:docPr id="144" name="Frame1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5"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70180" cy="175260"/>
                      <wp:effectExtent l="0" t="0" r="0" b="0"/>
                      <wp:wrapNone/>
                      <wp:docPr id="146" name="Frame12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01980" cy="175260"/>
                      <wp:effectExtent l="0" t="0" r="0" b="0"/>
                      <wp:wrapNone/>
                      <wp:docPr id="147" name="Frame125"/>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48"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55270" cy="175260"/>
                      <wp:effectExtent l="0" t="0" r="0" b="0"/>
                      <wp:wrapNone/>
                      <wp:docPr id="149" name="Frame127"/>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45490" cy="175260"/>
                      <wp:effectExtent l="0" t="0" r="0" b="0"/>
                      <wp:wrapNone/>
                      <wp:docPr id="150" name="Frame128"/>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1"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52" name="Frame1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77520" cy="175260"/>
                      <wp:effectExtent l="0" t="0" r="0" b="0"/>
                      <wp:wrapNone/>
                      <wp:docPr id="153" name="Frame131"/>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4"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4460" cy="175260"/>
                      <wp:effectExtent l="0" t="0" r="0" b="0"/>
                      <wp:wrapNone/>
                      <wp:docPr id="155" name="Frame1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49580" cy="175260"/>
                      <wp:effectExtent l="0" t="0" r="0" b="0"/>
                      <wp:wrapNone/>
                      <wp:docPr id="156" name="Frame134"/>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  ​ ​ ​</w:t>
            </w:r>
          </w:p>
        </w:tc>
        <w:tc>
          <w:tcPr>
            <w:tcW w:w="157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right"/>
              <w:rPr/>
            </w:pPr>
            <w:r>
              <w:rPr/>
              <w:t>​</w:t>
            </w:r>
          </w:p>
        </w:tc>
        <w:tc>
          <w:tcPr>
            <w:tcW w:w="7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708" w:type="dxa"/>
            <w:tcBorders/>
            <w:vAlign w:val="center"/>
          </w:tcPr>
          <w:p>
            <w:pPr>
              <w:pStyle w:val="TableContents"/>
              <w:bidi w:val="0"/>
              <w:spacing w:before="0" w:after="0"/>
              <w:ind w:left="0" w:right="0" w:hanging="0"/>
              <w:jc w:val="center"/>
              <w:rPr/>
            </w:pPr>
            <w:r>
              <w:rPr/>
              <w:t>​</w:t>
            </w:r>
          </w:p>
        </w:tc>
      </w:tr>
      <w:tr>
        <w:trPr/>
        <w:tc>
          <w:tcPr>
            <w:tcW w:w="1592"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year ended December 31, 2024</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0"/>
              <w:ind w:left="0" w:right="0" w:hanging="0"/>
              <w:jc w:val="center"/>
              <w:rPr/>
            </w:pPr>
            <w:r>
              <w:rPr/>
              <w:t>  ​ ​ ​</w:t>
            </w:r>
          </w:p>
        </w:tc>
        <w:tc>
          <w:tcPr>
            <w:tcW w:w="157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 Loss</w:t>
            </w:r>
          </w:p>
        </w:tc>
        <w:tc>
          <w:tcPr>
            <w:tcW w:w="346" w:type="dxa"/>
            <w:tcBorders/>
            <w:vAlign w:val="center"/>
          </w:tcPr>
          <w:p>
            <w:pPr>
              <w:pStyle w:val="TableContents"/>
              <w:bidi w:val="0"/>
              <w:spacing w:before="0" w:after="0"/>
              <w:ind w:left="0" w:right="0" w:hanging="0"/>
              <w:jc w:val="center"/>
              <w:rPr/>
            </w:pPr>
            <w:r>
              <w:rPr/>
              <w:t>  ​ ​ ​</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5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306,558,710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438,239</w:t>
            </w:r>
          </w:p>
        </w:tc>
        <w:tc>
          <w:tcPr>
            <w:tcW w:w="346"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122,797</w:t>
            </w:r>
          </w:p>
        </w:tc>
        <w:tc>
          <w:tcPr>
            <w:tcW w:w="346" w:type="dxa"/>
            <w:tcBorders/>
            <w:shd w:fill="CCEEFF" w:val="clear"/>
            <w:vAlign w:val="center"/>
          </w:tcPr>
          <w:p>
            <w:pPr>
              <w:pStyle w:val="TableContents"/>
              <w:bidi w:val="0"/>
              <w:spacing w:before="0" w:after="0"/>
              <w:ind w:left="0" w:right="0" w:hanging="0"/>
              <w:jc w:val="left"/>
              <w:rPr/>
            </w:pPr>
            <w:r>
              <w:rPr/>
              <w:t> </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(548,902)</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10,918</w:t>
            </w:r>
          </w:p>
        </w:tc>
      </w:tr>
      <w:tr>
        <w:trPr/>
        <w:tc>
          <w:tcPr>
            <w:tcW w:w="159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Shares and warrants issued under 2024 Registered Direct Offering, net of expenses </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19,400,000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17,190</w:t>
            </w:r>
          </w:p>
        </w:tc>
        <w:tc>
          <w:tcPr>
            <w:tcW w:w="3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6,023</w:t>
            </w:r>
          </w:p>
        </w:tc>
        <w:tc>
          <w:tcPr>
            <w:tcW w:w="3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23,213</w:t>
            </w:r>
          </w:p>
        </w:tc>
      </w:tr>
      <w:tr>
        <w:trPr/>
        <w:tc>
          <w:tcPr>
            <w:tcW w:w="15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Adjustment to Class A warrant </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590</w:t>
            </w:r>
          </w:p>
        </w:tc>
        <w:tc>
          <w:tcPr>
            <w:tcW w:w="346"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r>
      <w:tr>
        <w:trPr/>
        <w:tc>
          <w:tcPr>
            <w:tcW w:w="159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10,734,581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14,954</w:t>
            </w:r>
          </w:p>
        </w:tc>
        <w:tc>
          <w:tcPr>
            <w:tcW w:w="3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(14,954)</w:t>
            </w:r>
          </w:p>
        </w:tc>
        <w:tc>
          <w:tcPr>
            <w:tcW w:w="3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r>
      <w:tr>
        <w:trPr/>
        <w:tc>
          <w:tcPr>
            <w:tcW w:w="15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Shares issued as per At-the-Market Equity Distribution Agreement </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3,251,588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4,866</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4,866</w:t>
            </w:r>
          </w:p>
        </w:tc>
      </w:tr>
      <w:tr>
        <w:trPr/>
        <w:tc>
          <w:tcPr>
            <w:tcW w:w="159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715,772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1,891</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w:t>
            </w:r>
          </w:p>
        </w:tc>
        <w:tc>
          <w:tcPr>
            <w:tcW w:w="346"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w:t>
            </w:r>
          </w:p>
        </w:tc>
      </w:tr>
      <w:tr>
        <w:trPr/>
        <w:tc>
          <w:tcPr>
            <w:tcW w:w="15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 purchases under Employee Stock Purchase Plan </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r>
      <w:tr>
        <w:trPr/>
        <w:tc>
          <w:tcPr>
            <w:tcW w:w="159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and expenses settled with equity</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25,313</w:t>
            </w:r>
          </w:p>
        </w:tc>
        <w:tc>
          <w:tcPr>
            <w:tcW w:w="346"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25,313</w:t>
            </w:r>
          </w:p>
        </w:tc>
      </w:tr>
      <w:tr>
        <w:trPr/>
        <w:tc>
          <w:tcPr>
            <w:tcW w:w="15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159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for the year</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(81,943)</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(81,943)</w:t>
            </w:r>
          </w:p>
        </w:tc>
      </w:tr>
      <w:tr>
        <w:trPr/>
        <w:tc>
          <w:tcPr>
            <w:tcW w:w="15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340,708,460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477,217</w:t>
            </w:r>
          </w:p>
        </w:tc>
        <w:tc>
          <w:tcPr>
            <w:tcW w:w="346" w:type="dxa"/>
            <w:tcBorders/>
            <w:shd w:fill="CCEEFF" w:val="clear"/>
            <w:vAlign w:val="center"/>
          </w:tcPr>
          <w:p>
            <w:pPr>
              <w:pStyle w:val="TableContents"/>
              <w:bidi w:val="0"/>
              <w:spacing w:before="0" w:after="0"/>
              <w:ind w:left="0" w:right="0" w:hanging="0"/>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138,303</w:t>
            </w:r>
          </w:p>
        </w:tc>
        <w:tc>
          <w:tcPr>
            <w:tcW w:w="346" w:type="dxa"/>
            <w:tcBorders/>
            <w:shd w:fill="CCEEFF" w:val="clear"/>
            <w:vAlign w:val="center"/>
          </w:tcPr>
          <w:p>
            <w:pPr>
              <w:pStyle w:val="TableContents"/>
              <w:bidi w:val="0"/>
              <w:spacing w:before="0" w:after="0"/>
              <w:ind w:left="0" w:right="0" w:hanging="0"/>
              <w:jc w:val="left"/>
              <w:rPr/>
            </w:pPr>
            <w:r>
              <w:rPr/>
              <w:t> </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(631,435)</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(17,118)</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64" w:name="_0c0c3711_c97a_40ad_b26c_0c5f867f2964"/>
      <w:bookmarkEnd w:id="564"/>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565" w:name="ConsolidatedStatementsofCashFlows_372717"/>
      <w:bookmarkEnd w:id="565"/>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566" w:name="Tc_A1oR0G_zakqTeUEaCE0VPw_52_7"/>
      <w:bookmarkStart w:id="567" w:name="Tc_Ml5kEQ-xFUGCteMA_uaSnQ_52_4"/>
      <w:bookmarkStart w:id="568" w:name="Tc_sQpAut8jRkyUya-aqH69RQ_52_0"/>
      <w:bookmarkStart w:id="569" w:name="Tc_5j_KH0qQRkaRH6vi5lrW-Q_51_0"/>
      <w:bookmarkStart w:id="570" w:name="Tc__2FZPI2sd0K5jG7UIjNJrw_50_0"/>
      <w:bookmarkStart w:id="571" w:name="Tc__Vkgbm5nIUCujYtqPrE0pA_49_7"/>
      <w:bookmarkStart w:id="572" w:name="Tc_SjNa6umdvE687Gf3RqZbdg_49_4"/>
      <w:bookmarkStart w:id="573" w:name="Tc_3kEgxc-lPkyYsvnjF7fTeg_49_0"/>
      <w:bookmarkStart w:id="574" w:name="Tc_Ee7AZmoeM0aWSz_LjnZ34Q_47_0"/>
      <w:bookmarkStart w:id="575" w:name="Tc_9rLJqFvzWEmeMcpZYlne3A_46_2"/>
      <w:bookmarkStart w:id="576" w:name="Tc_tJUHeCuTvUeBSotAGPJuZQ_46_0"/>
      <w:bookmarkStart w:id="577" w:name="Tc_alD-zMEsYkWIeyVGJXG81Q_45_2"/>
      <w:bookmarkStart w:id="578" w:name="Tc_8acFDCDfPk64nXRunoGbDA_45_0"/>
      <w:bookmarkStart w:id="579" w:name="Tc_iZ4OSd9QWkaLdRwMrOyNAg_44_8"/>
      <w:bookmarkStart w:id="580" w:name="Tc_zLJznrx8FkGQdgxHrKkX_Q_44_2"/>
      <w:bookmarkStart w:id="581" w:name="Tc_K53euDlgVkajXz-_K_rTNw_44_0"/>
      <w:bookmarkStart w:id="582" w:name="Tc_V4kIDqeRlEimVlv8WrJSUw_43_5"/>
      <w:bookmarkStart w:id="583" w:name="Tc_j18_ZELk90236MU3TiYGuA_43_0"/>
      <w:bookmarkStart w:id="584" w:name="Tc_1kdbCvGrvUmxhwVwZBEyfQ_42_5"/>
      <w:bookmarkStart w:id="585" w:name="Tc_yNx7_0NlTUqpNapDtEXeFQ_42_0"/>
      <w:bookmarkStart w:id="586" w:name="Tc_qR5DoPqXQU22DKPNaZVpsQ_41_5"/>
      <w:bookmarkStart w:id="587" w:name="Tc_LdtcLW3K8EqTqCKsIaS4SQ_41_0"/>
      <w:bookmarkStart w:id="588" w:name="Tc_XNUYemXCckSHFlAmQrSzWA_40_8"/>
      <w:bookmarkStart w:id="589" w:name="Tc_g3HuYUm75Emz3UsPlPVCtA_40_2"/>
      <w:bookmarkStart w:id="590" w:name="Tc_HA4N-D0ncEe-JFYigpI1Lg_40_0"/>
      <w:bookmarkStart w:id="591" w:name="Tc_dEqJzNVv0UuwZriu212lRA_39_5"/>
      <w:bookmarkStart w:id="592" w:name="Tc_91b06WHI6E2anIBg_cKpMA_39_0"/>
      <w:bookmarkStart w:id="593" w:name="Tc_QrhNNhuf6U6DdN0jJ3GA2A_38_8"/>
      <w:bookmarkStart w:id="594" w:name="Tc_ZEXty3RW_EmA-zcS4P1onA_38_2"/>
      <w:bookmarkStart w:id="595" w:name="Tc_Sn6qzwGVz0GKjzOITGdEJw_38_0"/>
      <w:bookmarkStart w:id="596" w:name="Tc_mG-AdAhgikioLGNRBaHt9w_37_8"/>
      <w:bookmarkStart w:id="597" w:name="Tc_3XI_zpXig0GLTlJgkSRhuQ_37_2"/>
      <w:bookmarkStart w:id="598" w:name="Tc_H0swVIvsEkG22c8USdL9wg_37_0"/>
      <w:bookmarkStart w:id="599" w:name="Tc_XwF2hRlTDkGdFHtj3WIRtw_36_8"/>
      <w:bookmarkStart w:id="600" w:name="Tc_imRihXByz0u2eZ2dPf_CVg_36_2"/>
      <w:bookmarkStart w:id="601" w:name="Tc_SqXfyi7yA0mjFiFPHY6-Ow_36_0"/>
      <w:bookmarkStart w:id="602" w:name="Tc_po0pJq9jhEeTMo03NqImMw_35_2"/>
      <w:bookmarkStart w:id="603" w:name="Tc_o1akxW-CekuyPZZvC_bYpQ_35_0"/>
      <w:bookmarkStart w:id="604" w:name="Tc_CZkDM0hEPkOGDeYBNP4uzw_34_2"/>
      <w:bookmarkStart w:id="605" w:name="Tc_do9OZZuGhkqSMcuFVreAnQ_34_0"/>
      <w:bookmarkStart w:id="606" w:name="Tc_roqQ_caIEk-2ABn3g-xJBA_33_2"/>
      <w:bookmarkStart w:id="607" w:name="Tc__l9C1NO_1U6-lyZofV4FZA_33_0"/>
      <w:bookmarkStart w:id="608" w:name="Tc_SDU2lXLXl0O2ODb3B5YYxQ_32_8"/>
      <w:bookmarkStart w:id="609" w:name="Tc_89ihK6vxBEafxAaS8QHdew_32_2"/>
      <w:bookmarkStart w:id="610" w:name="Tc_0BLhtUrC-keyrQmy5Nd99Q_32_0"/>
      <w:bookmarkStart w:id="611" w:name="Tc_2AAjR_y9_kayxCXV52rrYQ_31_0"/>
      <w:bookmarkStart w:id="612" w:name="Tc_dAQdJU3gS0C6-x9cbKGE7g_29_0"/>
      <w:bookmarkStart w:id="613" w:name="Tc_pDHtFb5kMU22oM0fUCuaUw_28_2"/>
      <w:bookmarkStart w:id="614" w:name="Tc_ZUcqnDbbS0W9-LGRe-d71w_28_0"/>
      <w:bookmarkStart w:id="615" w:name="Tc_ZC7CyGLPZ0iz1duVUpzZCw_27_8"/>
      <w:bookmarkStart w:id="616" w:name="Tc_GevPoSDvhki-WJNQcc_5XA_27_2"/>
      <w:bookmarkStart w:id="617" w:name="Tc_A8YOY2Y3rUi60ILAIEItuw_27_0"/>
      <w:bookmarkStart w:id="618" w:name="Tc_MEPP8EO1RkOHpvWPcDYgOQ_26_0"/>
      <w:bookmarkStart w:id="619" w:name="Tc_YqL42c3jfEyhh4oZIdtkoQ_24_0"/>
      <w:bookmarkStart w:id="620" w:name="Tc_xTBsxbyh10O51QhhW5qwQQ_23_0"/>
      <w:bookmarkStart w:id="621" w:name="Tc_hoLNDYYxcUKcXMIm5KV9FA_22_0"/>
      <w:bookmarkStart w:id="622" w:name="Tc_4T-OUAhDxkWoy4ILTx-TsQ_21_0"/>
      <w:bookmarkStart w:id="623" w:name="Tc_t9baeSOX0kuZZxjzf3nSKw_20_0"/>
      <w:bookmarkStart w:id="624" w:name="Tc_0tTHw9Duxk-qceUuRR1i8A_19_2"/>
      <w:bookmarkStart w:id="625" w:name="Tc_5lqsEQdH40WkCM4eCmK6qA_19_0"/>
      <w:bookmarkStart w:id="626" w:name="Tc_PANwvUMZSkOL0bmupcuxKQ_18_0"/>
      <w:bookmarkStart w:id="627" w:name="Tc_PW0QeXYnkk6Pcrp7Vs_2lQ_17_5"/>
      <w:bookmarkStart w:id="628" w:name="Tc_SV4v5iW79UuH1r5rT8KnTw_17_0"/>
      <w:bookmarkStart w:id="629" w:name="Tc_uZFKAqUvzkmD8kjgjkoD3w_16_2"/>
      <w:bookmarkStart w:id="630" w:name="Tc_FnBQD8_Sj0CuzDy2M1yoGg_16_0"/>
      <w:bookmarkStart w:id="631" w:name="Tc_8qGaL0v86kKcz7Z6UXb7SA_15_8"/>
      <w:bookmarkStart w:id="632" w:name="Tc_UIgZI1CRjkiWiZuRkHxDmQ_15_2"/>
      <w:bookmarkStart w:id="633" w:name="Tc_2xaDLKbZY0uDRvB7SZjk8w_15_0"/>
      <w:bookmarkStart w:id="634" w:name="Tc_tiMCWdLcnEOzVmada03-UQ_14_8"/>
      <w:bookmarkStart w:id="635" w:name="Tc_6aKx8Hu3WUW7Aem3Hetz5w_14_2"/>
      <w:bookmarkStart w:id="636" w:name="Tc_lA1gs7UXAk6gm3DqL0aAzQ_14_0"/>
      <w:bookmarkStart w:id="637" w:name="Tc_PsDXanmH00-fSAfynSvodA_13_2"/>
      <w:bookmarkStart w:id="638" w:name="Tc_EyIoLQ7MDU2mrj3_hcd39Q_13_0"/>
      <w:bookmarkStart w:id="639" w:name="Tc_ZtL9xb3h8E-WGbqboy0LTg_12_2"/>
      <w:bookmarkStart w:id="640" w:name="Tc_JA-oU-9w2EyTaFVB-n-yKQ_12_0"/>
      <w:bookmarkStart w:id="641" w:name="Tc_K9iO2czUv0G1ji2mzGJTzA_11_5"/>
      <w:bookmarkStart w:id="642" w:name="Tc_8dQSglyhM0qGxPdD7LI1iQ_11_2"/>
      <w:bookmarkStart w:id="643" w:name="Tc_gIsiS1CfTUWLlVWDm-6JIg_11_0"/>
      <w:bookmarkStart w:id="644" w:name="Tc_aNpl1iJmSUaSNZDZMf6UCA_10_2"/>
      <w:bookmarkStart w:id="645" w:name="Tc_AsqgMSHwjEeMd8KPpMtKGg_10_0"/>
      <w:bookmarkStart w:id="646" w:name="Tc_uWCXI7CFKU2mC8A0eVjbNg_9_2"/>
      <w:bookmarkStart w:id="647" w:name="Tc_jlAlOjbLK0ywR8rBKLLQfg_9_0"/>
      <w:bookmarkStart w:id="648" w:name="Tc_04Rl9M8qek-Jp7Ca6oYfbg_8_8"/>
      <w:bookmarkStart w:id="649" w:name="Tc_hUcwk9JuBEq3gD8wnKN__Q_8_2"/>
      <w:bookmarkStart w:id="650" w:name="Tc_2tvXIavJl0C71TDo0p6Zpg_8_0"/>
      <w:bookmarkStart w:id="651" w:name="Tc_zuN9UhVIAUuuX481Sayiew_7_0"/>
      <w:bookmarkStart w:id="652" w:name="Tc_xbXrd5lVM0m5eTbKUg_dJg_6_7"/>
      <w:bookmarkStart w:id="653" w:name="Tc_rr43CBKn5UeRbUsiHSFrPQ_6_4"/>
      <w:bookmarkStart w:id="654" w:name="Tc_4EjC7NR2jECeopEupHjUmQ_6_0"/>
      <w:bookmarkStart w:id="655" w:name="Tc_4oGoOZiWgEGiy42UhAsXMw_5_0"/>
      <w:bookmarkStart w:id="656" w:name="Tc_O1QiAGmWXEu6rHqBghYvFA_3_0"/>
      <w:bookmarkStart w:id="657" w:name="Tc_fCytcQF5Ok2pSTpPnI3a9Q_2_7"/>
      <w:bookmarkStart w:id="658" w:name="Tc_t70a7xGOPUWnv51mHmhBIg_2_4"/>
      <w:bookmarkStart w:id="659" w:name="Tc_woO-VF7A6U-hWTWNxGR1fQ_2_2"/>
      <w:bookmarkStart w:id="660" w:name="Tc_sIBMh8LNUEScakPPqxkNWg_1_4"/>
      <w:bookmarkStart w:id="661" w:name="_8f75779b_508a_45a6_bab6_f837f9f277a9"/>
      <w:bookmarkStart w:id="662" w:name="Tc_A1oR0G_zakqTeUEaCE0VPw_52_7"/>
      <w:bookmarkStart w:id="663" w:name="Tc_Ml5kEQ-xFUGCteMA_uaSnQ_52_4"/>
      <w:bookmarkStart w:id="664" w:name="Tc_sQpAut8jRkyUya-aqH69RQ_52_0"/>
      <w:bookmarkStart w:id="665" w:name="Tc_5j_KH0qQRkaRH6vi5lrW-Q_51_0"/>
      <w:bookmarkStart w:id="666" w:name="Tc__2FZPI2sd0K5jG7UIjNJrw_50_0"/>
      <w:bookmarkStart w:id="667" w:name="Tc__Vkgbm5nIUCujYtqPrE0pA_49_7"/>
      <w:bookmarkStart w:id="668" w:name="Tc_SjNa6umdvE687Gf3RqZbdg_49_4"/>
      <w:bookmarkStart w:id="669" w:name="Tc_3kEgxc-lPkyYsvnjF7fTeg_49_0"/>
      <w:bookmarkStart w:id="670" w:name="Tc_Ee7AZmoeM0aWSz_LjnZ34Q_47_0"/>
      <w:bookmarkStart w:id="671" w:name="Tc_9rLJqFvzWEmeMcpZYlne3A_46_2"/>
      <w:bookmarkStart w:id="672" w:name="Tc_tJUHeCuTvUeBSotAGPJuZQ_46_0"/>
      <w:bookmarkStart w:id="673" w:name="Tc_alD-zMEsYkWIeyVGJXG81Q_45_2"/>
      <w:bookmarkStart w:id="674" w:name="Tc_8acFDCDfPk64nXRunoGbDA_45_0"/>
      <w:bookmarkStart w:id="675" w:name="Tc_iZ4OSd9QWkaLdRwMrOyNAg_44_8"/>
      <w:bookmarkStart w:id="676" w:name="Tc_zLJznrx8FkGQdgxHrKkX_Q_44_2"/>
      <w:bookmarkStart w:id="677" w:name="Tc_K53euDlgVkajXz-_K_rTNw_44_0"/>
      <w:bookmarkStart w:id="678" w:name="Tc_V4kIDqeRlEimVlv8WrJSUw_43_5"/>
      <w:bookmarkStart w:id="679" w:name="Tc_j18_ZELk90236MU3TiYGuA_43_0"/>
      <w:bookmarkStart w:id="680" w:name="Tc_1kdbCvGrvUmxhwVwZBEyfQ_42_5"/>
      <w:bookmarkStart w:id="681" w:name="Tc_yNx7_0NlTUqpNapDtEXeFQ_42_0"/>
      <w:bookmarkStart w:id="682" w:name="Tc_qR5DoPqXQU22DKPNaZVpsQ_41_5"/>
      <w:bookmarkStart w:id="683" w:name="Tc_LdtcLW3K8EqTqCKsIaS4SQ_41_0"/>
      <w:bookmarkStart w:id="684" w:name="Tc_XNUYemXCckSHFlAmQrSzWA_40_8"/>
      <w:bookmarkStart w:id="685" w:name="Tc_g3HuYUm75Emz3UsPlPVCtA_40_2"/>
      <w:bookmarkStart w:id="686" w:name="Tc_HA4N-D0ncEe-JFYigpI1Lg_40_0"/>
      <w:bookmarkStart w:id="687" w:name="Tc_dEqJzNVv0UuwZriu212lRA_39_5"/>
      <w:bookmarkStart w:id="688" w:name="Tc_91b06WHI6E2anIBg_cKpMA_39_0"/>
      <w:bookmarkStart w:id="689" w:name="Tc_QrhNNhuf6U6DdN0jJ3GA2A_38_8"/>
      <w:bookmarkStart w:id="690" w:name="Tc_ZEXty3RW_EmA-zcS4P1onA_38_2"/>
      <w:bookmarkStart w:id="691" w:name="Tc_Sn6qzwGVz0GKjzOITGdEJw_38_0"/>
      <w:bookmarkStart w:id="692" w:name="Tc_mG-AdAhgikioLGNRBaHt9w_37_8"/>
      <w:bookmarkStart w:id="693" w:name="Tc_3XI_zpXig0GLTlJgkSRhuQ_37_2"/>
      <w:bookmarkStart w:id="694" w:name="Tc_H0swVIvsEkG22c8USdL9wg_37_0"/>
      <w:bookmarkStart w:id="695" w:name="Tc_XwF2hRlTDkGdFHtj3WIRtw_36_8"/>
      <w:bookmarkStart w:id="696" w:name="Tc_imRihXByz0u2eZ2dPf_CVg_36_2"/>
      <w:bookmarkStart w:id="697" w:name="Tc_SqXfyi7yA0mjFiFPHY6-Ow_36_0"/>
      <w:bookmarkStart w:id="698" w:name="Tc_po0pJq9jhEeTMo03NqImMw_35_2"/>
      <w:bookmarkStart w:id="699" w:name="Tc_o1akxW-CekuyPZZvC_bYpQ_35_0"/>
      <w:bookmarkStart w:id="700" w:name="Tc_CZkDM0hEPkOGDeYBNP4uzw_34_2"/>
      <w:bookmarkStart w:id="701" w:name="Tc_do9OZZuGhkqSMcuFVreAnQ_34_0"/>
      <w:bookmarkStart w:id="702" w:name="Tc_roqQ_caIEk-2ABn3g-xJBA_33_2"/>
      <w:bookmarkStart w:id="703" w:name="Tc__l9C1NO_1U6-lyZofV4FZA_33_0"/>
      <w:bookmarkStart w:id="704" w:name="Tc_SDU2lXLXl0O2ODb3B5YYxQ_32_8"/>
      <w:bookmarkStart w:id="705" w:name="Tc_89ihK6vxBEafxAaS8QHdew_32_2"/>
      <w:bookmarkStart w:id="706" w:name="Tc_0BLhtUrC-keyrQmy5Nd99Q_32_0"/>
      <w:bookmarkStart w:id="707" w:name="Tc_2AAjR_y9_kayxCXV52rrYQ_31_0"/>
      <w:bookmarkStart w:id="708" w:name="Tc_dAQdJU3gS0C6-x9cbKGE7g_29_0"/>
      <w:bookmarkStart w:id="709" w:name="Tc_pDHtFb5kMU22oM0fUCuaUw_28_2"/>
      <w:bookmarkStart w:id="710" w:name="Tc_ZUcqnDbbS0W9-LGRe-d71w_28_0"/>
      <w:bookmarkStart w:id="711" w:name="Tc_ZC7CyGLPZ0iz1duVUpzZCw_27_8"/>
      <w:bookmarkStart w:id="712" w:name="Tc_GevPoSDvhki-WJNQcc_5XA_27_2"/>
      <w:bookmarkStart w:id="713" w:name="Tc_A8YOY2Y3rUi60ILAIEItuw_27_0"/>
      <w:bookmarkStart w:id="714" w:name="Tc_MEPP8EO1RkOHpvWPcDYgOQ_26_0"/>
      <w:bookmarkStart w:id="715" w:name="Tc_YqL42c3jfEyhh4oZIdtkoQ_24_0"/>
      <w:bookmarkStart w:id="716" w:name="Tc_xTBsxbyh10O51QhhW5qwQQ_23_0"/>
      <w:bookmarkStart w:id="717" w:name="Tc_hoLNDYYxcUKcXMIm5KV9FA_22_0"/>
      <w:bookmarkStart w:id="718" w:name="Tc_4T-OUAhDxkWoy4ILTx-TsQ_21_0"/>
      <w:bookmarkStart w:id="719" w:name="Tc_t9baeSOX0kuZZxjzf3nSKw_20_0"/>
      <w:bookmarkStart w:id="720" w:name="Tc_0tTHw9Duxk-qceUuRR1i8A_19_2"/>
      <w:bookmarkStart w:id="721" w:name="Tc_5lqsEQdH40WkCM4eCmK6qA_19_0"/>
      <w:bookmarkStart w:id="722" w:name="Tc_PANwvUMZSkOL0bmupcuxKQ_18_0"/>
      <w:bookmarkStart w:id="723" w:name="Tc_PW0QeXYnkk6Pcrp7Vs_2lQ_17_5"/>
      <w:bookmarkStart w:id="724" w:name="Tc_SV4v5iW79UuH1r5rT8KnTw_17_0"/>
      <w:bookmarkStart w:id="725" w:name="Tc_uZFKAqUvzkmD8kjgjkoD3w_16_2"/>
      <w:bookmarkStart w:id="726" w:name="Tc_FnBQD8_Sj0CuzDy2M1yoGg_16_0"/>
      <w:bookmarkStart w:id="727" w:name="Tc_8qGaL0v86kKcz7Z6UXb7SA_15_8"/>
      <w:bookmarkStart w:id="728" w:name="Tc_UIgZI1CRjkiWiZuRkHxDmQ_15_2"/>
      <w:bookmarkStart w:id="729" w:name="Tc_2xaDLKbZY0uDRvB7SZjk8w_15_0"/>
      <w:bookmarkStart w:id="730" w:name="Tc_tiMCWdLcnEOzVmada03-UQ_14_8"/>
      <w:bookmarkStart w:id="731" w:name="Tc_6aKx8Hu3WUW7Aem3Hetz5w_14_2"/>
      <w:bookmarkStart w:id="732" w:name="Tc_lA1gs7UXAk6gm3DqL0aAzQ_14_0"/>
      <w:bookmarkStart w:id="733" w:name="Tc_PsDXanmH00-fSAfynSvodA_13_2"/>
      <w:bookmarkStart w:id="734" w:name="Tc_EyIoLQ7MDU2mrj3_hcd39Q_13_0"/>
      <w:bookmarkStart w:id="735" w:name="Tc_ZtL9xb3h8E-WGbqboy0LTg_12_2"/>
      <w:bookmarkStart w:id="736" w:name="Tc_JA-oU-9w2EyTaFVB-n-yKQ_12_0"/>
      <w:bookmarkStart w:id="737" w:name="Tc_K9iO2czUv0G1ji2mzGJTzA_11_5"/>
      <w:bookmarkStart w:id="738" w:name="Tc_8dQSglyhM0qGxPdD7LI1iQ_11_2"/>
      <w:bookmarkStart w:id="739" w:name="Tc_gIsiS1CfTUWLlVWDm-6JIg_11_0"/>
      <w:bookmarkStart w:id="740" w:name="Tc_aNpl1iJmSUaSNZDZMf6UCA_10_2"/>
      <w:bookmarkStart w:id="741" w:name="Tc_AsqgMSHwjEeMd8KPpMtKGg_10_0"/>
      <w:bookmarkStart w:id="742" w:name="Tc_uWCXI7CFKU2mC8A0eVjbNg_9_2"/>
      <w:bookmarkStart w:id="743" w:name="Tc_jlAlOjbLK0ywR8rBKLLQfg_9_0"/>
      <w:bookmarkStart w:id="744" w:name="Tc_04Rl9M8qek-Jp7Ca6oYfbg_8_8"/>
      <w:bookmarkStart w:id="745" w:name="Tc_hUcwk9JuBEq3gD8wnKN__Q_8_2"/>
      <w:bookmarkStart w:id="746" w:name="Tc_2tvXIavJl0C71TDo0p6Zpg_8_0"/>
      <w:bookmarkStart w:id="747" w:name="Tc_zuN9UhVIAUuuX481Sayiew_7_0"/>
      <w:bookmarkStart w:id="748" w:name="Tc_xbXrd5lVM0m5eTbKUg_dJg_6_7"/>
      <w:bookmarkStart w:id="749" w:name="Tc_rr43CBKn5UeRbUsiHSFrPQ_6_4"/>
      <w:bookmarkStart w:id="750" w:name="Tc_4EjC7NR2jECeopEupHjUmQ_6_0"/>
      <w:bookmarkStart w:id="751" w:name="Tc_4oGoOZiWgEGiy42UhAsXMw_5_0"/>
      <w:bookmarkStart w:id="752" w:name="Tc_O1QiAGmWXEu6rHqBghYvFA_3_0"/>
      <w:bookmarkStart w:id="753" w:name="Tc_fCytcQF5Ok2pSTpPnI3a9Q_2_7"/>
      <w:bookmarkStart w:id="754" w:name="Tc_t70a7xGOPUWnv51mHmhBIg_2_4"/>
      <w:bookmarkStart w:id="755" w:name="Tc_woO-VF7A6U-hWTWNxGR1fQ_2_2"/>
      <w:bookmarkStart w:id="756" w:name="Tc_sIBMh8LNUEScakPPqxkNWg_1_4"/>
      <w:bookmarkStart w:id="757" w:name="_8f75779b_508a_45a6_bab6_f837f9f277a9"/>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tbl>
      <w:tblPr>
        <w:tblW w:w="9243" w:type="dxa"/>
        <w:jc w:val="left"/>
        <w:tblInd w:w="0" w:type="dxa"/>
        <w:tblLayout w:type="fixed"/>
        <w:tblCellMar>
          <w:top w:w="0" w:type="dxa"/>
          <w:left w:w="0" w:type="dxa"/>
          <w:bottom w:w="0" w:type="dxa"/>
          <w:right w:w="0" w:type="dxa"/>
        </w:tblCellMar>
      </w:tblPr>
      <w:tblGrid>
        <w:gridCol w:w="5161"/>
        <w:gridCol w:w="346"/>
        <w:gridCol w:w="826"/>
        <w:gridCol w:w="346"/>
        <w:gridCol w:w="217"/>
        <w:gridCol w:w="898"/>
        <w:gridCol w:w="383"/>
        <w:gridCol w:w="217"/>
        <w:gridCol w:w="849"/>
      </w:tblGrid>
      <w:tr>
        <w:trPr/>
        <w:tc>
          <w:tcPr>
            <w:tcW w:w="5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277235" cy="175260"/>
                      <wp:effectExtent l="0" t="0" r="0" b="0"/>
                      <wp:wrapNone/>
                      <wp:docPr id="157" name="Frame135"/>
                      <a:graphic xmlns:a="http://schemas.openxmlformats.org/drawingml/2006/main">
                        <a:graphicData uri="http://schemas.microsoft.com/office/word/2010/wordprocessingShape">
                          <wps:wsp>
                            <wps:cNvSpPr txBox="1"/>
                            <wps:spPr>
                              <a:xfrm>
                                <a:off x="0" y="0"/>
                                <a:ext cx="3277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58"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24510" cy="175260"/>
                      <wp:effectExtent l="0" t="0" r="0" b="0"/>
                      <wp:wrapNone/>
                      <wp:docPr id="159" name="Frame13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0"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7795" cy="175260"/>
                      <wp:effectExtent l="0" t="0" r="0" b="0"/>
                      <wp:wrapNone/>
                      <wp:docPr id="161" name="Frame13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70230" cy="175260"/>
                      <wp:effectExtent l="0" t="0" r="0" b="0"/>
                      <wp:wrapNone/>
                      <wp:docPr id="162" name="Frame14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43205" cy="175260"/>
                      <wp:effectExtent l="0" t="0" r="0" b="0"/>
                      <wp:wrapNone/>
                      <wp:docPr id="163" name="Frame141"/>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7795" cy="175260"/>
                      <wp:effectExtent l="0" t="0" r="0" b="0"/>
                      <wp:wrapNone/>
                      <wp:docPr id="164" name="Frame14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39115" cy="175260"/>
                      <wp:effectExtent l="0" t="0" r="0" b="0"/>
                      <wp:wrapNone/>
                      <wp:docPr id="165" name="Frame143"/>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564" w:type="dxa"/>
            <w:gridSpan w:val="5"/>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For the year ended December 31,</w:t>
            </w:r>
          </w:p>
        </w:tc>
      </w:tr>
      <w:tr>
        <w:trPr/>
        <w:tc>
          <w:tcPr>
            <w:tcW w:w="51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1"/>
              <w:ind w:left="0" w:right="0" w:hanging="0"/>
              <w:jc w:val="right"/>
              <w:rPr/>
            </w:pPr>
            <w:r>
              <w:rPr/>
              <w:t>  ​ ​ ​</w:t>
            </w:r>
          </w:p>
        </w:tc>
        <w:tc>
          <w:tcPr>
            <w:tcW w:w="111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83" w:type="dxa"/>
            <w:tcBorders/>
            <w:vAlign w:val="center"/>
          </w:tcPr>
          <w:p>
            <w:pPr>
              <w:pStyle w:val="TableContents"/>
              <w:bidi w:val="0"/>
              <w:spacing w:before="0" w:after="1"/>
              <w:ind w:left="0" w:right="0" w:hanging="0"/>
              <w:jc w:val="righ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provided by (used in)</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  ​</w:t>
            </w:r>
          </w:p>
        </w:tc>
      </w:tr>
      <w:tr>
        <w:trPr/>
        <w:tc>
          <w:tcPr>
            <w:tcW w:w="5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  ​</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for the year</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(319,844)</w:t>
            </w:r>
          </w:p>
        </w:tc>
        <w:tc>
          <w:tcPr>
            <w:tcW w:w="383"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(81,943)</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Items not affecting cash:</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Nauru and Tonga warrant costs</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38,056</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expense</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1,907</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1,907</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interest on credit facilities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8, 21</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and expenses settled with equity</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11, 12, 18</w:t>
            </w:r>
          </w:p>
        </w:tc>
        <w:tc>
          <w:tcPr>
            <w:tcW w:w="34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96,672</w:t>
            </w:r>
          </w:p>
        </w:tc>
        <w:tc>
          <w:tcPr>
            <w:tcW w:w="383"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25,313</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Equity-accounted investment loss (gain)</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dilution of investment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(5,649)</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royalty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131,000</w:t>
            </w:r>
          </w:p>
        </w:tc>
        <w:tc>
          <w:tcPr>
            <w:tcW w:w="383"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warrants liability</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12,439</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(1,057)</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termination of contract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foreign exchange</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3,483</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(1,222)</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paid on amounts drawn from credit facilities and short-term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8, 21</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(823)</w:t>
            </w:r>
          </w:p>
        </w:tc>
        <w:tc>
          <w:tcPr>
            <w:tcW w:w="383"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Corporate income taxes paid during the year</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working capital:</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Receivables and prepayments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(1,198)</w:t>
            </w:r>
          </w:p>
        </w:tc>
        <w:tc>
          <w:tcPr>
            <w:tcW w:w="383"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and accrued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1,234</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12,311</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operating activities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(42,851)</w:t>
            </w:r>
          </w:p>
        </w:tc>
        <w:tc>
          <w:tcPr>
            <w:tcW w:w="383" w:type="dxa"/>
            <w:tcBorders/>
            <w:vAlign w:val="center"/>
          </w:tcPr>
          <w:p>
            <w:pPr>
              <w:pStyle w:val="TableContents"/>
              <w:bidi w:val="0"/>
              <w:spacing w:before="0" w:after="1"/>
              <w:ind w:left="0" w:right="0" w:hanging="0"/>
              <w:jc w:val="left"/>
              <w:rPr/>
            </w:pPr>
            <w:r>
              <w:rPr/>
              <w:t> </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(43,468)</w:t>
            </w:r>
          </w:p>
        </w:tc>
      </w:tr>
      <w:tr>
        <w:trPr/>
        <w:tc>
          <w:tcPr>
            <w:tcW w:w="51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left"/>
              <w:rPr/>
            </w:pPr>
            <w:r>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Investing activities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  ​</w:t>
            </w:r>
          </w:p>
        </w:tc>
        <w:tc>
          <w:tcPr>
            <w:tcW w:w="383"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  ​</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investee distribution</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w:t>
            </w:r>
          </w:p>
        </w:tc>
        <w:tc>
          <w:tcPr>
            <w:tcW w:w="383"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equipment and software</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7</w:t>
            </w:r>
          </w:p>
        </w:tc>
        <w:tc>
          <w:tcPr>
            <w:tcW w:w="346" w:type="dxa"/>
            <w:tcBorders/>
            <w:vAlign w:val="center"/>
          </w:tcPr>
          <w:p>
            <w:pPr>
              <w:pStyle w:val="TableContents"/>
              <w:bidi w:val="0"/>
              <w:spacing w:before="0" w:after="1"/>
              <w:ind w:left="0" w:right="0" w:hanging="0"/>
              <w:jc w:val="left"/>
              <w:rPr/>
            </w:pPr>
            <w:r>
              <w:rPr/>
              <w:t> </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w:t>
            </w:r>
          </w:p>
        </w:tc>
        <w:tc>
          <w:tcPr>
            <w:tcW w:w="383" w:type="dxa"/>
            <w:tcBorders/>
            <w:vAlign w:val="center"/>
          </w:tcPr>
          <w:p>
            <w:pPr>
              <w:pStyle w:val="TableContents"/>
              <w:bidi w:val="0"/>
              <w:spacing w:before="0" w:after="1"/>
              <w:ind w:left="0" w:right="0" w:hanging="0"/>
              <w:jc w:val="left"/>
              <w:rPr/>
            </w:pPr>
            <w:r>
              <w:rPr/>
              <w:t> </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447</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(515)</w:t>
            </w:r>
          </w:p>
        </w:tc>
      </w:tr>
      <w:tr>
        <w:trPr/>
        <w:tc>
          <w:tcPr>
            <w:tcW w:w="5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  ​</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Korea Zinc Private Placement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85,118</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Registered Direct Offerings</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42,000</w:t>
            </w:r>
          </w:p>
        </w:tc>
        <w:tc>
          <w:tcPr>
            <w:tcW w:w="383"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23,900</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Expenses paid for Registered Direct Offerings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4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(734)</w:t>
            </w:r>
          </w:p>
        </w:tc>
        <w:tc>
          <w:tcPr>
            <w:tcW w:w="383"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shares issued from At-the-Market Distribution Agreement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14,784</w:t>
            </w:r>
          </w:p>
        </w:tc>
        <w:tc>
          <w:tcPr>
            <w:tcW w:w="383"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4,866</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Class A warrants</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3,827</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Class B 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9,800</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Class C warrants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10,485</w:t>
            </w:r>
          </w:p>
        </w:tc>
        <w:tc>
          <w:tcPr>
            <w:tcW w:w="383"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drawdown of Credit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4,275</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of drawn amount on Credit Facilities</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21</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(4,275)</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Proceeds from drawdown of Allseas Short-Term Debt </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Repayment of Allseas Short-Term Debt </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drawdown of Allseas Working Capital Loan Agreement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of Allseas Working Capital Loan</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w:t>
            </w:r>
          </w:p>
        </w:tc>
        <w:tc>
          <w:tcPr>
            <w:tcW w:w="383"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c>
          <w:tcPr>
            <w:tcW w:w="383"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stock options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18</w:t>
            </w:r>
          </w:p>
        </w:tc>
        <w:tc>
          <w:tcPr>
            <w:tcW w:w="346" w:type="dxa"/>
            <w:tcBorders/>
            <w:vAlign w:val="center"/>
          </w:tcPr>
          <w:p>
            <w:pPr>
              <w:pStyle w:val="TableContents"/>
              <w:bidi w:val="0"/>
              <w:spacing w:before="0" w:after="1"/>
              <w:ind w:left="0" w:right="0" w:hanging="0"/>
              <w:jc w:val="left"/>
              <w:rPr/>
            </w:pPr>
            <w:r>
              <w:rPr/>
              <w:t> </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3,013</w:t>
            </w:r>
          </w:p>
        </w:tc>
        <w:tc>
          <w:tcPr>
            <w:tcW w:w="383" w:type="dxa"/>
            <w:tcBorders/>
            <w:vAlign w:val="center"/>
          </w:tcPr>
          <w:p>
            <w:pPr>
              <w:pStyle w:val="TableContents"/>
              <w:bidi w:val="0"/>
              <w:spacing w:before="0" w:after="1"/>
              <w:ind w:left="0" w:right="0" w:hanging="0"/>
              <w:jc w:val="left"/>
              <w:rPr/>
            </w:pPr>
            <w:r>
              <w:rPr/>
              <w:t> </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156,585</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40,686</w:t>
            </w:r>
          </w:p>
        </w:tc>
      </w:tr>
      <w:tr>
        <w:trPr/>
        <w:tc>
          <w:tcPr>
            <w:tcW w:w="5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c>
          <w:tcPr>
            <w:tcW w:w="383"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Increase/(Decrease) in cash </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114,181</w:t>
            </w:r>
          </w:p>
        </w:tc>
        <w:tc>
          <w:tcPr>
            <w:tcW w:w="383"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(3,297)</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Impact of exchange rate changes on cash </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(28)</w:t>
            </w:r>
          </w:p>
        </w:tc>
        <w:tc>
          <w:tcPr>
            <w:tcW w:w="383"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 beginning of year</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3,480</w:t>
            </w:r>
          </w:p>
        </w:tc>
        <w:tc>
          <w:tcPr>
            <w:tcW w:w="383"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6,842</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 end of year</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117,633</w:t>
            </w:r>
          </w:p>
        </w:tc>
        <w:tc>
          <w:tcPr>
            <w:tcW w:w="383"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49"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3,480</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58" w:name="NatureofOperations_351113"/>
      <w:bookmarkStart w:id="759" w:name="NatureofOperations_351113"/>
      <w:bookmarkEnd w:id="759"/>
    </w:p>
    <w:tbl>
      <w:tblPr>
        <w:tblW w:w="2207" w:type="dxa"/>
        <w:jc w:val="left"/>
        <w:tblInd w:w="0" w:type="dxa"/>
        <w:tblLayout w:type="fixed"/>
        <w:tblCellMar>
          <w:top w:w="0" w:type="dxa"/>
          <w:left w:w="0" w:type="dxa"/>
          <w:bottom w:w="0" w:type="dxa"/>
          <w:right w:w="0" w:type="dxa"/>
        </w:tblCellMar>
      </w:tblPr>
      <w:tblGrid>
        <w:gridCol w:w="271"/>
        <w:gridCol w:w="193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9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Operations</w:t>
            </w:r>
          </w:p>
        </w:tc>
      </w:tr>
    </w:tbl>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20"/>
        </w:rPr>
        <w:t>TMC the metals company Inc. (“TMC” or the “Company”) was incorporated as a Cayman Islands exempted company limited by shares on December 18, 2019. On September 9, 2021, the Company completed its business combination with DeepGreen Metals Inc. (“DeepGreen”), a Canadian - registered company founded in 2011, after which DeepGreen became a wholly - owned subsidiary and the combined company began operating as TMC the metals company Inc. and continued as a corporation under the laws of the province of British Columbia, Canada on September 9, 2021. The Company’s corporate office, registered address and records office is located at 1111 West Hastings Street, 15</w:t>
      </w:r>
      <w:r>
        <w:rPr>
          <w:rFonts w:ascii="Times New Roman;Times;serif" w:hAnsi="Times New Roman;Times;serif"/>
          <w:sz w:val="15"/>
        </w:rPr>
        <w:t>th</w:t>
      </w:r>
      <w:r>
        <w:rPr>
          <w:rFonts w:ascii="Times New Roman;Times;serif" w:hAnsi="Times New Roman;Times;serif"/>
          <w:sz w:val="20"/>
        </w:rPr>
        <w:t xml:space="preserve"> Floor, Vancouver, British Columbia, Canada, V6E 2J3. The Company’s common shares and warrants to purchase common shares are listed for trading on the Nasdaq Global Select Market (“Nasdaq”) under tickers “TMC” and “TMCWW”,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a deep seabed minerals developer focused on the collection, processing and refining of polymetallic nodules found on the seafloor in international waters of the Clarion Clipperton Zone in the Pacific Ocean (“CCZ”), with NORI Area D located approximately 1,500 miles (or 2,400 kilometers) southwest of San Diego, California. These nodules contain high grades of four metals (nickel, copper, cobalt, manganese) and rare earth elements (REE) which will initially be transformed into nickel, cobalt and copper-bearing intermediate and metal cathode products as well as a manganese silicate product of approximately 40% manganese comparable to medium-grade manganese ore. Once in production, the Company will explore expanding into other product formats including silicomanganese alloy, battery-grade sulfates and precursor Cathode Active Materials (pCAM), as well as extracting REEs contained in nodules.</w:t>
      </w:r>
    </w:p>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20"/>
        </w:rPr>
        <w:t>On April 28, 2025, the Company’s wholly owned subsidiary, The Metals Company USA, LLC (“TMC USA”), formally submitted applications for two exploration licenses and one commercial recovery permit to the National Oceanic and Atmospheric Administration (“NOAA”) pursuant to the Deep Seabed Hard Mineral Resources Act of 1980 (“DSHMRA”). The submitted exploration license applications are to secure exploration rights over two areas in the CCZ, namely TMC USA-A and TMC USA-B, covering a total area of 187,017 square kilometers. The submitted commercial recovery permit application is to secure commercial recovery rights for a subset of the TMC USA-A area covering over 25,160 square kilometers. The commercial recovery application is the first submission under DSHMRA for commercial recovery of polymetallic nodules. On January 22, 2026, TMC USA formally submitted a consolidated application to NOAA for an exploration license and a commercial recovery permit for polymetallic nodules in the CCZ. The application was filed under NOAA’s new consolidated application and review process. The consolidated application covers approximately 65,000 km</w:t>
      </w:r>
      <w:r>
        <w:rPr>
          <w:rFonts w:ascii="Times New Roman;Times;serif" w:hAnsi="Times New Roman;Times;serif"/>
          <w:sz w:val="15"/>
        </w:rPr>
        <w:t>2</w:t>
      </w:r>
      <w:r>
        <w:rPr>
          <w:rFonts w:ascii="Times New Roman;Times;serif" w:hAnsi="Times New Roman;Times;serif"/>
          <w:sz w:val="20"/>
        </w:rPr>
        <w:t xml:space="preserve"> exploration and commercial recovery area in the CCZ, compared to a commercial recovery area of 25,160 km</w:t>
      </w:r>
      <w:r>
        <w:rPr>
          <w:rFonts w:ascii="Times New Roman;Times;serif" w:hAnsi="Times New Roman;Times;serif"/>
          <w:sz w:val="15"/>
        </w:rPr>
        <w:t>2</w:t>
      </w:r>
      <w:r>
        <w:rPr>
          <w:rFonts w:ascii="Times New Roman;Times;serif" w:hAnsi="Times New Roman;Times;serif"/>
          <w:sz w:val="20"/>
        </w:rPr>
        <w:t xml:space="preserve"> in TMC USA’s initial commercial recovery permit application filed in April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Two of the Company’s wholly owned subsidiaries, Nauru Ocean Resources Inc. (“NORI”) and Tonga Offshore Mining Limited (TOML) continue to hold and comply with the terms of their exploration contracts granted by the International Seabed Authority (ISA).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realization of the Company’s assets and attainment of profitable operations is dependent upon many factors including, among other things: financing being arranged by the Company to continue the scaling of the nodule collection system for the recovery of polymetallic nodules from the seafloor and the processing technology for the treatment of polymetallic nodules at commercial scale, the continued establishment of mineable reserves, the commercial and technical feasibility of seafloor polymetallic nodule collection and processing, metal prices, and regulatory approvals and permitting for commercial operations. The outcome of these matters cannot presently be determined because they are contingent on future events and may not be fully under the Company’s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60" w:name="Tc_lTY6JTH2uUiavim3gabeDQ_16_4"/>
      <w:bookmarkStart w:id="761" w:name="Tc_5_lYpWXIqkq6zjF2tPZvYQ_16_2"/>
      <w:bookmarkStart w:id="762" w:name="Tc_bgV4Pu6h806OUGJOQ3KCSQ_16_0"/>
      <w:bookmarkStart w:id="763" w:name="Tc_5KMlA35boECwgG7OBoHnAA_15_4"/>
      <w:bookmarkStart w:id="764" w:name="Tc_vLkPp1oPLk2hEFjU0IT31g_15_2"/>
      <w:bookmarkStart w:id="765" w:name="Tc_kB83Cx-nT0idCw-HEOlG8Q_15_0"/>
      <w:bookmarkStart w:id="766" w:name="Tc_OEX53fcBvUmeSe52xxB0VQ_14_4"/>
      <w:bookmarkStart w:id="767" w:name="Tc_jphkhAmhDEabpSfKchw5zw_14_2"/>
      <w:bookmarkStart w:id="768" w:name="Tc_RTDUZHA4NUC75oOPSV108Q_14_0"/>
      <w:bookmarkStart w:id="769" w:name="Tc_wizM8-hNbk-iprBhdLtyuA_13_4"/>
      <w:bookmarkStart w:id="770" w:name="Tc_XKn6P65uA06KUq90fPukXg_13_2"/>
      <w:bookmarkStart w:id="771" w:name="Tc_yFmgMQkwEEy8nm00uDctVw_13_0"/>
      <w:bookmarkStart w:id="772" w:name="Tc_Fgu4jmER3k2WcE4wPYDBtQ_12_4"/>
      <w:bookmarkStart w:id="773" w:name="Tc_MVr0nE4EgkWggqm72v5n1g_12_2"/>
      <w:bookmarkStart w:id="774" w:name="Tc_SN-6cpq3s0WpvD3xIf6grw_12_0"/>
      <w:bookmarkStart w:id="775" w:name="Tc_cf9_Q0kXH0aWRmGto_MbbQ_11_4"/>
      <w:bookmarkStart w:id="776" w:name="Tc_a3ZTbhQzJEywbllkTCf0NQ_11_2"/>
      <w:bookmarkStart w:id="777" w:name="Tc_Prh3LbZcoUuRGp6lud3NWw_11_0"/>
      <w:bookmarkStart w:id="778" w:name="Tc_Ax8UTigrr0ebPQyfKQt9Ow_10_4"/>
      <w:bookmarkStart w:id="779" w:name="Tc_YE6DzO9ZCUy8NggqxEZoeA_10_2"/>
      <w:bookmarkStart w:id="780" w:name="Tc_VmdA7KPx5ECeHI6BERXi8g_10_0"/>
      <w:bookmarkStart w:id="781" w:name="Tc_IRT04I1IUUCPZMPFxOQd-A_9_4"/>
      <w:bookmarkStart w:id="782" w:name="Tc_FWtVlG_p4kqpGx4ISLK7aw_9_2"/>
      <w:bookmarkStart w:id="783" w:name="Tc_ngVEWQFLukyikFvBHUdcjQ_9_0"/>
      <w:bookmarkStart w:id="784" w:name="Tc_J_rPoWbWhkaesTHMjNYdmg_8_4"/>
      <w:bookmarkStart w:id="785" w:name="Tc_hzHmgRUMY029vUIdtQ3vfg_8_2"/>
      <w:bookmarkStart w:id="786" w:name="Tc_Mh-489yJsEGE4LhHy_yEqQ_8_0"/>
      <w:bookmarkStart w:id="787" w:name="Tc_DmgdoaFfCE2sQYc8D5j3Wg_7_4"/>
      <w:bookmarkStart w:id="788" w:name="Tc_c8NLK8HR8kOSh29DeKi5Cw_7_2"/>
      <w:bookmarkStart w:id="789" w:name="Tc_Ng2ObOAo-Ee1-t_uvuumFw_7_0"/>
      <w:bookmarkStart w:id="790" w:name="Tc_Xo-FwfsDikKCbGkwb_4QSg_6_4"/>
      <w:bookmarkStart w:id="791" w:name="Tc_hU7CDzKSxkO6sgKX5giSkQ_6_2"/>
      <w:bookmarkStart w:id="792" w:name="Tc_v0TjxZxBT0KIKmUJwTQrmg_6_0"/>
      <w:bookmarkStart w:id="793" w:name="Tc_DaWID4Ysik2DXB9FJRbgzg_5_4"/>
      <w:bookmarkStart w:id="794" w:name="Tc_Cc5EI7QKAkC3ptv0Ywtqsw_5_2"/>
      <w:bookmarkStart w:id="795" w:name="Tc_RCYsFrQEpUKA5_QokfJ0Og_5_0"/>
      <w:bookmarkStart w:id="796" w:name="Tc_R_rAvj00602LR4rC00ts3g_4_4"/>
      <w:bookmarkStart w:id="797" w:name="Tc_NuE3VqQ9uEe681iUuk3nDg_4_2"/>
      <w:bookmarkStart w:id="798" w:name="Tc_co36eH9WVUWfnnZJADSeJw_4_0"/>
      <w:bookmarkStart w:id="799" w:name="Tc_gkZmYKXj4EeC-O3T0AB3iA_3_6"/>
      <w:bookmarkStart w:id="800" w:name="Tc_NSyIFlaOiEK3NBoyZWmUNg_3_4"/>
      <w:bookmarkStart w:id="801" w:name="Tc_zwx22NOMsEGQdAN1uTAb0A_3_2"/>
      <w:bookmarkStart w:id="802" w:name="Tc_yoHtlQVYjUWQfvLmcA0iIA_3_0"/>
      <w:bookmarkStart w:id="803" w:name="Tc_G9TEVyPy1US0Dfjg9_5lDA_2_6"/>
      <w:bookmarkStart w:id="804" w:name="Tc_nwoPZpwtb0y5-5ADRY613A_1_6"/>
      <w:bookmarkStart w:id="805" w:name="_2dedfa33_9e33_47cf_80f4_7434e66a3a13"/>
      <w:bookmarkStart w:id="806" w:name="Tc_lTY6JTH2uUiavim3gabeDQ_16_4"/>
      <w:bookmarkStart w:id="807" w:name="Tc_5_lYpWXIqkq6zjF2tPZvYQ_16_2"/>
      <w:bookmarkStart w:id="808" w:name="Tc_bgV4Pu6h806OUGJOQ3KCSQ_16_0"/>
      <w:bookmarkStart w:id="809" w:name="Tc_5KMlA35boECwgG7OBoHnAA_15_4"/>
      <w:bookmarkStart w:id="810" w:name="Tc_vLkPp1oPLk2hEFjU0IT31g_15_2"/>
      <w:bookmarkStart w:id="811" w:name="Tc_kB83Cx-nT0idCw-HEOlG8Q_15_0"/>
      <w:bookmarkStart w:id="812" w:name="Tc_OEX53fcBvUmeSe52xxB0VQ_14_4"/>
      <w:bookmarkStart w:id="813" w:name="Tc_jphkhAmhDEabpSfKchw5zw_14_2"/>
      <w:bookmarkStart w:id="814" w:name="Tc_RTDUZHA4NUC75oOPSV108Q_14_0"/>
      <w:bookmarkStart w:id="815" w:name="Tc_wizM8-hNbk-iprBhdLtyuA_13_4"/>
      <w:bookmarkStart w:id="816" w:name="Tc_XKn6P65uA06KUq90fPukXg_13_2"/>
      <w:bookmarkStart w:id="817" w:name="Tc_yFmgMQkwEEy8nm00uDctVw_13_0"/>
      <w:bookmarkStart w:id="818" w:name="Tc_Fgu4jmER3k2WcE4wPYDBtQ_12_4"/>
      <w:bookmarkStart w:id="819" w:name="Tc_MVr0nE4EgkWggqm72v5n1g_12_2"/>
      <w:bookmarkStart w:id="820" w:name="Tc_SN-6cpq3s0WpvD3xIf6grw_12_0"/>
      <w:bookmarkStart w:id="821" w:name="Tc_cf9_Q0kXH0aWRmGto_MbbQ_11_4"/>
      <w:bookmarkStart w:id="822" w:name="Tc_a3ZTbhQzJEywbllkTCf0NQ_11_2"/>
      <w:bookmarkStart w:id="823" w:name="Tc_Prh3LbZcoUuRGp6lud3NWw_11_0"/>
      <w:bookmarkStart w:id="824" w:name="Tc_Ax8UTigrr0ebPQyfKQt9Ow_10_4"/>
      <w:bookmarkStart w:id="825" w:name="Tc_YE6DzO9ZCUy8NggqxEZoeA_10_2"/>
      <w:bookmarkStart w:id="826" w:name="Tc_VmdA7KPx5ECeHI6BERXi8g_10_0"/>
      <w:bookmarkStart w:id="827" w:name="Tc_IRT04I1IUUCPZMPFxOQd-A_9_4"/>
      <w:bookmarkStart w:id="828" w:name="Tc_FWtVlG_p4kqpGx4ISLK7aw_9_2"/>
      <w:bookmarkStart w:id="829" w:name="Tc_ngVEWQFLukyikFvBHUdcjQ_9_0"/>
      <w:bookmarkStart w:id="830" w:name="Tc_J_rPoWbWhkaesTHMjNYdmg_8_4"/>
      <w:bookmarkStart w:id="831" w:name="Tc_hzHmgRUMY029vUIdtQ3vfg_8_2"/>
      <w:bookmarkStart w:id="832" w:name="Tc_Mh-489yJsEGE4LhHy_yEqQ_8_0"/>
      <w:bookmarkStart w:id="833" w:name="Tc_DmgdoaFfCE2sQYc8D5j3Wg_7_4"/>
      <w:bookmarkStart w:id="834" w:name="Tc_c8NLK8HR8kOSh29DeKi5Cw_7_2"/>
      <w:bookmarkStart w:id="835" w:name="Tc_Ng2ObOAo-Ee1-t_uvuumFw_7_0"/>
      <w:bookmarkStart w:id="836" w:name="Tc_Xo-FwfsDikKCbGkwb_4QSg_6_4"/>
      <w:bookmarkStart w:id="837" w:name="Tc_hU7CDzKSxkO6sgKX5giSkQ_6_2"/>
      <w:bookmarkStart w:id="838" w:name="Tc_v0TjxZxBT0KIKmUJwTQrmg_6_0"/>
      <w:bookmarkStart w:id="839" w:name="Tc_DaWID4Ysik2DXB9FJRbgzg_5_4"/>
      <w:bookmarkStart w:id="840" w:name="Tc_Cc5EI7QKAkC3ptv0Ywtqsw_5_2"/>
      <w:bookmarkStart w:id="841" w:name="Tc_RCYsFrQEpUKA5_QokfJ0Og_5_0"/>
      <w:bookmarkStart w:id="842" w:name="Tc_R_rAvj00602LR4rC00ts3g_4_4"/>
      <w:bookmarkStart w:id="843" w:name="Tc_NuE3VqQ9uEe681iUuk3nDg_4_2"/>
      <w:bookmarkStart w:id="844" w:name="Tc_co36eH9WVUWfnnZJADSeJw_4_0"/>
      <w:bookmarkStart w:id="845" w:name="Tc_gkZmYKXj4EeC-O3T0AB3iA_3_6"/>
      <w:bookmarkStart w:id="846" w:name="Tc_NSyIFlaOiEK3NBoyZWmUNg_3_4"/>
      <w:bookmarkStart w:id="847" w:name="Tc_zwx22NOMsEGQdAN1uTAb0A_3_2"/>
      <w:bookmarkStart w:id="848" w:name="Tc_yoHtlQVYjUWQfvLmcA0iIA_3_0"/>
      <w:bookmarkStart w:id="849" w:name="Tc_G9TEVyPy1US0Dfjg9_5lDA_2_6"/>
      <w:bookmarkStart w:id="850" w:name="Tc_nwoPZpwtb0y5-5ADRY613A_1_6"/>
      <w:bookmarkStart w:id="851" w:name="_2dedfa33_9e33_47cf_80f4_7434e66a3a13"/>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p>
    <w:tbl>
      <w:tblPr>
        <w:tblW w:w="2192" w:type="dxa"/>
        <w:jc w:val="left"/>
        <w:tblInd w:w="0" w:type="dxa"/>
        <w:tblLayout w:type="fixed"/>
        <w:tblCellMar>
          <w:top w:w="0" w:type="dxa"/>
          <w:left w:w="0" w:type="dxa"/>
          <w:bottom w:w="0" w:type="dxa"/>
          <w:right w:w="0" w:type="dxa"/>
        </w:tblCellMar>
      </w:tblPr>
      <w:tblGrid>
        <w:gridCol w:w="271"/>
        <w:gridCol w:w="192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92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tc>
      </w:tr>
    </w:tbl>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Statement of Compliance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consolidated financial statements have been prepared in accordance with Generally Accepted Accounting Principles in the United States (“U.S. GAAP”) and include the accounts of TMC and its wholly-owned subsidiaries and equity accounted investments.</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Basis of Measurement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These consolidated financial statements have been prepared under the historical cost convention, except for warrants liability and royalty liability that have been measured at fair value and are presented in United States (“US”) dollars.</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Consolidation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consolidated financial statements include the financial statements of the Company and its subsidiaries. The principal subsidiaries of the Company, their activities, and their geographic locations as at December 31, 2025, were as follows:</w:t>
      </w:r>
    </w:p>
    <w:tbl>
      <w:tblPr>
        <w:tblW w:w="9637" w:type="dxa"/>
        <w:jc w:val="left"/>
        <w:tblInd w:w="0" w:type="dxa"/>
        <w:tblLayout w:type="fixed"/>
        <w:tblCellMar>
          <w:top w:w="0" w:type="dxa"/>
          <w:left w:w="0" w:type="dxa"/>
          <w:bottom w:w="0" w:type="dxa"/>
          <w:right w:w="0" w:type="dxa"/>
        </w:tblCellMar>
      </w:tblPr>
      <w:tblGrid>
        <w:gridCol w:w="3361"/>
        <w:gridCol w:w="346"/>
        <w:gridCol w:w="2041"/>
        <w:gridCol w:w="346"/>
        <w:gridCol w:w="1846"/>
        <w:gridCol w:w="346"/>
        <w:gridCol w:w="135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34235" cy="175260"/>
                      <wp:effectExtent l="0" t="0" r="0" b="0"/>
                      <wp:wrapNone/>
                      <wp:docPr id="166" name="Frame144"/>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67"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96035" cy="175260"/>
                      <wp:effectExtent l="0" t="0" r="0" b="0"/>
                      <wp:wrapNone/>
                      <wp:docPr id="168" name="Frame146"/>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69"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172210" cy="175260"/>
                      <wp:effectExtent l="0" t="0" r="0" b="0"/>
                      <wp:wrapNone/>
                      <wp:docPr id="170" name="Frame14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1"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57885" cy="175260"/>
                      <wp:effectExtent l="0" t="0" r="0" b="0"/>
                      <wp:wrapNone/>
                      <wp:docPr id="172" name="Frame150"/>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20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Proportion of</w:t>
            </w:r>
          </w:p>
        </w:tc>
      </w:tr>
      <w:tr>
        <w:trPr/>
        <w:tc>
          <w:tcPr>
            <w:tcW w:w="33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0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Held</w: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Subsidiary</w:t>
            </w:r>
          </w:p>
        </w:tc>
        <w:tc>
          <w:tcPr>
            <w:tcW w:w="346" w:type="dxa"/>
            <w:tcBorders/>
            <w:vAlign w:val="center"/>
          </w:tcPr>
          <w:p>
            <w:pPr>
              <w:pStyle w:val="TableContents"/>
              <w:bidi w:val="0"/>
              <w:spacing w:before="0" w:after="0"/>
              <w:ind w:left="0" w:right="0" w:hanging="0"/>
              <w:jc w:val="right"/>
              <w:rPr/>
            </w:pPr>
            <w:r>
              <w:rPr/>
              <w:t>​</w:t>
            </w:r>
          </w:p>
        </w:tc>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Activity</w:t>
            </w:r>
          </w:p>
        </w:tc>
        <w:tc>
          <w:tcPr>
            <w:tcW w:w="346" w:type="dxa"/>
            <w:tcBorders/>
            <w:vAlign w:val="center"/>
          </w:tcPr>
          <w:p>
            <w:pPr>
              <w:pStyle w:val="TableContents"/>
              <w:bidi w:val="0"/>
              <w:spacing w:before="0" w:after="0"/>
              <w:ind w:left="0" w:right="0" w:hanging="0"/>
              <w:jc w:val="righ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righ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by the Company</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DeepGreen Engineering Pte. Ltd.</w:t>
            </w:r>
          </w:p>
        </w:tc>
        <w:tc>
          <w:tcPr>
            <w:tcW w:w="3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Mineral exploration</w:t>
            </w:r>
          </w:p>
        </w:tc>
        <w:tc>
          <w:tcPr>
            <w:tcW w:w="346"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c>
          <w:tcPr>
            <w:tcW w:w="34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DeepGreen Metals ULC</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Mineral exploration</w:t>
            </w:r>
          </w:p>
        </w:tc>
        <w:tc>
          <w:tcPr>
            <w:tcW w:w="3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Metals Company USA, LLC</w:t>
            </w:r>
          </w:p>
        </w:tc>
        <w:tc>
          <w:tcPr>
            <w:tcW w:w="3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Development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USA</w:t>
            </w:r>
          </w:p>
        </w:tc>
        <w:tc>
          <w:tcPr>
            <w:tcW w:w="34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DeepGreen TOML Holding 1 Ltd.</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 Company</w:t>
            </w:r>
          </w:p>
        </w:tc>
        <w:tc>
          <w:tcPr>
            <w:tcW w:w="3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c>
          <w:tcPr>
            <w:tcW w:w="3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DeepGreen TOML Holding 2 Ltd.</w:t>
            </w:r>
          </w:p>
        </w:tc>
        <w:tc>
          <w:tcPr>
            <w:tcW w:w="3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c>
          <w:tcPr>
            <w:tcW w:w="34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DeepGreen TOML Singapore Ltd.</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Mineral exploration</w:t>
            </w:r>
          </w:p>
        </w:tc>
        <w:tc>
          <w:tcPr>
            <w:tcW w:w="3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c>
          <w:tcPr>
            <w:tcW w:w="3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Koloa Moana Resources Ltd.</w:t>
            </w:r>
          </w:p>
        </w:tc>
        <w:tc>
          <w:tcPr>
            <w:tcW w:w="3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Nauru Ocean Resources Inc.</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Mineral exploration</w:t>
            </w:r>
          </w:p>
        </w:tc>
        <w:tc>
          <w:tcPr>
            <w:tcW w:w="3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Republic of Nauru</w:t>
            </w:r>
          </w:p>
        </w:tc>
        <w:tc>
          <w:tcPr>
            <w:tcW w:w="3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Offshore Minerals Pty. Ltd.</w:t>
            </w:r>
          </w:p>
        </w:tc>
        <w:tc>
          <w:tcPr>
            <w:tcW w:w="3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Mineral exploration</w:t>
            </w:r>
          </w:p>
        </w:tc>
        <w:tc>
          <w:tcPr>
            <w:tcW w:w="346"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Australia</w:t>
            </w:r>
          </w:p>
        </w:tc>
        <w:tc>
          <w:tcPr>
            <w:tcW w:w="34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Metals Company Australia Pty Ltd</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 Company</w:t>
            </w:r>
          </w:p>
        </w:tc>
        <w:tc>
          <w:tcPr>
            <w:tcW w:w="3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Australia</w:t>
            </w:r>
          </w:p>
        </w:tc>
        <w:tc>
          <w:tcPr>
            <w:tcW w:w="3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TMC The Metals Company UK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Tonga Offshore Mining Limited</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Mineral exploration</w:t>
            </w:r>
          </w:p>
        </w:tc>
        <w:tc>
          <w:tcPr>
            <w:tcW w:w="3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Kingdom of Tonga</w:t>
            </w:r>
          </w:p>
        </w:tc>
        <w:tc>
          <w:tcPr>
            <w:tcW w:w="3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Seafloor Mineral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0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Mineral exploration</w:t>
            </w:r>
          </w:p>
        </w:tc>
        <w:tc>
          <w:tcPr>
            <w:tcW w:w="346"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c>
          <w:tcPr>
            <w:tcW w:w="346"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bl>
    <w:tbl>
      <w:tblPr>
        <w:tblW w:w="9711" w:type="dxa"/>
        <w:jc w:val="left"/>
        <w:tblInd w:w="0" w:type="dxa"/>
        <w:tblLayout w:type="fixed"/>
        <w:tblCellMar>
          <w:top w:w="28" w:type="dxa"/>
          <w:left w:w="28" w:type="dxa"/>
          <w:bottom w:w="28" w:type="dxa"/>
          <w:right w:w="28" w:type="dxa"/>
        </w:tblCellMar>
      </w:tblPr>
      <w:tblGrid>
        <w:gridCol w:w="124"/>
        <w:gridCol w:w="271"/>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DeepGreen Metals ULC was merged into TMC the metals company Inc. (its Canadian parent) on January 1, 2026.</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All intra-group balances have been eliminated on consolidation.</w:t>
      </w:r>
    </w:p>
    <w:tbl>
      <w:tblPr>
        <w:tblW w:w="3047" w:type="dxa"/>
        <w:jc w:val="left"/>
        <w:tblInd w:w="0" w:type="dxa"/>
        <w:tblLayout w:type="fixed"/>
        <w:tblCellMar>
          <w:top w:w="0" w:type="dxa"/>
          <w:left w:w="0" w:type="dxa"/>
          <w:bottom w:w="0" w:type="dxa"/>
          <w:right w:w="0" w:type="dxa"/>
        </w:tblCellMar>
      </w:tblPr>
      <w:tblGrid>
        <w:gridCol w:w="271"/>
        <w:gridCol w:w="2776"/>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3.</w:t>
            </w:r>
          </w:p>
        </w:tc>
        <w:tc>
          <w:tcPr>
            <w:tcW w:w="27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Significant Accounting Policies</w:t>
            </w:r>
          </w:p>
        </w:tc>
      </w:tr>
    </w:tbl>
    <w:tbl>
      <w:tblPr>
        <w:tblW w:w="2136" w:type="dxa"/>
        <w:jc w:val="left"/>
        <w:tblInd w:w="0" w:type="dxa"/>
        <w:tblLayout w:type="fixed"/>
        <w:tblCellMar>
          <w:top w:w="0" w:type="dxa"/>
          <w:left w:w="0" w:type="dxa"/>
          <w:bottom w:w="0" w:type="dxa"/>
          <w:right w:w="0" w:type="dxa"/>
        </w:tblCellMar>
      </w:tblPr>
      <w:tblGrid>
        <w:gridCol w:w="124"/>
        <w:gridCol w:w="211"/>
        <w:gridCol w:w="180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w:t>
            </w:r>
          </w:p>
        </w:tc>
        <w:tc>
          <w:tcPr>
            <w:tcW w:w="180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Foreign Currencies</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functional currency is the currency of the primary economic environment in which the entity operates. The functional currency of the Company and all its subsidiaries is the U.S. Dollar.</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Non-monetary items that are measured at historical cost in a foreign currency are not retranslated. All gains and losses on translation of these foreign currency transactions are included in the statements of loss and comprehensive loss.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tbl>
      <w:tblPr>
        <w:tblW w:w="1821" w:type="dxa"/>
        <w:jc w:val="left"/>
        <w:tblInd w:w="0" w:type="dxa"/>
        <w:tblLayout w:type="fixed"/>
        <w:tblCellMar>
          <w:top w:w="0" w:type="dxa"/>
          <w:left w:w="0" w:type="dxa"/>
          <w:bottom w:w="0" w:type="dxa"/>
          <w:right w:w="0" w:type="dxa"/>
        </w:tblCellMar>
      </w:tblPr>
      <w:tblGrid>
        <w:gridCol w:w="124"/>
        <w:gridCol w:w="271"/>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ii.</w:t>
            </w:r>
          </w:p>
        </w:tc>
        <w:tc>
          <w:tcPr>
            <w:tcW w:w="14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Loss Per Share</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tbl>
      <w:tblPr>
        <w:tblW w:w="2466" w:type="dxa"/>
        <w:jc w:val="left"/>
        <w:tblInd w:w="0" w:type="dxa"/>
        <w:tblLayout w:type="fixed"/>
        <w:tblCellMar>
          <w:top w:w="0" w:type="dxa"/>
          <w:left w:w="0" w:type="dxa"/>
          <w:bottom w:w="0" w:type="dxa"/>
          <w:right w:w="0" w:type="dxa"/>
        </w:tblCellMar>
      </w:tblPr>
      <w:tblGrid>
        <w:gridCol w:w="124"/>
        <w:gridCol w:w="331"/>
        <w:gridCol w:w="201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iii.</w:t>
            </w:r>
          </w:p>
        </w:tc>
        <w:tc>
          <w:tcPr>
            <w:tcW w:w="2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Financial Instruments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financial instruments consist of cash, receivables (Note 6), short-term debt, accounts payable, accrued liabilities (Note 13) which are initially recognized and subsequently measured at amortized cost, while royalty liability (Note 10), and warrants to acquire common shares of the Company (Note 16) are initially recognized and subsequently measured at fair value with changes in fair value recognized in the consolidated statements of loss and comprehensive loss in the period in which they arise.</w:t>
      </w:r>
    </w:p>
    <w:tbl>
      <w:tblPr>
        <w:tblW w:w="3621" w:type="dxa"/>
        <w:jc w:val="left"/>
        <w:tblInd w:w="0" w:type="dxa"/>
        <w:tblLayout w:type="fixed"/>
        <w:tblCellMar>
          <w:top w:w="0" w:type="dxa"/>
          <w:left w:w="0" w:type="dxa"/>
          <w:bottom w:w="0" w:type="dxa"/>
          <w:right w:w="0" w:type="dxa"/>
        </w:tblCellMar>
      </w:tblPr>
      <w:tblGrid>
        <w:gridCol w:w="124"/>
        <w:gridCol w:w="31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iv.</w:t>
            </w:r>
          </w:p>
        </w:tc>
        <w:tc>
          <w:tcPr>
            <w:tcW w:w="31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of Financial Instruments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1</w:t>
            </w:r>
            <w:r>
              <w:rPr>
                <w:caps w:val="false"/>
                <w:smallCaps w:val="false"/>
              </w:rPr>
              <w:t> </w:t>
            </w:r>
            <w:r>
              <w:rPr>
                <w:rFonts w:ascii="Times New Roman;Times;serif" w:hAnsi="Times New Roman;Times;serif"/>
                <w:b w:val="false"/>
                <w:i w:val="false"/>
                <w:caps w:val="false"/>
                <w:smallCaps w:val="false"/>
                <w:sz w:val="20"/>
              </w:rPr>
              <w:t>- Valuations based on quoted prices in active markets for identical assets or liabilities that an entity has the ability to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2</w:t>
            </w:r>
            <w:r>
              <w:rPr>
                <w:caps w:val="false"/>
                <w:smallCaps w:val="false"/>
              </w:rPr>
              <w:t> </w:t>
            </w:r>
            <w:r>
              <w:rPr>
                <w:rFonts w:ascii="Times New Roman;Times;serif" w:hAnsi="Times New Roman;Times;serif"/>
                <w:b w:val="false"/>
                <w:i w:val="false"/>
                <w:caps w:val="false"/>
                <w:smallCaps w:val="false"/>
                <w:sz w:val="20"/>
              </w:rPr>
              <w:t>-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3</w:t>
            </w:r>
            <w:r>
              <w:rPr>
                <w:caps w:val="false"/>
                <w:smallCaps w:val="false"/>
              </w:rPr>
              <w:t> </w:t>
            </w:r>
            <w:r>
              <w:rPr>
                <w:rFonts w:ascii="Times New Roman;Times;serif" w:hAnsi="Times New Roman;Times;serif"/>
                <w:b w:val="false"/>
                <w:i w:val="false"/>
                <w:caps w:val="false"/>
                <w:smallCaps w:val="false"/>
                <w:sz w:val="20"/>
              </w:rPr>
              <w:t>- Valuations based on inputs that are supported by little or no market activity and that are significant to the fair value of the assets or liabilities.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transfers between fair value measurement levels during the years ended December 31,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852" w:name="Tc_wZTljfWA0ky7jSvBunS0ow_2_3"/>
      <w:bookmarkStart w:id="853" w:name="Tc_CFpg7bcEpU27L2N07_s7aw_2_0"/>
      <w:bookmarkStart w:id="854" w:name="Tc_IC_8iiqyzEeN-nXzkDzBFw_1_3"/>
      <w:bookmarkStart w:id="855" w:name="Tc_uw36eAYIgUmukVa5P0VX7Q_1_0"/>
      <w:bookmarkEnd w:id="852"/>
      <w:bookmarkEnd w:id="853"/>
      <w:bookmarkEnd w:id="854"/>
      <w:bookmarkEnd w:id="855"/>
      <w:r>
        <w:rPr>
          <w:rFonts w:ascii="Times New Roman;Times;serif" w:hAnsi="Times New Roman;Times;serif"/>
          <w:sz w:val="20"/>
        </w:rPr>
        <w:t>As at December 31, 2025, and 2024, the carrying values of cash, receivables, short-term debt, accounts payable and accrued liabilities approximate their fair values due to the short-term nature of these instruments. The Company’s financial instruments measured at fair value at each reporting period (Note 20) consist of its royalty liability (Note 10) and warrants (Note 16).</w:t>
      </w:r>
    </w:p>
    <w:tbl>
      <w:tblPr>
        <w:tblW w:w="951" w:type="dxa"/>
        <w:jc w:val="left"/>
        <w:tblInd w:w="0" w:type="dxa"/>
        <w:tblLayout w:type="fixed"/>
        <w:tblCellMar>
          <w:top w:w="0" w:type="dxa"/>
          <w:left w:w="0" w:type="dxa"/>
          <w:bottom w:w="0" w:type="dxa"/>
          <w:right w:w="0" w:type="dxa"/>
        </w:tblCellMar>
      </w:tblPr>
      <w:tblGrid>
        <w:gridCol w:w="124"/>
        <w:gridCol w:w="256"/>
        <w:gridCol w:w="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w:t>
            </w:r>
          </w:p>
        </w:tc>
        <w:tc>
          <w:tcPr>
            <w:tcW w:w="5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Cash</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Cash includes cash on deposit with banking institutions and term deposits with a remaining term to maturity at acquisition of three months or less when purchased.</w:t>
      </w:r>
    </w:p>
    <w:tbl>
      <w:tblPr>
        <w:tblW w:w="2676" w:type="dxa"/>
        <w:jc w:val="left"/>
        <w:tblInd w:w="0" w:type="dxa"/>
        <w:tblLayout w:type="fixed"/>
        <w:tblCellMar>
          <w:top w:w="0" w:type="dxa"/>
          <w:left w:w="0" w:type="dxa"/>
          <w:bottom w:w="0" w:type="dxa"/>
          <w:right w:w="0" w:type="dxa"/>
        </w:tblCellMar>
      </w:tblPr>
      <w:tblGrid>
        <w:gridCol w:w="124"/>
        <w:gridCol w:w="31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vi.</w:t>
            </w:r>
          </w:p>
        </w:tc>
        <w:tc>
          <w:tcPr>
            <w:tcW w:w="223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Equipment and Software</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major categories of equipment are amortized on a declining balance basis as follows:</w:t>
      </w:r>
    </w:p>
    <w:p>
      <w:pPr>
        <w:pStyle w:val="TextBody"/>
        <w:bidi w:val="0"/>
        <w:spacing w:before="0" w:after="0"/>
        <w:ind w:left="0" w:right="0" w:hanging="0"/>
        <w:jc w:val="left"/>
        <w:rPr/>
      </w:pPr>
      <w:r>
        <w:rPr/>
        <w:t>​</w:t>
      </w:r>
    </w:p>
    <w:tbl>
      <w:tblPr>
        <w:tblW w:w="3799" w:type="dxa"/>
        <w:jc w:val="left"/>
        <w:tblInd w:w="0" w:type="dxa"/>
        <w:tblLayout w:type="fixed"/>
        <w:tblCellMar>
          <w:top w:w="0" w:type="dxa"/>
          <w:left w:w="0" w:type="dxa"/>
          <w:bottom w:w="0" w:type="dxa"/>
          <w:right w:w="0" w:type="dxa"/>
        </w:tblCellMar>
      </w:tblPr>
      <w:tblGrid>
        <w:gridCol w:w="2821"/>
        <w:gridCol w:w="346"/>
        <w:gridCol w:w="316"/>
        <w:gridCol w:w="31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91335" cy="175260"/>
                      <wp:effectExtent l="0" t="0" r="0" b="0"/>
                      <wp:wrapNone/>
                      <wp:docPr id="173" name="Frame151"/>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4"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0660" cy="175260"/>
                      <wp:effectExtent l="0" t="0" r="0" b="0"/>
                      <wp:wrapNone/>
                      <wp:docPr id="175" name="Frame15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0660" cy="175260"/>
                      <wp:effectExtent l="0" t="0" r="0" b="0"/>
                      <wp:wrapNone/>
                      <wp:docPr id="176" name="Frame1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and other equipment</w:t>
            </w:r>
          </w:p>
        </w:tc>
        <w:tc>
          <w:tcPr>
            <w:tcW w:w="346" w:type="dxa"/>
            <w:tcBorders/>
            <w:shd w:fill="CCEEFF" w:val="clear"/>
            <w:vAlign w:val="center"/>
          </w:tcPr>
          <w:p>
            <w:pPr>
              <w:pStyle w:val="TableContents"/>
              <w:bidi w:val="0"/>
              <w:spacing w:before="0" w:after="1"/>
              <w:ind w:left="0" w:right="0" w:hanging="0"/>
              <w:jc w:val="left"/>
              <w:rPr/>
            </w:pPr>
            <w:r>
              <w:rPr/>
              <w:t>  ​ ​ ​</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Office equipment</w:t>
            </w:r>
          </w:p>
        </w:tc>
        <w:tc>
          <w:tcPr>
            <w:tcW w:w="346" w:type="dxa"/>
            <w:tcBorders/>
            <w:vAlign w:val="center"/>
          </w:tcPr>
          <w:p>
            <w:pPr>
              <w:pStyle w:val="TableContents"/>
              <w:bidi w:val="0"/>
              <w:spacing w:before="0" w:after="1"/>
              <w:ind w:left="0" w:right="0" w:hanging="0"/>
              <w:jc w:val="left"/>
              <w:rPr/>
            </w:pPr>
            <w:r>
              <w:rPr/>
              <w:t> </w:t>
            </w:r>
          </w:p>
        </w:tc>
        <w:tc>
          <w:tcPr>
            <w:tcW w:w="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Gains and losses on disposals of equipment are determined by comparing the proceeds with the carrying amount of the asset and are included in the statement of loss and comprehensive loss.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Software is currently under development and is stated at cost. The software will be used to monitor nodule collection on the sea floor. The Company will amortize the cost of the software over its useful life after it is put in use, on commencement of nodule collection and treatment at a commercial scale.</w:t>
      </w:r>
    </w:p>
    <w:tbl>
      <w:tblPr>
        <w:tblW w:w="2241" w:type="dxa"/>
        <w:jc w:val="left"/>
        <w:tblInd w:w="0" w:type="dxa"/>
        <w:tblLayout w:type="fixed"/>
        <w:tblCellMar>
          <w:top w:w="0" w:type="dxa"/>
          <w:left w:w="0" w:type="dxa"/>
          <w:bottom w:w="0" w:type="dxa"/>
          <w:right w:w="0" w:type="dxa"/>
        </w:tblCellMar>
      </w:tblPr>
      <w:tblGrid>
        <w:gridCol w:w="124"/>
        <w:gridCol w:w="376"/>
        <w:gridCol w:w="1741"/>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vii.</w:t>
            </w:r>
          </w:p>
        </w:tc>
        <w:tc>
          <w:tcPr>
            <w:tcW w:w="174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Exploration Assets</w:t>
            </w:r>
          </w:p>
        </w:tc>
      </w:tr>
    </w:tbl>
    <w:p>
      <w:pPr>
        <w:pStyle w:val="TextBody"/>
        <w:bidi w:val="0"/>
        <w:spacing w:before="0" w:after="200"/>
        <w:ind w:left="360" w:right="0" w:firstLine="1"/>
        <w:jc w:val="both"/>
        <w:rPr>
          <w:rFonts w:ascii="Times New Roman;Times;serif" w:hAnsi="Times New Roman;Times;serif"/>
          <w:sz w:val="20"/>
        </w:rPr>
      </w:pPr>
      <w:r>
        <w:rPr>
          <w:rFonts w:ascii="Times New Roman;Times;serif" w:hAnsi="Times New Roman;Times;serif"/>
          <w:sz w:val="20"/>
        </w:rPr>
        <w:t>The Company is in the development stage with respect to its investment in exploration contracts and follows the practice of capitalizing costs related to the acquisition of such exploration contracts. The Company capitalizes costs incurred to renew or extend the term of exploration contracts upon filing for such extension. The cost of exploration assets will be charged to operations using a unit-of-production method based on proven and probable reserves once commercial production commences in the future. The Company evaluates impairment indicators on its exploration assets at each reporting period and adjusts its carrying value if an impairment is identified.</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viii.</w:t>
      </w:r>
      <w:r>
        <w:rPr>
          <w:rFonts w:ascii="Times New Roman;Times;serif" w:hAnsi="Times New Roman;Times;serif"/>
          <w:b/>
          <w:sz w:val="20"/>
        </w:rPr>
        <w:t>Exploration and Evaluation Expenses</w:t>
      </w:r>
    </w:p>
    <w:p>
      <w:pPr>
        <w:pStyle w:val="TextBody"/>
        <w:bidi w:val="0"/>
        <w:spacing w:before="0" w:after="200"/>
        <w:ind w:left="360" w:right="0" w:firstLine="1"/>
        <w:jc w:val="both"/>
        <w:rPr>
          <w:rFonts w:ascii="Times New Roman;Times;serif" w:hAnsi="Times New Roman;Times;serif"/>
          <w:sz w:val="20"/>
        </w:rPr>
      </w:pPr>
      <w:r>
        <w:rPr>
          <w:rFonts w:ascii="Times New Roman;Times;serif" w:hAnsi="Times New Roman;Times;serif"/>
          <w:sz w:val="20"/>
        </w:rPr>
        <w:t>While in the exploration and early development phases, the Company expenses all costs related to exploration and development of exploration contracts. Such exploration and development costs include, but are not limited to environmental studies, mining, technological and process development, prefeasibility studies, sponsorship, training and stakeholder engagement, and personnel costs, including shared-based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00"/>
        <w:ind w:left="360" w:right="0" w:firstLine="1"/>
        <w:jc w:val="both"/>
        <w:rPr>
          <w:rFonts w:ascii="Times New Roman;Times;serif" w:hAnsi="Times New Roman;Times;serif"/>
          <w:sz w:val="20"/>
        </w:rPr>
      </w:pPr>
      <w:r>
        <w:rPr>
          <w:rFonts w:ascii="Times New Roman;Times;serif" w:hAnsi="Times New Roman;Times;serif"/>
          <w:sz w:val="20"/>
        </w:rPr>
        <w:t>We align our operating expenses based on activity performed by our personnel which allocates some of these costs to Exploration and Evaluation expenses. This alignment is adjusted throughout the year to reflect changes in business activities.</w:t>
      </w:r>
    </w:p>
    <w:tbl>
      <w:tblPr>
        <w:tblW w:w="2916" w:type="dxa"/>
        <w:jc w:val="left"/>
        <w:tblInd w:w="0" w:type="dxa"/>
        <w:tblLayout w:type="fixed"/>
        <w:tblCellMar>
          <w:top w:w="0" w:type="dxa"/>
          <w:left w:w="0" w:type="dxa"/>
          <w:bottom w:w="0" w:type="dxa"/>
          <w:right w:w="0" w:type="dxa"/>
        </w:tblCellMar>
      </w:tblPr>
      <w:tblGrid>
        <w:gridCol w:w="124"/>
        <w:gridCol w:w="31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ix.</w:t>
            </w:r>
          </w:p>
        </w:tc>
        <w:tc>
          <w:tcPr>
            <w:tcW w:w="24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190"/>
        <w:ind w:left="360" w:right="0" w:hanging="0"/>
        <w:jc w:val="both"/>
        <w:rPr>
          <w:rFonts w:ascii="Times New Roman;Times;serif" w:hAnsi="Times New Roman;Times;serif"/>
          <w:sz w:val="20"/>
        </w:rPr>
      </w:pPr>
      <w:r>
        <w:rPr>
          <w:rFonts w:ascii="Times New Roman;Times;serif" w:hAnsi="Times New Roman;Times;serif"/>
          <w:sz w:val="20"/>
        </w:rPr>
        <w:t>For stock options and restricted share units issued with performance conditions (Note 18),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pStyle w:val="TextBody"/>
        <w:bidi w:val="0"/>
        <w:spacing w:before="0" w:after="190"/>
        <w:ind w:left="360" w:right="0" w:hanging="0"/>
        <w:jc w:val="both"/>
        <w:rPr>
          <w:rFonts w:ascii="Times New Roman;Times;serif" w:hAnsi="Times New Roman;Times;serif"/>
          <w:sz w:val="20"/>
        </w:rPr>
      </w:pPr>
      <w:r>
        <w:rPr>
          <w:rFonts w:ascii="Times New Roman;Times;serif" w:hAnsi="Times New Roman;Times;serif"/>
          <w:sz w:val="20"/>
        </w:rPr>
        <w:t>For stock options and restricted share units issued with market conditions (Note 18),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pStyle w:val="TextBody"/>
        <w:bidi w:val="0"/>
        <w:spacing w:before="0" w:after="190"/>
        <w:ind w:left="360" w:right="0" w:hanging="0"/>
        <w:jc w:val="both"/>
        <w:rPr>
          <w:rFonts w:ascii="Times New Roman;Times;serif" w:hAnsi="Times New Roman;Times;serif"/>
          <w:sz w:val="20"/>
        </w:rPr>
      </w:pPr>
      <w:r>
        <w:rPr>
          <w:rFonts w:ascii="Times New Roman;Times;serif" w:hAnsi="Times New Roman;Times;serif"/>
          <w:sz w:val="20"/>
        </w:rPr>
        <w:t>The Company at times grants common shares, stock options or RSUs in lieu of cash to certain vendors for their services to the Company. The Company recognizes the associated cost in the same period and manner as if the Company paid cash for the services provided.</w:t>
      </w:r>
    </w:p>
    <w:tbl>
      <w:tblPr>
        <w:tblW w:w="2151" w:type="dxa"/>
        <w:jc w:val="left"/>
        <w:tblInd w:w="0" w:type="dxa"/>
        <w:tblLayout w:type="fixed"/>
        <w:tblCellMar>
          <w:top w:w="0" w:type="dxa"/>
          <w:left w:w="0" w:type="dxa"/>
          <w:bottom w:w="0" w:type="dxa"/>
          <w:right w:w="0"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190"/>
              <w:jc w:val="left"/>
              <w:rPr>
                <w:rFonts w:ascii="Times New Roman;Times;serif" w:hAnsi="Times New Roman;Times;serif"/>
                <w:b/>
                <w:sz w:val="20"/>
              </w:rPr>
            </w:pPr>
            <w:r>
              <w:rPr>
                <w:rFonts w:ascii="Times New Roman;Times;serif" w:hAnsi="Times New Roman;Times;serif"/>
                <w:b/>
                <w:sz w:val="20"/>
              </w:rPr>
              <w:t>x.</w:t>
            </w:r>
          </w:p>
        </w:tc>
        <w:tc>
          <w:tcPr>
            <w:tcW w:w="1771" w:type="dxa"/>
            <w:tcBorders/>
            <w:vAlign w:val="center"/>
          </w:tcPr>
          <w:p>
            <w:pPr>
              <w:pStyle w:val="TableContents"/>
              <w:bidi w:val="0"/>
              <w:spacing w:before="0" w:after="190"/>
              <w:jc w:val="left"/>
              <w:rPr>
                <w:rFonts w:ascii="Times New Roman;Times;serif" w:hAnsi="Times New Roman;Times;serif"/>
                <w:b/>
                <w:sz w:val="20"/>
              </w:rPr>
            </w:pPr>
            <w:r>
              <w:rPr>
                <w:rFonts w:ascii="Times New Roman;Times;serif" w:hAnsi="Times New Roman;Times;serif"/>
                <w:b/>
                <w:sz w:val="20"/>
              </w:rPr>
              <w:t>Warrants Liability</w:t>
            </w:r>
          </w:p>
        </w:tc>
      </w:tr>
    </w:tbl>
    <w:p>
      <w:pPr>
        <w:pStyle w:val="TextBody"/>
        <w:bidi w:val="0"/>
        <w:spacing w:before="0" w:after="190"/>
        <w:ind w:left="360" w:right="0" w:hanging="0"/>
        <w:jc w:val="both"/>
        <w:rPr>
          <w:rFonts w:ascii="Times New Roman;Times;serif" w:hAnsi="Times New Roman;Times;serif"/>
          <w:sz w:val="20"/>
        </w:rPr>
      </w:pPr>
      <w:r>
        <w:rPr>
          <w:rFonts w:ascii="Times New Roman;Times;serif" w:hAnsi="Times New Roman;Times;serif"/>
          <w:sz w:val="20"/>
        </w:rPr>
        <w:t>The Company evaluates all of its financial instruments, including issued share purchase warrants, to determine if such instruments are derivatives or contain features that qualify as embedded derivatives, pursuant to U.S. GAAP Accounting Standard Codification (“ASC”) 480, Distinguishing Liability from Equity (“ASC 480”), and ASC 815, Derivatives and Hedging (“ASC 815”). The classification of derivative instruments, including whether such instruments should be recorded as liabilities or as equity, is re-assessed at the end of each reporting period.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the 15,000,000 common share warrants issued by the Company as part of the units offered in its initial public offering (“Public Warrants”) were determined to meet the criteria for equity classification, while the 9,500,000 private placement common share warrants issued by the Company in a private placement simultaneously with the closing of the initial public offering (“Private Warrants”) did not meet the criteria for equity classification and were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Fair value changes in the Private Warrants are recognized in the Company’s statement of loss and comprehensive loss.</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The Company issued several other warrants in 2024 and 2025. All these warrants met the criteria for equity classification and were recorded under additional paid-in capital (Note 16).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tbl>
      <w:tblPr>
        <w:tblW w:w="1776" w:type="dxa"/>
        <w:jc w:val="left"/>
        <w:tblInd w:w="0" w:type="dxa"/>
        <w:tblLayout w:type="fixed"/>
        <w:tblCellMar>
          <w:top w:w="0" w:type="dxa"/>
          <w:left w:w="0" w:type="dxa"/>
          <w:bottom w:w="0" w:type="dxa"/>
          <w:right w:w="0" w:type="dxa"/>
        </w:tblCellMar>
      </w:tblPr>
      <w:tblGrid>
        <w:gridCol w:w="124"/>
        <w:gridCol w:w="31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xi.</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Income tax expense represents the sum of current tax expense and deferred tax expense.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 The Company’s policy is to account for income tax related interest and penalties in income tax expense in the accompanying statements of loss and comprehensive loss.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 carryforwards are recognized to the extent that realization of such benefits is considered more likely than not. The effect on deferred tax assets and liabilities of a change in tax rates is recognized in the consolidated statements of loss and comprehensive loss in the period that enactment occurs. When realization of deferred income tax assets does not meet the more likely than not criterion for recognition, a valuation allowance is provided.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xii.</w:t>
      </w:r>
      <w:r>
        <w:rPr>
          <w:rFonts w:ascii="Times New Roman;Times;serif" w:hAnsi="Times New Roman;Times;serif"/>
          <w:b/>
          <w:sz w:val="20"/>
        </w:rPr>
        <w:t>Leases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records leases in accordance with ASC 842, </w:t>
      </w:r>
      <w:r>
        <w:rPr>
          <w:rFonts w:ascii="Times New Roman;Times;serif" w:hAnsi="Times New Roman;Times;serif"/>
          <w:i/>
          <w:sz w:val="20"/>
        </w:rPr>
        <w:t>Leases</w:t>
      </w:r>
      <w:r>
        <w:rPr>
          <w:rFonts w:ascii="Times New Roman;Times;serif" w:hAnsi="Times New Roman;Times;serif"/>
          <w:sz w:val="20"/>
        </w:rPr>
        <w:t>, and determines if an arrangement contains a lease at inception. Specifically, a contract is or contains a lease when (1) the contract contains an explicitly or implicitly identified asset and (2) we obtain substantially all of the economic benefits from the use of that underlying asset and direct how and for what purpose the asset is used during the term of the contract in exchange for consideration. If an arrangement contains a lease, the Company performs a lease classification test to determine if the lease is an operating lease or a finance lease. Right-of-use (“ROU”) assets represent the right to use an underlying asset for the lease term and lease liabilities represent the Company’s obligation to make lease payments arising from the lease.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Lease liabilities are recognized on the commencement date of the lease based on the present value of the future lease payments over the lease term. The discount rate used to calculate the present value of lease payments is the rate implicit in the lease. Lease liabilities due within the subsequent 12 months of the reporting date are classified as current lease liabilities and are included in accounts payable and accrued liabilities on the Company’s consolidated balance sheet. Lease liabilities payable after the subsequent 12 months of the reporting date are classified as non-current lease liabilities and are presented as non-current lease liability in the consolidated balance sheet.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ROU assets are valued at the initial measurement of the lease liability, plus any indirect costs or rent prepayments, and reduced by any lease incentives and any deferred lease payments. ROU assets are recorded as Right-of-use assets, net of any amortization on the consolidated balance sheet. Operating ROU assets are amortized on a straight-line basis over the lease term, whereas Finance ROU assets are amortized on a front-loaded basis. Depending on the nature of the ROU asset, the amortization expense is either included in exploration and evaluation expenses or in general and administrative expenses.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subsequently measures the ROU assets for an operating lease at the amount of the remeasured lease liability (i.e. the present value of the remaining lease payments), adjusted for the remaining balance of any lease incentives received, any cumulative prepaid or accrued rent if the lease payments are uneven throughout the lease term and any unamortized initial direct costs. The ROU assets for a finance lease are subsequently measured by amortizing them on a straight-line basis over the shorter of the lease term or useful life and also adjusted for any impairments.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xiii.</w:t>
      </w:r>
      <w:r>
        <w:rPr>
          <w:rFonts w:ascii="Times New Roman;Times;serif" w:hAnsi="Times New Roman;Times;serif"/>
          <w:b/>
          <w:sz w:val="20"/>
        </w:rPr>
        <w:t>Investments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consolidates investments over which it has control in accordance with ASC 810, Consolidation (“ASC 810”). Where the Company does not have control over the investment, but has significant influence, the Company records the investment in accordance with ASC 323, </w:t>
      </w:r>
      <w:r>
        <w:rPr>
          <w:rFonts w:ascii="Times New Roman;Times;serif" w:hAnsi="Times New Roman;Times;serif"/>
          <w:i/>
          <w:sz w:val="20"/>
        </w:rPr>
        <w:t>Investments-Equity Method and Joint Ventures</w:t>
      </w:r>
      <w:r>
        <w:rPr>
          <w:rFonts w:ascii="Times New Roman;Times;serif" w:hAnsi="Times New Roman;Times;serif"/>
          <w:sz w:val="20"/>
        </w:rPr>
        <w:t>, whereby, after recording the initial investment at cost, the Company recognizes its proportional share of results of operations and distributions from the affiliates in its consolidated financial statements. The value of the equity method investments is impaired if it is determined that there is an other-than-temporary decline in value. The Company records the results of certain equity method investees on a one-quarter reporting lag due to the timing when financial information becomes available.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applies the cumulative earnings approach in determining the classification of distributions received from equity method investees in the statement of cash flows.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xiv.</w:t>
      </w:r>
      <w:r>
        <w:rPr>
          <w:rFonts w:ascii="Times New Roman;Times;serif" w:hAnsi="Times New Roman;Times;serif"/>
          <w:b/>
          <w:sz w:val="20"/>
        </w:rPr>
        <w:t>Short-term debt and credit facilities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records borrowings under its short-term debt and line of credit at the amount drawn, net of any directly attributable financing costs. Interest expense is recognized as incurred based on the interest rate specified in the debt and line of credit agreements (Notes 8 and 21). Short-term debt and outstanding balances under the line of credit, are stated under Short-term debt and classified as a current liability. The accrued interest payable amount on the short-term debt and line of credit is disclosed under Accounts payable and accrued liabilities and classified as current liability.</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xv.</w:t>
      </w:r>
      <w:r>
        <w:rPr>
          <w:rFonts w:ascii="Times New Roman;Times;serif" w:hAnsi="Times New Roman;Times;serif"/>
          <w:b/>
          <w:sz w:val="20"/>
        </w:rPr>
        <w:t>Advertisement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expenses advertising costs as incurred and are included in general and administrative expenses. Advertising costs are not material for the periods presented.</w:t>
      </w:r>
    </w:p>
    <w:tbl>
      <w:tblPr>
        <w:tblW w:w="4622" w:type="dxa"/>
        <w:jc w:val="left"/>
        <w:tblInd w:w="0" w:type="dxa"/>
        <w:tblLayout w:type="fixed"/>
        <w:tblCellMar>
          <w:top w:w="0" w:type="dxa"/>
          <w:left w:w="0" w:type="dxa"/>
          <w:bottom w:w="0" w:type="dxa"/>
          <w:right w:w="0" w:type="dxa"/>
        </w:tblCellMar>
      </w:tblPr>
      <w:tblGrid>
        <w:gridCol w:w="271"/>
        <w:gridCol w:w="435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43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Accounting Estimates and Judgements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 Significant estimates and assumptions reflected in these consolidated financial statements include, but are not limited to, the evaluation of going concern, the valuation of share-based payments, including equity awards (Note 18), the valuation of warrants (Note 16), and the valuation of the royalty liability (Note 10). Actual results may differ materially from these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Significant management judgments and estimates were applied to the following areas: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Evaluation of Going Concern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evaluates its ability to operate as a going concern at each reporting period. This evaluation requires the Company to estimate its cash flow commitments over a forecast period of twelve months and whether it has the financial ability to pay for such commitments. Changes in these estimates and assumptions may have a material impact on this assessment.</w:t>
      </w:r>
    </w:p>
    <w:tbl>
      <w:tblPr>
        <w:tblW w:w="3576" w:type="dxa"/>
        <w:jc w:val="left"/>
        <w:tblInd w:w="0" w:type="dxa"/>
        <w:tblLayout w:type="fixed"/>
        <w:tblCellMar>
          <w:top w:w="0" w:type="dxa"/>
          <w:left w:w="0" w:type="dxa"/>
          <w:bottom w:w="0" w:type="dxa"/>
          <w:right w:w="0" w:type="dxa"/>
        </w:tblCellMar>
      </w:tblPr>
      <w:tblGrid>
        <w:gridCol w:w="124"/>
        <w:gridCol w:w="271"/>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ii.</w:t>
            </w:r>
          </w:p>
        </w:tc>
        <w:tc>
          <w:tcPr>
            <w:tcW w:w="31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Valuation of Share-Based Payments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fair market value of RSUs granted to employees, non-employees and directors is based on the closing market price of the Company’s shares, on the date these were granted (Note 18).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valuation of other share-based awards, including stock options and any awards with market-based vesting conditions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iii.</w:t>
      </w:r>
      <w:r>
        <w:rPr>
          <w:rFonts w:ascii="Times New Roman;Times;serif" w:hAnsi="Times New Roman;Times;serif"/>
          <w:b/>
          <w:sz w:val="20"/>
        </w:rPr>
        <w:t>Valuation of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re-measures the fair value of the Private Warrants at the end of each reporting period (Note 16). The fair value of the Private Warrants was estimated using a Black-Scholes option pricing model whereby the expected volatility was estimated using a binomial model that assigned equal weight to the implied volatility of the Company’s Public Warrants, adjusted for the call feature triggered at prices above $18.00 over 20 trading days within any 30-day period, and the historical volatility of the common share price.</w:t>
      </w:r>
    </w:p>
    <w:p>
      <w:pPr>
        <w:pStyle w:val="TextBody"/>
        <w:bidi w:val="0"/>
        <w:spacing w:before="0" w:after="240"/>
        <w:ind w:left="357" w:right="0" w:hanging="0"/>
        <w:jc w:val="both"/>
        <w:rPr>
          <w:rFonts w:ascii="Times New Roman;Times;serif" w:hAnsi="Times New Roman;Times;serif"/>
          <w:sz w:val="20"/>
        </w:rPr>
      </w:pPr>
      <w:r>
        <w:rPr>
          <w:rFonts w:ascii="Times New Roman;Times;serif" w:hAnsi="Times New Roman;Times;serif"/>
          <w:sz w:val="20"/>
        </w:rPr>
        <w:t>During 2025, the Company issued warrants to Republic of Nauru (“Nauru”) and to Kingdom of Tonga (“Tonga”) (Note 16). These warrants are contingently exercisable and may only be exercised if the Company obtains a license to engage in deep seabed mineral recovery and elects to pursue such activities. Accordingly, the Company measures the fair value of the warrants using a probability-weighted approach. Under the scenario in which the license is obtained, fair value is estimated using a Black-Scholes option pricing model based on the implied share price under that scenario. If the license is not obtained, the warrants are assumed to have no economic value. Expected volatility is estimated using an equal-weighted blend of historical share price volatility and the implied volatility of the Company’s publicly traded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also has outstanding Class A Warrants, Class B Warrants, Class C Warrants (each, as defined below) and warrants issued to Korea Zinc (Note 16) which were valued using a Monte Carlo simulation by running 250,000 trials. The model assumed that the Company’s share price follows geometric Brownian motion which is a standard assumption used in Monte Carlo univariate pricing models. The valuation was calculated under a risk-neutral framework using a zero-coupon risk-free interest rate derived from the Treasury Constant Maturities yield curve for a term until the expiry of the warrants. The Company’s share price was simulated up to the expiration date using a blended volatility, calculated by assigning equal weights to both implied volatility of the Company’s Public Warrants and the historical volatility of the Company’s share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iv.</w:t>
      </w:r>
      <w:r>
        <w:rPr>
          <w:rFonts w:ascii="Times New Roman;Times;serif" w:hAnsi="Times New Roman;Times;serif"/>
          <w:b/>
          <w:sz w:val="20"/>
        </w:rPr>
        <w:t>Valuation of Royalty Liability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remeasures the fair value of its royalty liability at each reporting date (Note10). The valuation of the royalty liability requires significant judgment and is dependent on the stage of development of the underlying assets and the availability of observable market data.</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For areas that remain in an advanced exploration stage, the fair value is determined using a market approach. This approach involves analyzing recent royalty transactions prior to the reporting date, with particular focus on transactions involving similar metals to those contained in the Company’s polymetallic nodules. The Company evaluates the specific terms and characteristics of comparable transactions and applies judgment to estimate the fair value. For areas supported by a pre-feasibility study (PFS), the fair value is determined using an income approach. This approach applies a discounted cash flow model based on projected production and cash flows derived from the PFS. Key assumptions include forecast metal prices, estimated operating and capital costs, production profiles, and a discount rate that reflects the risks specific to the project. Changes in assumptions related to market conditions, permitting, project timelines, production forecasts, metal prices, repurchase options or discount rates could result in material changes to the estimated fair value of the royalty liability in future periods.</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Recent Accounting Pronouncements Issued and Adopted</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ASU 2023-09, </w:t>
      </w:r>
      <w:r>
        <w:rPr>
          <w:rFonts w:ascii="Times New Roman;Times;serif" w:hAnsi="Times New Roman;Times;serif"/>
          <w:i/>
          <w:sz w:val="20"/>
        </w:rPr>
        <w:t>Income Taxes</w:t>
      </w:r>
      <w:r>
        <w:rPr>
          <w:rFonts w:ascii="Times New Roman;Times;serif" w:hAnsi="Times New Roman;Times;serif"/>
          <w:sz w:val="20"/>
        </w:rPr>
        <w:t xml:space="preserve"> (Topic 740): </w:t>
      </w:r>
      <w:r>
        <w:rPr>
          <w:rFonts w:ascii="Times New Roman;Times;serif" w:hAnsi="Times New Roman;Times;serif"/>
          <w:i/>
          <w:sz w:val="20"/>
        </w:rPr>
        <w:t>Improvements to Income Tax Disclosures</w:t>
      </w:r>
      <w:r>
        <w:rPr>
          <w:rFonts w:ascii="Times New Roman;Times;serif" w:hAnsi="Times New Roman;Times;serif"/>
          <w:sz w:val="20"/>
        </w:rPr>
        <w:t>, which enhances the transparency and decision usefulness of income tax disclosures, including modifications to the rate reconciliation and income taxes paid disclosures. The guidance is effective for public business entities for annual periods beginning after December 15, 2024. The Company adopted ASU 2023-09 in 2025 on a prospective basis, as permitted by the standard (Note 24). The adoption affected the presentation of income tax disclosures but did not impact the Company’s consolidated balance sheet, consolidated statement of loss and comprehensive loss and consolidated statement of cash flows.</w:t>
      </w:r>
    </w:p>
    <w:p>
      <w:pPr>
        <w:pStyle w:val="TextBody"/>
        <w:bidi w:val="0"/>
        <w:spacing w:before="0" w:after="240"/>
        <w:ind w:left="360" w:right="0" w:hanging="0"/>
        <w:jc w:val="both"/>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56" w:name="Tc_qKw5lcXAIU2PM7rPGnTeGQ_4_5"/>
      <w:bookmarkStart w:id="857" w:name="Tc_JcB0V2sE1EKdcZXaMl18FQ_4_2"/>
      <w:bookmarkStart w:id="858" w:name="Tc_UcIyvK5Y_k2aME9wTWn5JA_3_0"/>
      <w:bookmarkStart w:id="859" w:name="Tc_SXGfR-EYoEWy9ONK564bpw_2_5"/>
      <w:bookmarkStart w:id="860" w:name="Tc_FoJJ1-r360unbXHntLQX6A_2_2"/>
      <w:bookmarkStart w:id="861" w:name="Tc_O3noO_ZuqEyxPd1Msb-EIQ_2_0"/>
      <w:bookmarkStart w:id="862" w:name="Tc_QLxUVPSwlkGxoENzFd6YCQ_1_5"/>
      <w:bookmarkStart w:id="863" w:name="Tc_nPMR_qxKfkC79nCh2sOIdg_1_2"/>
      <w:bookmarkStart w:id="864" w:name="Tc_qKw5lcXAIU2PM7rPGnTeGQ_4_5"/>
      <w:bookmarkStart w:id="865" w:name="Tc_JcB0V2sE1EKdcZXaMl18FQ_4_2"/>
      <w:bookmarkStart w:id="866" w:name="Tc_UcIyvK5Y_k2aME9wTWn5JA_3_0"/>
      <w:bookmarkStart w:id="867" w:name="Tc_SXGfR-EYoEWy9ONK564bpw_2_5"/>
      <w:bookmarkStart w:id="868" w:name="Tc_FoJJ1-r360unbXHntLQX6A_2_2"/>
      <w:bookmarkStart w:id="869" w:name="Tc_O3noO_ZuqEyxPd1Msb-EIQ_2_0"/>
      <w:bookmarkStart w:id="870" w:name="Tc_QLxUVPSwlkGxoENzFd6YCQ_1_5"/>
      <w:bookmarkStart w:id="871" w:name="Tc_nPMR_qxKfkC79nCh2sOIdg_1_2"/>
      <w:bookmarkEnd w:id="864"/>
      <w:bookmarkEnd w:id="865"/>
      <w:bookmarkEnd w:id="866"/>
      <w:bookmarkEnd w:id="867"/>
      <w:bookmarkEnd w:id="868"/>
      <w:bookmarkEnd w:id="869"/>
      <w:bookmarkEnd w:id="870"/>
      <w:bookmarkEnd w:id="871"/>
    </w:p>
    <w:tbl>
      <w:tblPr>
        <w:tblW w:w="2942" w:type="dxa"/>
        <w:jc w:val="left"/>
        <w:tblInd w:w="0" w:type="dxa"/>
        <w:tblLayout w:type="fixed"/>
        <w:tblCellMar>
          <w:top w:w="0" w:type="dxa"/>
          <w:left w:w="0" w:type="dxa"/>
          <w:bottom w:w="0" w:type="dxa"/>
          <w:right w:w="0" w:type="dxa"/>
        </w:tblCellMar>
      </w:tblPr>
      <w:tblGrid>
        <w:gridCol w:w="271"/>
        <w:gridCol w:w="26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26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Receivables and Prepayments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amounts of outstanding receivables and prepayments at December 31, 2025 and 2024 are as follows:</w:t>
      </w:r>
    </w:p>
    <w:p>
      <w:pPr>
        <w:pStyle w:val="TextBody"/>
        <w:bidi w:val="0"/>
        <w:spacing w:before="0" w:after="0"/>
        <w:ind w:left="0" w:right="0" w:hanging="0"/>
        <w:jc w:val="left"/>
        <w:rPr/>
      </w:pPr>
      <w:r>
        <w:rPr/>
        <w:t>​</w:t>
      </w:r>
    </w:p>
    <w:tbl>
      <w:tblPr>
        <w:tblW w:w="6018" w:type="dxa"/>
        <w:jc w:val="left"/>
        <w:tblInd w:w="0" w:type="dxa"/>
        <w:tblLayout w:type="fixed"/>
        <w:tblCellMar>
          <w:top w:w="0" w:type="dxa"/>
          <w:left w:w="0" w:type="dxa"/>
          <w:bottom w:w="0" w:type="dxa"/>
          <w:right w:w="0" w:type="dxa"/>
        </w:tblCellMar>
      </w:tblPr>
      <w:tblGrid>
        <w:gridCol w:w="2371"/>
        <w:gridCol w:w="346"/>
        <w:gridCol w:w="392"/>
        <w:gridCol w:w="1063"/>
        <w:gridCol w:w="346"/>
        <w:gridCol w:w="356"/>
        <w:gridCol w:w="114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505585" cy="175260"/>
                      <wp:effectExtent l="0" t="0" r="0" b="0"/>
                      <wp:wrapNone/>
                      <wp:docPr id="177" name="Frame155"/>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78"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48920" cy="175260"/>
                      <wp:effectExtent l="0" t="0" r="0" b="0"/>
                      <wp:wrapNone/>
                      <wp:docPr id="179" name="Frame15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75005" cy="175260"/>
                      <wp:effectExtent l="0" t="0" r="0" b="0"/>
                      <wp:wrapNone/>
                      <wp:docPr id="180" name="Frame158"/>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1"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6060" cy="175260"/>
                      <wp:effectExtent l="0" t="0" r="0" b="0"/>
                      <wp:wrapNone/>
                      <wp:docPr id="182" name="Frame160"/>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26440" cy="175260"/>
                      <wp:effectExtent l="0" t="0" r="0" b="0"/>
                      <wp:wrapNone/>
                      <wp:docPr id="183" name="Frame161"/>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2024</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and other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664</w:t>
            </w:r>
          </w:p>
        </w:tc>
        <w:tc>
          <w:tcPr>
            <w:tcW w:w="346"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Prepayments</w:t>
            </w:r>
          </w:p>
        </w:tc>
        <w:tc>
          <w:tcPr>
            <w:tcW w:w="346" w:type="dxa"/>
            <w:tcBorders/>
            <w:vAlign w:val="center"/>
          </w:tcPr>
          <w:p>
            <w:pPr>
              <w:pStyle w:val="TableContents"/>
              <w:bidi w:val="0"/>
              <w:spacing w:before="0" w:after="1"/>
              <w:ind w:left="0" w:right="0" w:hanging="0"/>
              <w:jc w:val="left"/>
              <w:rPr/>
            </w:pPr>
            <w:r>
              <w:rPr/>
              <w:t> </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2,385</w:t>
            </w:r>
          </w:p>
        </w:tc>
        <w:tc>
          <w:tcPr>
            <w:tcW w:w="346" w:type="dxa"/>
            <w:tcBorders/>
            <w:vAlign w:val="center"/>
          </w:tcPr>
          <w:p>
            <w:pPr>
              <w:pStyle w:val="TableContents"/>
              <w:bidi w:val="0"/>
              <w:spacing w:before="0" w:after="1"/>
              <w:ind w:left="0" w:right="0" w:hanging="0"/>
              <w:jc w:val="left"/>
              <w:rPr/>
            </w:pPr>
            <w:r>
              <w:rPr/>
              <w:t> </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w:t>
            </w:r>
          </w:p>
        </w:tc>
      </w:tr>
      <w:tr>
        <w:trPr/>
        <w:tc>
          <w:tcPr>
            <w:tcW w:w="23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3,049</w:t>
            </w:r>
          </w:p>
        </w:tc>
        <w:tc>
          <w:tcPr>
            <w:tcW w:w="346" w:type="dxa"/>
            <w:tcBorders/>
            <w:shd w:fill="CCEEFF" w:val="clear"/>
            <w:vAlign w:val="center"/>
          </w:tcPr>
          <w:p>
            <w:pPr>
              <w:pStyle w:val="TableContents"/>
              <w:bidi w:val="0"/>
              <w:spacing w:before="0" w:after="1"/>
              <w:ind w:left="0" w:right="0" w:hanging="0"/>
              <w:jc w:val="left"/>
              <w:rPr/>
            </w:pPr>
            <w:r>
              <w:rPr/>
              <w:t> </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1,851</w:t>
            </w:r>
          </w:p>
        </w:tc>
      </w:tr>
    </w:tbl>
    <w:p>
      <w:pPr>
        <w:pStyle w:val="TextBody"/>
        <w:pBdr/>
        <w:bidi w:val="0"/>
        <w:spacing w:before="0" w:after="240"/>
        <w:ind w:left="0" w:right="0" w:hanging="360"/>
        <w:jc w:val="left"/>
        <w:rPr/>
      </w:pPr>
      <w:r>
        <w:rPr/>
        <w:t>​</w:t>
      </w:r>
    </w:p>
    <w:p>
      <w:pPr>
        <w:pStyle w:val="TextBody"/>
        <w:pBdr/>
        <w:bidi w:val="0"/>
        <w:spacing w:before="0" w:after="240"/>
        <w:ind w:left="0" w:right="0" w:hanging="360"/>
        <w:jc w:val="left"/>
        <w:rPr/>
      </w:pPr>
      <w:r>
        <w:rPr/>
        <w:t>​</w:t>
      </w:r>
    </w:p>
    <w:p>
      <w:pPr>
        <w:pStyle w:val="Normal"/>
        <w:bidi w:val="0"/>
        <w:spacing w:before="0" w:after="0"/>
        <w:jc w:val="left"/>
        <w:rPr>
          <w:sz w:val="4"/>
          <w:szCs w:val="4"/>
        </w:rPr>
      </w:pPr>
      <w:r>
        <w:rPr>
          <w:sz w:val="4"/>
          <w:szCs w:val="4"/>
        </w:rPr>
      </w:r>
      <w:bookmarkStart w:id="872" w:name="Tc_A1LgwT4D5kuA7Q_huRA6VQ_18_5"/>
      <w:bookmarkStart w:id="873" w:name="Tc_2yF0COwQaUqpTInPjuBYjw_18_2"/>
      <w:bookmarkStart w:id="874" w:name="Tc_kr39upc4LkmBgI9cBXFZLg_18_0"/>
      <w:bookmarkStart w:id="875" w:name="Tc_kQYqA0HI3kaIThdwwBs2Rw_17_5"/>
      <w:bookmarkStart w:id="876" w:name="Tc_eFo5EzY99E-_rzAX5-BtoA_17_2"/>
      <w:bookmarkStart w:id="877" w:name="Tc_8m3Q-R8EzEGr6aGVJ_0fsQ_17_0"/>
      <w:bookmarkStart w:id="878" w:name="Tc_dJ-oC8Drskeuoz3R24n9ag_16_0"/>
      <w:bookmarkStart w:id="879" w:name="Tc_ucVUQAF5eESCwITJLCk-bg_14_6"/>
      <w:bookmarkStart w:id="880" w:name="Tc_UjapR4GVwUWhYRc_nnmsxQ_14_5"/>
      <w:bookmarkStart w:id="881" w:name="Tc__fwMI0iOrUCwdvsLgD-3tw_14_2"/>
      <w:bookmarkStart w:id="882" w:name="Tc_SaAQrCN2mUGsdxsjJqb6dA_14_0"/>
      <w:bookmarkStart w:id="883" w:name="Tc_TL4JI2PRFEK3muOOrd-NXQ_13_6"/>
      <w:bookmarkStart w:id="884" w:name="Tc_GEM1fDGoLkyJAcpilTDczA_13_0"/>
      <w:bookmarkStart w:id="885" w:name="Tc_-RID1jKU7Eu1AEyuirn7vg_12_6"/>
      <w:bookmarkStart w:id="886" w:name="Tc_oCEK5j4VCkCJMF8kWRdxWQ_12_5"/>
      <w:bookmarkStart w:id="887" w:name="Tc_kXDdOWOSvUaPqUGLV7S_Aw_12_2"/>
      <w:bookmarkStart w:id="888" w:name="Tc_tvZNLQYnYEKXBbzW6Ek8BQ_12_0"/>
      <w:bookmarkStart w:id="889" w:name="Tc_DJu-UdSDRkGnjP91IMPdIw_11_6"/>
      <w:bookmarkStart w:id="890" w:name="Tc_e0hmbZe0HkGXSw8L6eb05w_11_0"/>
      <w:bookmarkStart w:id="891" w:name="Tc_rp31Rp4FTUyXLu7PynjJCA_10_6"/>
      <w:bookmarkStart w:id="892" w:name="Tc_kSkv4SJ58EuSYW58MQa4Ow_10_5"/>
      <w:bookmarkStart w:id="893" w:name="Tc_4GOHixaQ_kKg1zkWOK9ggA_10_2"/>
      <w:bookmarkStart w:id="894" w:name="Tc_Gnz0PhzyZ0WWLsYdFuTUZg_10_0"/>
      <w:bookmarkStart w:id="895" w:name="Tc__pHuRzpSKkyf6WRIKeuPOA_9_0"/>
      <w:bookmarkStart w:id="896" w:name="Tc_2yuTa8HrekGUrAWTVQNryg_7_5"/>
      <w:bookmarkStart w:id="897" w:name="Tc_8VfvX4OPtUqsLuYgqcuxOQ_7_2"/>
      <w:bookmarkStart w:id="898" w:name="Tc_DJwNxRc740msi-bjScFejA_7_0"/>
      <w:bookmarkStart w:id="899" w:name="Tc_DqCLtmZtQEmAHXpcpXZbiw_6_3"/>
      <w:bookmarkStart w:id="900" w:name="Tc_iwlkrLweLk2H3AGYOZGoJQ_6_0"/>
      <w:bookmarkStart w:id="901" w:name="Tc_fXT2bgH1HUi8CJzpaQ5WCQ_5_5"/>
      <w:bookmarkStart w:id="902" w:name="Tc_8q6ADLFAbkuRRW-Qbod78g_5_2"/>
      <w:bookmarkStart w:id="903" w:name="Tc_KHQilADmIUy4bwrHjQUUXQ_5_0"/>
      <w:bookmarkStart w:id="904" w:name="Tc_a8q0WvmPaUmQqUMkFqMRqQ_4_3"/>
      <w:bookmarkStart w:id="905" w:name="Tc_bWDCdYJ4AUaiR4w-fKsCEQ_4_0"/>
      <w:bookmarkStart w:id="906" w:name="Tc_F8YxOOxQAESomXWUu49MJw_3_5"/>
      <w:bookmarkStart w:id="907" w:name="Tc_F1upK61fa0-VEUV31S3CFg_3_2"/>
      <w:bookmarkStart w:id="908" w:name="Tc_0jVY5zYGzUymYYTQb9FhuQ_3_0"/>
      <w:bookmarkStart w:id="909" w:name="Tc_NxJO5uaa2EKT6LDbKb2qKw_2_5"/>
      <w:bookmarkStart w:id="910" w:name="Tc_ZDKIK6jzo0SD0vxIXoz33Q_2_2"/>
      <w:bookmarkStart w:id="911" w:name="Tc_uzIjJZqBx06Ao7w01YZdxA_2_0"/>
      <w:bookmarkStart w:id="912" w:name="_39408280_b385_45b3_bcd8_ff0d6af683b9"/>
      <w:bookmarkStart w:id="913" w:name="Tc_A1LgwT4D5kuA7Q_huRA6VQ_18_5"/>
      <w:bookmarkStart w:id="914" w:name="Tc_2yF0COwQaUqpTInPjuBYjw_18_2"/>
      <w:bookmarkStart w:id="915" w:name="Tc_kr39upc4LkmBgI9cBXFZLg_18_0"/>
      <w:bookmarkStart w:id="916" w:name="Tc_kQYqA0HI3kaIThdwwBs2Rw_17_5"/>
      <w:bookmarkStart w:id="917" w:name="Tc_eFo5EzY99E-_rzAX5-BtoA_17_2"/>
      <w:bookmarkStart w:id="918" w:name="Tc_8m3Q-R8EzEGr6aGVJ_0fsQ_17_0"/>
      <w:bookmarkStart w:id="919" w:name="Tc_dJ-oC8Drskeuoz3R24n9ag_16_0"/>
      <w:bookmarkStart w:id="920" w:name="Tc_ucVUQAF5eESCwITJLCk-bg_14_6"/>
      <w:bookmarkStart w:id="921" w:name="Tc_UjapR4GVwUWhYRc_nnmsxQ_14_5"/>
      <w:bookmarkStart w:id="922" w:name="Tc__fwMI0iOrUCwdvsLgD-3tw_14_2"/>
      <w:bookmarkStart w:id="923" w:name="Tc_SaAQrCN2mUGsdxsjJqb6dA_14_0"/>
      <w:bookmarkStart w:id="924" w:name="Tc_TL4JI2PRFEK3muOOrd-NXQ_13_6"/>
      <w:bookmarkStart w:id="925" w:name="Tc_GEM1fDGoLkyJAcpilTDczA_13_0"/>
      <w:bookmarkStart w:id="926" w:name="Tc_-RID1jKU7Eu1AEyuirn7vg_12_6"/>
      <w:bookmarkStart w:id="927" w:name="Tc_oCEK5j4VCkCJMF8kWRdxWQ_12_5"/>
      <w:bookmarkStart w:id="928" w:name="Tc_kXDdOWOSvUaPqUGLV7S_Aw_12_2"/>
      <w:bookmarkStart w:id="929" w:name="Tc_tvZNLQYnYEKXBbzW6Ek8BQ_12_0"/>
      <w:bookmarkStart w:id="930" w:name="Tc_DJu-UdSDRkGnjP91IMPdIw_11_6"/>
      <w:bookmarkStart w:id="931" w:name="Tc_e0hmbZe0HkGXSw8L6eb05w_11_0"/>
      <w:bookmarkStart w:id="932" w:name="Tc_rp31Rp4FTUyXLu7PynjJCA_10_6"/>
      <w:bookmarkStart w:id="933" w:name="Tc_kSkv4SJ58EuSYW58MQa4Ow_10_5"/>
      <w:bookmarkStart w:id="934" w:name="Tc_4GOHixaQ_kKg1zkWOK9ggA_10_2"/>
      <w:bookmarkStart w:id="935" w:name="Tc_Gnz0PhzyZ0WWLsYdFuTUZg_10_0"/>
      <w:bookmarkStart w:id="936" w:name="Tc__pHuRzpSKkyf6WRIKeuPOA_9_0"/>
      <w:bookmarkStart w:id="937" w:name="Tc_2yuTa8HrekGUrAWTVQNryg_7_5"/>
      <w:bookmarkStart w:id="938" w:name="Tc_8VfvX4OPtUqsLuYgqcuxOQ_7_2"/>
      <w:bookmarkStart w:id="939" w:name="Tc_DJwNxRc740msi-bjScFejA_7_0"/>
      <w:bookmarkStart w:id="940" w:name="Tc_DqCLtmZtQEmAHXpcpXZbiw_6_3"/>
      <w:bookmarkStart w:id="941" w:name="Tc_iwlkrLweLk2H3AGYOZGoJQ_6_0"/>
      <w:bookmarkStart w:id="942" w:name="Tc_fXT2bgH1HUi8CJzpaQ5WCQ_5_5"/>
      <w:bookmarkStart w:id="943" w:name="Tc_8q6ADLFAbkuRRW-Qbod78g_5_2"/>
      <w:bookmarkStart w:id="944" w:name="Tc_KHQilADmIUy4bwrHjQUUXQ_5_0"/>
      <w:bookmarkStart w:id="945" w:name="Tc_a8q0WvmPaUmQqUMkFqMRqQ_4_3"/>
      <w:bookmarkStart w:id="946" w:name="Tc_bWDCdYJ4AUaiR4w-fKsCEQ_4_0"/>
      <w:bookmarkStart w:id="947" w:name="Tc_F8YxOOxQAESomXWUu49MJw_3_5"/>
      <w:bookmarkStart w:id="948" w:name="Tc_F1upK61fa0-VEUV31S3CFg_3_2"/>
      <w:bookmarkStart w:id="949" w:name="Tc_0jVY5zYGzUymYYTQb9FhuQ_3_0"/>
      <w:bookmarkStart w:id="950" w:name="Tc_NxJO5uaa2EKT6LDbKb2qKw_2_5"/>
      <w:bookmarkStart w:id="951" w:name="Tc_ZDKIK6jzo0SD0vxIXoz33Q_2_2"/>
      <w:bookmarkStart w:id="952" w:name="Tc_uzIjJZqBx06Ao7w01YZdxA_2_0"/>
      <w:bookmarkStart w:id="953" w:name="_39408280_b385_45b3_bcd8_ff0d6af683b9"/>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p>
    <w:tbl>
      <w:tblPr>
        <w:tblW w:w="2507" w:type="dxa"/>
        <w:jc w:val="left"/>
        <w:tblInd w:w="0" w:type="dxa"/>
        <w:tblLayout w:type="fixed"/>
        <w:tblCellMar>
          <w:top w:w="0" w:type="dxa"/>
          <w:left w:w="0" w:type="dxa"/>
          <w:bottom w:w="0" w:type="dxa"/>
          <w:right w:w="0" w:type="dxa"/>
        </w:tblCellMar>
      </w:tblPr>
      <w:tblGrid>
        <w:gridCol w:w="271"/>
        <w:gridCol w:w="223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22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Equipment and Software</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movements in the Company’s capital equipment are as follows:</w:t>
      </w:r>
    </w:p>
    <w:p>
      <w:pPr>
        <w:pStyle w:val="TextBody"/>
        <w:bidi w:val="0"/>
        <w:spacing w:before="0" w:after="0"/>
        <w:ind w:left="0" w:right="0" w:hanging="0"/>
        <w:jc w:val="left"/>
        <w:rPr/>
      </w:pPr>
      <w:r>
        <w:rPr/>
        <w:t>​</w:t>
      </w:r>
    </w:p>
    <w:tbl>
      <w:tblPr>
        <w:tblW w:w="4720" w:type="dxa"/>
        <w:jc w:val="left"/>
        <w:tblInd w:w="0" w:type="dxa"/>
        <w:tblLayout w:type="fixed"/>
        <w:tblCellMar>
          <w:top w:w="0" w:type="dxa"/>
          <w:left w:w="0" w:type="dxa"/>
          <w:bottom w:w="0" w:type="dxa"/>
          <w:right w:w="0" w:type="dxa"/>
        </w:tblCellMar>
      </w:tblPr>
      <w:tblGrid>
        <w:gridCol w:w="2341"/>
        <w:gridCol w:w="346"/>
        <w:gridCol w:w="211"/>
        <w:gridCol w:w="691"/>
        <w:gridCol w:w="109"/>
        <w:gridCol w:w="346"/>
        <w:gridCol w:w="676"/>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86535" cy="175260"/>
                      <wp:effectExtent l="0" t="0" r="0" b="0"/>
                      <wp:wrapNone/>
                      <wp:docPr id="184" name="Frame162"/>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5"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86"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38785" cy="175260"/>
                      <wp:effectExtent l="0" t="0" r="0" b="0"/>
                      <wp:wrapNone/>
                      <wp:docPr id="187" name="Frame1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88"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89"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29260" cy="175260"/>
                      <wp:effectExtent l="0" t="0" r="0" b="0"/>
                      <wp:wrapNone/>
                      <wp:docPr id="190" name="Frame1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676" w:type="dxa"/>
            <w:tcBorders/>
            <w:vAlign w:val="center"/>
          </w:tcPr>
          <w:p>
            <w:pPr>
              <w:pStyle w:val="TableContents"/>
              <w:bidi w:val="0"/>
              <w:spacing w:before="0" w:after="0"/>
              <w:ind w:left="0" w:right="0" w:hanging="0"/>
              <w:jc w:val="right"/>
              <w:rPr/>
            </w:pPr>
            <w:r>
              <w:rPr/>
              <w:t>​</w:t>
            </w:r>
          </w:p>
        </w:tc>
      </w:tr>
      <w:tr>
        <w:trPr/>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Equipment</w:t>
            </w:r>
          </w:p>
        </w:tc>
        <w:tc>
          <w:tcPr>
            <w:tcW w:w="109" w:type="dxa"/>
            <w:tcBorders/>
            <w:vAlign w:val="center"/>
          </w:tcPr>
          <w:p>
            <w:pPr>
              <w:pStyle w:val="TableContents"/>
              <w:bidi w:val="0"/>
              <w:spacing w:before="0" w:after="0"/>
              <w:ind w:left="0" w:right="0" w:hanging="0"/>
              <w:jc w:val="right"/>
              <w:rPr/>
            </w:pPr>
            <w:r>
              <w:rPr/>
              <w:t>​</w:t>
            </w:r>
          </w:p>
        </w:tc>
        <w:tc>
          <w:tcPr>
            <w:tcW w:w="102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right"/>
              <w:rPr>
                <w:rFonts w:ascii="Times New Roman;Times;serif" w:hAnsi="Times New Roman;Times;serif"/>
                <w:sz w:val="16"/>
              </w:rPr>
            </w:pPr>
            <w:r>
              <w:rPr>
                <w:rFonts w:ascii="Times New Roman;Times;serif" w:hAnsi="Times New Roman;Times;serif"/>
                <w:b/>
                <w:sz w:val="16"/>
              </w:rPr>
              <w:t>Software</w:t>
            </w:r>
            <w:r>
              <w:rPr>
                <w:rFonts w:ascii="Times New Roman;Times;serif" w:hAnsi="Times New Roman;Times;serif"/>
                <w:sz w:val="16"/>
              </w:rPr>
              <w:t xml:space="preserve"> </w:t>
            </w:r>
            <w:r>
              <w:rPr>
                <w:rFonts w:ascii="Times New Roman;Times;serif" w:hAnsi="Times New Roman;Times;serif"/>
                <w:b/>
                <w:sz w:val="12"/>
              </w:rPr>
              <w:t>(1)</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1,928</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67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2,125</w:t>
            </w:r>
          </w:p>
        </w:tc>
      </w:tr>
      <w:tr>
        <w:trPr/>
        <w:tc>
          <w:tcPr>
            <w:tcW w:w="2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for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0"/>
              <w:ind w:left="0" w:right="0" w:hanging="0"/>
              <w:jc w:val="left"/>
              <w:rPr/>
            </w:pPr>
            <w:r>
              <w:rPr/>
              <w:t> </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(2,523)</w:t>
            </w:r>
          </w:p>
        </w:tc>
        <w:tc>
          <w:tcPr>
            <w:tcW w:w="109" w:type="dxa"/>
            <w:tcBorders/>
            <w:vAlign w:val="center"/>
          </w:tcPr>
          <w:p>
            <w:pPr>
              <w:pStyle w:val="TableContents"/>
              <w:bidi w:val="0"/>
              <w:spacing w:before="0" w:after="0"/>
              <w:ind w:left="0" w:right="0" w:hanging="0"/>
              <w:jc w:val="right"/>
              <w:rPr/>
            </w:pPr>
            <w:r>
              <w:rPr/>
              <w:t>​</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for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6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(2,775)</w:t>
            </w:r>
          </w:p>
        </w:tc>
        <w:tc>
          <w:tcPr>
            <w:tcW w:w="109" w:type="dxa"/>
            <w:tcBorders/>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3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book value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at December 31, 2025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519</w:t>
            </w:r>
          </w:p>
        </w:tc>
        <w:tc>
          <w:tcPr>
            <w:tcW w:w="109" w:type="dxa"/>
            <w:tcBorders/>
            <w:vAlign w:val="center"/>
          </w:tcPr>
          <w:p>
            <w:pPr>
              <w:pStyle w:val="TableContents"/>
              <w:bidi w:val="0"/>
              <w:spacing w:before="0" w:after="0"/>
              <w:ind w:left="0" w:right="0" w:hanging="0"/>
              <w:jc w:val="righ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2,125</w:t>
            </w:r>
          </w:p>
        </w:tc>
      </w:tr>
    </w:tbl>
    <w:tbl>
      <w:tblPr>
        <w:tblW w:w="4611" w:type="dxa"/>
        <w:jc w:val="left"/>
        <w:tblInd w:w="0" w:type="dxa"/>
        <w:tblLayout w:type="fixed"/>
        <w:tblCellMar>
          <w:top w:w="28" w:type="dxa"/>
          <w:left w:w="28" w:type="dxa"/>
          <w:bottom w:w="28" w:type="dxa"/>
          <w:right w:w="28" w:type="dxa"/>
        </w:tblCellMar>
      </w:tblPr>
      <w:tblGrid>
        <w:gridCol w:w="124"/>
        <w:gridCol w:w="271"/>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software is under development and not in use.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54" w:name="Tc_Lik-pCyefUekBG96UYpQcw_6_2"/>
      <w:bookmarkStart w:id="955" w:name="Tc_45kijZ5jkE6jvOd1vcWNcA_6_0"/>
      <w:bookmarkStart w:id="956" w:name="Tc_8Ph8iV5WZECIJtl5Wp5Ang_5_0"/>
      <w:bookmarkStart w:id="957" w:name="Tc_8WDEYFuJjUiFhYY48-g4zw_4_2"/>
      <w:bookmarkStart w:id="958" w:name="Tc_ho9m62iTs0u7Zn6eqqx4Zg_4_0"/>
      <w:bookmarkStart w:id="959" w:name="Tc_NaXwTjnMrEWQeEgg1wrr3w_3_0"/>
      <w:bookmarkStart w:id="960" w:name="Tc_PcnLrWlZ8kibuSh3PdEwsg_2_2"/>
      <w:bookmarkStart w:id="961" w:name="Tc_HGwQ-dBCykeAOOWfIoeTbA_2_0"/>
      <w:bookmarkStart w:id="962" w:name="Tc_hRPPhghO1kC5O1zczcF-5Q_1_2"/>
      <w:bookmarkStart w:id="963" w:name="Tc_Lik-pCyefUekBG96UYpQcw_6_2"/>
      <w:bookmarkStart w:id="964" w:name="Tc_45kijZ5jkE6jvOd1vcWNcA_6_0"/>
      <w:bookmarkStart w:id="965" w:name="Tc_8Ph8iV5WZECIJtl5Wp5Ang_5_0"/>
      <w:bookmarkStart w:id="966" w:name="Tc_8WDEYFuJjUiFhYY48-g4zw_4_2"/>
      <w:bookmarkStart w:id="967" w:name="Tc_ho9m62iTs0u7Zn6eqqx4Zg_4_0"/>
      <w:bookmarkStart w:id="968" w:name="Tc_NaXwTjnMrEWQeEgg1wrr3w_3_0"/>
      <w:bookmarkStart w:id="969" w:name="Tc_PcnLrWlZ8kibuSh3PdEwsg_2_2"/>
      <w:bookmarkStart w:id="970" w:name="Tc_HGwQ-dBCykeAOOWfIoeTbA_2_0"/>
      <w:bookmarkStart w:id="971" w:name="Tc_hRPPhghO1kC5O1zczcF-5Q_1_2"/>
      <w:bookmarkEnd w:id="963"/>
      <w:bookmarkEnd w:id="964"/>
      <w:bookmarkEnd w:id="965"/>
      <w:bookmarkEnd w:id="966"/>
      <w:bookmarkEnd w:id="967"/>
      <w:bookmarkEnd w:id="968"/>
      <w:bookmarkEnd w:id="969"/>
      <w:bookmarkEnd w:id="970"/>
      <w:bookmarkEnd w:id="971"/>
    </w:p>
    <w:tbl>
      <w:tblPr>
        <w:tblW w:w="5177" w:type="dxa"/>
        <w:jc w:val="left"/>
        <w:tblInd w:w="0" w:type="dxa"/>
        <w:tblLayout w:type="fixed"/>
        <w:tblCellMar>
          <w:top w:w="0" w:type="dxa"/>
          <w:left w:w="0" w:type="dxa"/>
          <w:bottom w:w="0" w:type="dxa"/>
          <w:right w:w="0" w:type="dxa"/>
        </w:tblCellMar>
      </w:tblPr>
      <w:tblGrid>
        <w:gridCol w:w="271"/>
        <w:gridCol w:w="490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49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Strategic Alliance with Allseas Group S. A. and Affiliates</w:t>
            </w:r>
          </w:p>
        </w:tc>
      </w:tr>
    </w:tbl>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Development of Project Zero Offshore Nodule Collection System</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16, 2022, NORI and Allseas Group S.A. (“Allseas”) entered into a non-binding term sheet for the development and operation of a commercial nodule collection system. For the year ended December 31, 2025, Allseas provided the Company with engineering, project management and vessel use services consisting of lay-up costs totaling $5.0 million, as part of the development of the commercial nodule collection system. These costs were recorded as mining, technological and process development within exploration and evaluation expenses (Note 11) (2024: $11.9 million).</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Exclusive Vessel Use Agreement with Allseas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August 1, 2023, the Company entered into an Exclusive Vessel Use Agreement with Allseas pursuant to which Allseas will give exclusive use of the vessel (“</w:t>
      </w:r>
      <w:r>
        <w:rPr>
          <w:rFonts w:ascii="Times New Roman;Times;serif" w:hAnsi="Times New Roman;Times;serif"/>
          <w:i/>
          <w:sz w:val="20"/>
        </w:rPr>
        <w:t>Hidden Gem”)</w:t>
      </w:r>
      <w:r>
        <w:rPr>
          <w:rFonts w:ascii="Times New Roman;Times;serif" w:hAnsi="Times New Roman;Times;serif"/>
          <w:sz w:val="20"/>
        </w:rPr>
        <w:t xml:space="preserve"> to the Company in support of the development of a commercial nodule collection system until the system is completed or December 31, 2026, whichever is earlier. In consideration of the exclusivity term, the Company, on August 14, 2023, issued 4.15 million common shares to Allseas. Allseas can terminate the agreement if the Company ceases normal operations, assigns assets to creditors, initiates bankruptcy proceedings, or faces unresolved bankruptcy-related 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recorded a </w:t>
      </w:r>
      <w:r>
        <w:rPr>
          <w:rFonts w:ascii="Times New Roman;Times;serif" w:hAnsi="Times New Roman;Times;serif"/>
          <w:b w:val="false"/>
          <w:i w:val="false"/>
          <w:caps w:val="false"/>
          <w:smallCaps w:val="false"/>
          <w:sz w:val="20"/>
        </w:rPr>
        <w:t>lease liability</w:t>
      </w:r>
      <w:r>
        <w:rPr>
          <w:rFonts w:ascii="Times New Roman;Times;serif" w:hAnsi="Times New Roman;Times;serif"/>
          <w:sz w:val="20"/>
        </w:rPr>
        <w:t xml:space="preserve"> and right-of-use asset of $6.5 million, which represents the fair value of 4.15 million common shares issued to Allseas on August 14, 2023, as consideration, and equal to the present value of the lease payments. The entire lease liability was settled within 14 days of the commencement of the lease and the discount rate for calculating the present value of lease payments was determined to be insignificant.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 ended December 31, 2025, the Company has recognized $1.9 million as lease expense recorded as exploration and evaluation expense (December 31, 2024: $1.9 million).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at December 31, 2025, the net amount of right-of-use asset was as follows:</w:t>
      </w:r>
    </w:p>
    <w:p>
      <w:pPr>
        <w:pStyle w:val="TextBody"/>
        <w:bidi w:val="0"/>
        <w:spacing w:before="0" w:after="0"/>
        <w:ind w:left="0" w:right="0" w:hanging="0"/>
        <w:jc w:val="left"/>
        <w:rPr/>
      </w:pPr>
      <w:r>
        <w:rPr/>
        <w:t>​</w:t>
      </w:r>
    </w:p>
    <w:tbl>
      <w:tblPr>
        <w:tblW w:w="4728" w:type="dxa"/>
        <w:jc w:val="left"/>
        <w:tblInd w:w="0" w:type="dxa"/>
        <w:tblLayout w:type="fixed"/>
        <w:tblCellMar>
          <w:top w:w="0" w:type="dxa"/>
          <w:left w:w="0" w:type="dxa"/>
          <w:bottom w:w="0" w:type="dxa"/>
          <w:right w:w="0" w:type="dxa"/>
        </w:tblCellMar>
      </w:tblPr>
      <w:tblGrid>
        <w:gridCol w:w="2911"/>
        <w:gridCol w:w="346"/>
        <w:gridCol w:w="349"/>
        <w:gridCol w:w="1122"/>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848485" cy="175260"/>
                      <wp:effectExtent l="0" t="0" r="0" b="0"/>
                      <wp:wrapNone/>
                      <wp:docPr id="191" name="Frame169"/>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2"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1615" cy="175260"/>
                      <wp:effectExtent l="0" t="0" r="0" b="0"/>
                      <wp:wrapNone/>
                      <wp:docPr id="193" name="Frame17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12470" cy="175260"/>
                      <wp:effectExtent l="0" t="0" r="0" b="0"/>
                      <wp:wrapNone/>
                      <wp:docPr id="194" name="Frame172"/>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Right-of-use Asset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5,721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during the year</w:t>
            </w:r>
          </w:p>
        </w:tc>
        <w:tc>
          <w:tcPr>
            <w:tcW w:w="34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during the year</w:t>
            </w:r>
          </w:p>
        </w:tc>
        <w:tc>
          <w:tcPr>
            <w:tcW w:w="346" w:type="dxa"/>
            <w:tcBorders/>
            <w:vAlign w:val="center"/>
          </w:tcPr>
          <w:p>
            <w:pPr>
              <w:pStyle w:val="TableContents"/>
              <w:bidi w:val="0"/>
              <w:spacing w:before="0" w:after="0"/>
              <w:ind w:left="0" w:right="0" w:hanging="0"/>
              <w:jc w:val="left"/>
              <w:rPr/>
            </w:pPr>
            <w:r>
              <w:rPr/>
              <w:t>​</w:t>
            </w:r>
          </w:p>
        </w:tc>
        <w:tc>
          <w:tcPr>
            <w:tcW w:w="3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12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1,907</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2023 Credit Facility and Loan Agreements with Company Related to Allseas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22, 2023, the Company entered into an Unsecured Credit Facility Agreement, which was amended on July 31, 2023 (“2023 Credit Facility”), with Argentum Cedit Virtuti GCV (the “Lender”), the parent of Allseas Investments S.A. (“Allseas Investments”) and an affiliate of Allseas, pursuant to which, the Company could borrow from the Lender up to $25 million in the aggregate, from time to time, subject to certain conditions. All amounts drawn under the 2023 Credit Facility bore interest based on the 6-month Secured Overnight Financing Rate, 180-day average plus a margin of 4.0% per annum payable in cash semi-annually (or plus a margin of 5% if paid-in-kind at maturity, at the Company’s election) on the first business day of each of June and January. The Company had to pay an underutilization fee equal to 4.0% per annum payable semi-annually for any amounts that remained undrawn under the 2023 Credit Facility. The Company had the ability to settle certain charges under the 2023 Credit Facility in cash or in equity at the discretion of the Company. The 2023 Credit Facility also contained customary events of default.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24, 2025, the Company entered into a Letter Agreement with the Lender, pursuant to which the 2023 Credit Facility was cancelled with the only obligation remaining being the underutilization fees amounting to $2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did not draw down any amount from the 2023 Credit Facility (December 31, 2024 - $nil) and incurred $0.2 million as underutilization fees (December 31, 2024: $1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September 9, 2024, the Company entered into a working capital loan agreement (the “Working Capital Loan Agreement”) with Allseas Investments, a company related to Allseas, and on the next day received initial principal amount of $5 million (“Working Capital Loan”). Pursuant to an amendment dated October 18, 2024, the agreement was amended to increase the loan amount to $7.5 million, reflecting an additional $2.5 million draw. The Working Capital Loan was payable to Allseas Investments on or before the earlier of (i) the occurrence of certain financing events and (ii) April 1, 2025 (the “Repayment Date”). The Working Capital Loan bore interest based on the 6-month Secured Overnight Financing Rate, 180-day average plus a margin of 4.0% per annum and was payable in two installments on January 2, 2025, and the Repayment Date (or plus a margin of 5.0% if all interest payments are deferred to the Repayment Date, at the Company’s election). On March 24, 2025, the Company entered into a Letter Agreement with Allseas Investments, pursuant to which the Repayment Date under the Working Capital Loan Agreement was extended to September 30, 2025, with principal and interest repayable on that date.</w:t>
      </w:r>
    </w:p>
    <w:p>
      <w:pPr>
        <w:pStyle w:val="TextBody"/>
        <w:bidi w:val="0"/>
        <w:spacing w:before="0" w:after="0"/>
        <w:ind w:left="360" w:right="0" w:hanging="0"/>
        <w:jc w:val="both"/>
        <w:rPr>
          <w:rFonts w:ascii="Times New Roman;Times;serif" w:hAnsi="Times New Roman;Times;serif"/>
          <w:b/>
          <w:sz w:val="20"/>
        </w:rPr>
      </w:pPr>
      <w:r>
        <w:rPr>
          <w:rFonts w:ascii="Times New Roman;Times;serif" w:hAnsi="Times New Roman;Times;serif"/>
          <w:b w:val="false"/>
          <w:sz w:val="20"/>
        </w:rPr>
        <w:t>On June 4, 2025, the Company repaid the outstanding loan principal and interest, amounting to $7.5</w:t>
      </w:r>
      <w:r>
        <w:rPr>
          <w:rFonts w:ascii="Times New Roman;Times;serif" w:hAnsi="Times New Roman;Times;serif"/>
          <w:b/>
          <w:sz w:val="20"/>
        </w:rPr>
        <w:t xml:space="preserve"> </w:t>
      </w:r>
      <w:r>
        <w:rPr>
          <w:rFonts w:ascii="Times New Roman;Times;serif" w:hAnsi="Times New Roman;Times;serif"/>
          <w:b w:val="false"/>
          <w:sz w:val="20"/>
        </w:rPr>
        <w:t>million and $0.5</w:t>
      </w:r>
      <w:r>
        <w:rPr>
          <w:rFonts w:ascii="Times New Roman;Times;serif" w:hAnsi="Times New Roman;Times;serif"/>
          <w:b/>
          <w:sz w:val="20"/>
        </w:rPr>
        <w:t xml:space="preserve"> </w:t>
      </w:r>
      <w:r>
        <w:rPr>
          <w:rFonts w:ascii="Times New Roman;Times;serif" w:hAnsi="Times New Roman;Times;serif"/>
          <w:b w:val="false"/>
          <w:sz w:val="20"/>
        </w:rPr>
        <w:t>million, respectively, thereby cancelling the Working Capital Loan Agreement. For the year ended December 31, 2025, the Company incurred $0.3</w:t>
      </w:r>
      <w:r>
        <w:rPr>
          <w:rFonts w:ascii="Times New Roman;Times;serif" w:hAnsi="Times New Roman;Times;serif"/>
          <w:b/>
          <w:sz w:val="20"/>
        </w:rPr>
        <w:t xml:space="preserve"> </w:t>
      </w:r>
      <w:r>
        <w:rPr>
          <w:rFonts w:ascii="Times New Roman;Times;serif" w:hAnsi="Times New Roman;Times;serif"/>
          <w:b w:val="false"/>
          <w:sz w:val="20"/>
        </w:rPr>
        <w:t>million as interest expense (December 31, 2024: $0.2</w:t>
      </w:r>
      <w:r>
        <w:rPr>
          <w:rFonts w:ascii="Times New Roman;Times;serif" w:hAnsi="Times New Roman;Times;serif"/>
          <w:b/>
          <w:sz w:val="20"/>
        </w:rPr>
        <w:t xml:space="preserve"> </w:t>
      </w:r>
      <w:r>
        <w:rPr>
          <w:rFonts w:ascii="Times New Roman;Times;serif" w:hAnsi="Times New Roman;Times;serif"/>
          <w:b w:val="false"/>
          <w:sz w:val="20"/>
        </w:rPr>
        <w:t>million).</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Activity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May 12, 2025, the Company entered into a securities purchase agreement with Allseas (Note 14) pursuant to which the Company issued 2,333,333 common shares of the Company, and 2,333,333 Class C Warrants to Allseas in exchange for gross proceeds of $7 million.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at December 31, 2025, the total amount payable to Allseas and its affiliates was $34.2 million of which $32.2 million related to the development of the nodule collection system and $2 million related to the underutilization fees payable on the 2023 Credit facility. These amounts were recorded in accrued liabilities in the consolidated balance sheet which can be settled in cash or equity at the Company’s discretion (Note 13) (December 31, 2024: $33.3 million, of which $25.8 recorded as accrued liabilities and $7.5 million recorded as short-term debt). As at December 31, 2025, Allseas and its affiliates owned 56.1 million common shares of the Company (2024: 53.8 million TMC common shares) which constituted 13.3% (December 31, 2024: 15.8%) of total common shares outstanding.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Investments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21, 2023 (the “Closing Date”), the Company and its wholly-owned subsidiary, NORI, entered into an investment agreement (the “Royalty Agreement”) with Low Carbon Royalties Inc. (“Low Carbon Royalties”). In connection with the Royalty Agreement, NORI contributed a 2% gross overriding royalty (the “NORI Royalty”) (Note 10) on the Company’s NORI project area in the CCZ to Low Carbon Royalties. In consideration of the NORI Royalty, TMC received an ownership in Low Carbon Royalties and $5 million in cash, as of the Closing Date. In connection with the Royalty Agreement the Company entered into an Investor Rights Agreement with Low Carbon Royalties and a shareholder of Low Carbon Royalties, pursuant to which the Company and this shareholder each have a right, subject to certain percentage maintenance, to nominate a director to Low Carbon Royalties’ board of directors, along with registration and information rights. Based on the fair value of the NORI Royalty granted and the cash received, the Company recorded $9 million as investment in Low Carbon Royalties on the Closing Date. In the third quarter of 2025, Low Carbon Royalties changed its name to The Metals Royalty Company Inc. (“The Metals Royalty Company”) and formed 1554997 B.C. Ltd.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 condition of closing the Royalty Agreement, the parties entered into an agreement with Low Carbon Royalties to mitigate risks associated with the potential termination of the exploitation license granted for one of the royalty-producing natural gas fields in Latin America (the “Exploitation License”). As per the agreement, 5 million contingent value rights (“CVR”) were issued to NORI. The CVR would convert into 5 million additional shares of Low Carbon Royalties all of which would be issued to NORI, in the event the Exploitation License is found, in a final decision, to be invalid by the Colombian National Agency of Hydrocarbons prior to the earlier of (1) five years from the issuance of the CVR and (2) the date Low Carbon Royalties becomes a publicly listed entity.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2025, The Metals Royalty Company issued 3,443,699 common shares against stock option exercise and 4,569,770 common shares through various private placement, raising $25.0 million of gross proceeds. The Company did not participate in the offering, which reduced its ownership interest from 32.27% to 27.2%. (December 31, 2024: 32.27%). As the shares were issued at a price higher than The Metals Royalty Company’s book value per share, the Company recorded a dilution gain of $5.6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the fourth quarter of 2025, The Metals Royalty Company transferred its oil and gas royalty assets to 1554997 B.C. Ltd. in exchange for shares of 1554997 B.C. Ltd (“Spin-Out transaction’). The Metals Royalty Company subsequently distributed the shares of 1554997 B.C. Ltd. to its existing shareholders as a return of capital on a one-for-one basis for each common share of The Metals Royalty Company, resulting in The Metals Royalty Company retaining no ownership interest in 1554997 B.C. Ltd. Following the Spin-Out transaction, the Company recognized its investment in 1554997 B.C. Ltd. at its proportionate share (27.2%) of the fair value of the net assets transferred. Following completion of the Spin-Out transaction, the Company evaluated its investment in 1554997 B.C. Ltd. under ASC 810, “</w:t>
      </w:r>
      <w:r>
        <w:rPr>
          <w:rFonts w:ascii="Times New Roman;Times;serif" w:hAnsi="Times New Roman;Times;serif"/>
          <w:i/>
          <w:sz w:val="20"/>
        </w:rPr>
        <w:t>Consolidation”</w:t>
      </w:r>
      <w:r>
        <w:rPr>
          <w:rFonts w:ascii="Times New Roman;Times;serif" w:hAnsi="Times New Roman;Times;serif"/>
          <w:sz w:val="20"/>
        </w:rPr>
        <w:t xml:space="preserve"> and concluded that consolidation was not required as the Company does not have a controlling financial interest in 1554997 B.C. Ltd. The Company holds 27.2% ownership interest and has representation on the board of directors of 1554997 B.C. Ltd., providing the Company with the ability to exercise significant influence over 1554997 B.C. Ltd.’s operating and financial policies. Accordingly, the investment is accounted for under the equity method in accordance with ASC 323 (</w:t>
      </w:r>
      <w:r>
        <w:rPr>
          <w:rFonts w:ascii="Times New Roman;Times;serif" w:hAnsi="Times New Roman;Times;serif"/>
          <w:i/>
          <w:sz w:val="20"/>
        </w:rPr>
        <w:t>Investments</w:t>
      </w:r>
      <w:r>
        <w:rPr>
          <w:rFonts w:ascii="Times New Roman;Times;serif" w:hAnsi="Times New Roman;Times;serif"/>
          <w:sz w:val="20"/>
        </w:rPr>
        <w:t>). As the financial information of 1554997 B.C. Ltd. is not available on a timely basis, the Company records its share of the results in 1554997 B.C. Ltd on a one-quarter reporting lag.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The Metals Royalty Company had 872,250 stock options and 1,569,000 restricted share units outstanding, the settlement of which may significantly affect the Company’s share of reported earnings or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972" w:name="Tc_g3mjkxkjF0euPUUk3sBCIA_13_2"/>
      <w:bookmarkStart w:id="973" w:name="Tc_k9je2asJyUyiDPLuxeVo-w_13_0"/>
      <w:bookmarkStart w:id="974" w:name="Tc_K7wKX8TkDkObUzu0x3Hmrg_12_0"/>
      <w:bookmarkStart w:id="975" w:name="Tc_GFK9ENdKFU63GuB33PMWMw_11_2"/>
      <w:bookmarkStart w:id="976" w:name="Tc_gbfa6m0sWE-nwtMA_uP1Fw_11_0"/>
      <w:bookmarkStart w:id="977" w:name="Tc_4ta9gjrd7kSrhVq_RYdjrQ_10_5"/>
      <w:bookmarkStart w:id="978" w:name="Tc_hmQ64Hld2UC-zwddP980-g_10_2"/>
      <w:bookmarkStart w:id="979" w:name="Tc_MnRaSF_zJkm693pTXkhGTw_9_5"/>
      <w:bookmarkStart w:id="980" w:name="Tc_mUOyU2et80mWD1q3igCAyQ_9_2"/>
      <w:bookmarkStart w:id="981" w:name="Tc_WlHrAh8S7UirxistNoZqJw_8_2"/>
      <w:bookmarkStart w:id="982" w:name="Tc_lGpEVm_nlUq6uRoziLksAA_6_6"/>
      <w:bookmarkStart w:id="983" w:name="Tc_0RQJEu-bJ0qFwU4kSTVZ6w_6_0"/>
      <w:bookmarkStart w:id="984" w:name="Tc_dNGJiOjMFk6FhmvSDJPLrg_5_0"/>
      <w:bookmarkStart w:id="985" w:name="Tc_DGAr1edOckGXD8f-in3uaA_4_2"/>
      <w:bookmarkStart w:id="986" w:name="Tc_U4CWk80So0aNoW3Fuz2lDA_4_0"/>
      <w:bookmarkStart w:id="987" w:name="Tc_7BCUJKE68Eq3pKtIcj9CmQ_3_5"/>
      <w:bookmarkStart w:id="988" w:name="Tc_iPZUNUJsUkaDP1b4vF2KtQ_3_2"/>
      <w:bookmarkStart w:id="989" w:name="Tc_nhO2O_OqvkuHxonu3ULkPg_2_5"/>
      <w:bookmarkStart w:id="990" w:name="Tc_lyPJHMiv-k29ygBKezjLoQ_2_2"/>
      <w:bookmarkStart w:id="991" w:name="Tc_Yx-0ZMA07k-87Y8lYNN70A_1_5"/>
      <w:bookmarkStart w:id="992" w:name="Tc_5fypm1tdikeiXOKrMVKKNQ_1_2"/>
      <w:bookmarkStart w:id="993" w:name="Tc_yM2KXXlgXEKN-2-azQkN6g_10_2"/>
      <w:bookmarkStart w:id="994" w:name="Tc_UDKVhSouT0uWizwaC7ZpXQ_10_0"/>
      <w:bookmarkStart w:id="995" w:name="Tc_whR7p_AKekWDsBAnCuae1g_9_5"/>
      <w:bookmarkStart w:id="996" w:name="Tc_2WZKOj7l3UyEtPGiyYQuJg_9_0"/>
      <w:bookmarkStart w:id="997" w:name="Tc_HTGesCyeDUySR--UDVIxIA_8_5"/>
      <w:bookmarkStart w:id="998" w:name="Tc_lwmBiIRnfUOdHBVS5BgTZw_8_0"/>
      <w:bookmarkStart w:id="999" w:name="Tc_QNs6ED2ZCEmcryEtNA1pfA_7_0"/>
      <w:bookmarkStart w:id="1000" w:name="Tc_d4RoRqcG0EyuieYu9ueiXA_6_0"/>
      <w:bookmarkStart w:id="1001" w:name="Tc_MiQLQrDkK0-OWFACExhnAQ_5_5"/>
      <w:bookmarkStart w:id="1002" w:name="Tc_aa6LBiKMCkO2VXUw5WB7bg_5_2"/>
      <w:bookmarkStart w:id="1003" w:name="Tc_c0Qq5C48bES2pA7VEhmz9A_5_0"/>
      <w:bookmarkStart w:id="1004" w:name="Tc_P-Kk-LLX-k-nIzoSgzz6IA_4_5"/>
      <w:bookmarkStart w:id="1005" w:name="Tc_Q_UJcxeBDk-PcZjGZA2gqA_4_0"/>
      <w:bookmarkStart w:id="1006" w:name="Tc_LhvXPlPBPk2spy_O0zcdGg_3_5"/>
      <w:bookmarkStart w:id="1007" w:name="Tc_IfZaQe5Z5ECL6pON7c_VEA_3_2"/>
      <w:bookmarkStart w:id="1008" w:name="Tc_XhDXdY58XUmeUDMm8WokzQ_3_0"/>
      <w:bookmarkStart w:id="1009" w:name="Tc_zzkgzuPP80qhiByeo4GVKg_2_5"/>
      <w:bookmarkStart w:id="1010" w:name="Tc_DJVovbPsBUCAx1CfitVicg_2_2"/>
      <w:bookmarkStart w:id="1011" w:name="Tc_RoZ0c4wTDUi1e9zIJO2PGA_1_5"/>
      <w:bookmarkStart w:id="1012" w:name="Tc_-XwTMTMDSkiFjQAhXnY-8g_1_2"/>
      <w:bookmarkStart w:id="1013" w:name="_17873644_5d5e_46c7_ac17_2b16dfd1ff03"/>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rPr>
          <w:rFonts w:ascii="Times New Roman;Times;serif" w:hAnsi="Times New Roman;Times;serif"/>
          <w:sz w:val="20"/>
        </w:rPr>
        <w:t>The below table summarizes the changes in the Company’s investments during the year:</w:t>
      </w:r>
    </w:p>
    <w:p>
      <w:pPr>
        <w:pStyle w:val="TextBody"/>
        <w:bidi w:val="0"/>
        <w:spacing w:before="0" w:after="0"/>
        <w:ind w:left="0" w:right="0" w:hanging="0"/>
        <w:jc w:val="left"/>
        <w:rPr/>
      </w:pPr>
      <w:r>
        <w:rPr/>
        <w:t>​</w:t>
      </w:r>
    </w:p>
    <w:tbl>
      <w:tblPr>
        <w:tblW w:w="8054" w:type="dxa"/>
        <w:jc w:val="left"/>
        <w:tblInd w:w="0" w:type="dxa"/>
        <w:tblLayout w:type="fixed"/>
        <w:tblCellMar>
          <w:top w:w="0" w:type="dxa"/>
          <w:left w:w="0" w:type="dxa"/>
          <w:bottom w:w="0" w:type="dxa"/>
          <w:right w:w="0" w:type="dxa"/>
        </w:tblCellMar>
      </w:tblPr>
      <w:tblGrid>
        <w:gridCol w:w="4891"/>
        <w:gridCol w:w="346"/>
        <w:gridCol w:w="358"/>
        <w:gridCol w:w="1172"/>
        <w:gridCol w:w="146"/>
        <w:gridCol w:w="1141"/>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105785" cy="175260"/>
                      <wp:effectExtent l="0" t="0" r="0" b="0"/>
                      <wp:wrapNone/>
                      <wp:docPr id="195" name="Frame173"/>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6"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27330" cy="175260"/>
                      <wp:effectExtent l="0" t="0" r="0" b="0"/>
                      <wp:wrapNone/>
                      <wp:docPr id="197" name="Frame175"/>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44220" cy="175260"/>
                      <wp:effectExtent l="0" t="0" r="0" b="0"/>
                      <wp:wrapNone/>
                      <wp:docPr id="198" name="Frame176"/>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2710" cy="175260"/>
                      <wp:effectExtent l="0" t="0" r="0" b="0"/>
                      <wp:wrapNone/>
                      <wp:docPr id="199" name="Frame1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24535" cy="175260"/>
                      <wp:effectExtent l="0" t="0" r="0" b="0"/>
                      <wp:wrapNone/>
                      <wp:docPr id="200" name="Frame17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The Metals Royalty</w:t>
            </w:r>
          </w:p>
        </w:tc>
        <w:tc>
          <w:tcPr>
            <w:tcW w:w="1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1554997 B.C.</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Company</w:t>
            </w:r>
          </w:p>
        </w:tc>
        <w:tc>
          <w:tcPr>
            <w:tcW w:w="14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Ltd.</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 as at December 31, 2023 </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w:t>
            </w:r>
          </w:p>
        </w:tc>
        <w:tc>
          <w:tcPr>
            <w:tcW w:w="1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for the year ended 2024</w:t>
            </w:r>
          </w:p>
        </w:tc>
        <w:tc>
          <w:tcPr>
            <w:tcW w:w="346" w:type="dxa"/>
            <w:tcBorders/>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1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8,203</w:t>
            </w:r>
          </w:p>
        </w:tc>
        <w:tc>
          <w:tcPr>
            <w:tcW w:w="1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Spin-Out transaction</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c>
          <w:tcPr>
            <w:tcW w:w="1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r>
      <w:tr>
        <w:trPr/>
        <w:tc>
          <w:tcPr>
            <w:tcW w:w="48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Return of capital</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1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Dilution gain</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5,649</w:t>
            </w:r>
          </w:p>
        </w:tc>
        <w:tc>
          <w:tcPr>
            <w:tcW w:w="1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gain for the year ended 2025</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1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December 31, 2025</w:t>
            </w:r>
          </w:p>
        </w:tc>
        <w:tc>
          <w:tcPr>
            <w:tcW w:w="346" w:type="dxa"/>
            <w:tcBorders/>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10,054</w:t>
            </w:r>
          </w:p>
        </w:tc>
        <w:tc>
          <w:tcPr>
            <w:tcW w:w="1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3,393</w:t>
            </w:r>
          </w:p>
        </w:tc>
      </w:tr>
    </w:tbl>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2025, both investees declared and paid a return of capital of $0.025</w:t>
            </w:r>
            <w:r>
              <w:rPr>
                <w:caps w:val="false"/>
                <w:smallCaps w:val="false"/>
              </w:rPr>
              <w:t xml:space="preserve"> </w:t>
            </w:r>
            <w:r>
              <w:rPr>
                <w:rFonts w:ascii="Times New Roman;Times;serif" w:hAnsi="Times New Roman;Times;serif"/>
                <w:b w:val="false"/>
                <w:i w:val="false"/>
                <w:caps w:val="false"/>
                <w:smallCaps w:val="false"/>
                <w:sz w:val="20"/>
              </w:rPr>
              <w:t>per share</w:t>
            </w:r>
            <w:r>
              <w:rPr>
                <w:caps w:val="false"/>
                <w:smallCaps w:val="false"/>
              </w:rPr>
              <w:t xml:space="preserve"> </w:t>
            </w:r>
            <w:r>
              <w:rPr>
                <w:rFonts w:ascii="Times New Roman;Times;serif" w:hAnsi="Times New Roman;Times;serif"/>
                <w:b w:val="false"/>
                <w:i w:val="false"/>
                <w:caps w:val="false"/>
                <w:smallCaps w:val="false"/>
                <w:sz w:val="20"/>
              </w:rPr>
              <w:t>with the Company’s share of return of capital amounting to $0.3</w:t>
            </w:r>
            <w:r>
              <w:rPr>
                <w:caps w:val="false"/>
                <w:smallCaps w:val="false"/>
              </w:rPr>
              <w:t xml:space="preserve"> </w:t>
            </w:r>
            <w:r>
              <w:rPr>
                <w:rFonts w:ascii="Times New Roman;Times;serif" w:hAnsi="Times New Roman;Times;serif"/>
                <w:b w:val="false"/>
                <w:i w:val="false"/>
                <w:caps w:val="false"/>
                <w:smallCaps w:val="false"/>
                <w:sz w:val="20"/>
              </w:rPr>
              <w:t>million from each</w:t>
            </w:r>
            <w:r>
              <w:rPr>
                <w:caps w:val="false"/>
                <w:smallCaps w:val="false"/>
              </w:rPr>
              <w:t xml:space="preserve"> </w:t>
            </w:r>
            <w:r>
              <w:rPr>
                <w:rFonts w:ascii="Times New Roman;Times;serif" w:hAnsi="Times New Roman;Times;serif"/>
                <w:b w:val="false"/>
                <w:i w:val="false"/>
                <w:caps w:val="false"/>
                <w:smallCaps w:val="false"/>
                <w:sz w:val="20"/>
              </w:rPr>
              <w:t>investee.</w:t>
            </w:r>
          </w:p>
        </w:tc>
      </w:tr>
    </w:tbl>
    <w:p>
      <w:pPr>
        <w:pStyle w:val="TextBody"/>
        <w:bidi w:val="0"/>
        <w:spacing w:before="0" w:after="0"/>
        <w:ind w:left="36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Financial results of The Metals Royalty Company at and for the years ended December 31, 2025 and 2024 are summarized below:</w:t>
      </w:r>
    </w:p>
    <w:p>
      <w:pPr>
        <w:pStyle w:val="TextBody"/>
        <w:bidi w:val="0"/>
        <w:spacing w:before="0" w:after="0"/>
        <w:ind w:left="0" w:right="0" w:hanging="0"/>
        <w:jc w:val="left"/>
        <w:rPr/>
      </w:pPr>
      <w:r>
        <w:rPr/>
        <w:t>​</w:t>
      </w:r>
    </w:p>
    <w:tbl>
      <w:tblPr>
        <w:tblW w:w="5763" w:type="dxa"/>
        <w:jc w:val="left"/>
        <w:tblInd w:w="0" w:type="dxa"/>
        <w:tblLayout w:type="fixed"/>
        <w:tblCellMar>
          <w:top w:w="0" w:type="dxa"/>
          <w:left w:w="0" w:type="dxa"/>
          <w:bottom w:w="0" w:type="dxa"/>
          <w:right w:w="0" w:type="dxa"/>
        </w:tblCellMar>
      </w:tblPr>
      <w:tblGrid>
        <w:gridCol w:w="2761"/>
        <w:gridCol w:w="346"/>
        <w:gridCol w:w="271"/>
        <w:gridCol w:w="869"/>
        <w:gridCol w:w="346"/>
        <w:gridCol w:w="152"/>
        <w:gridCol w:w="1018"/>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53235" cy="175260"/>
                      <wp:effectExtent l="0" t="0" r="0" b="0"/>
                      <wp:wrapNone/>
                      <wp:docPr id="201" name="Frame17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2"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72085" cy="175260"/>
                      <wp:effectExtent l="0" t="0" r="0" b="0"/>
                      <wp:wrapNone/>
                      <wp:docPr id="203" name="Frame18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51815" cy="175260"/>
                      <wp:effectExtent l="0" t="0" r="0" b="0"/>
                      <wp:wrapNone/>
                      <wp:docPr id="204" name="Frame18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5"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96520" cy="175260"/>
                      <wp:effectExtent l="0" t="0" r="0" b="0"/>
                      <wp:wrapNone/>
                      <wp:docPr id="206" name="Frame184"/>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6430" cy="175260"/>
                      <wp:effectExtent l="0" t="0" r="0" b="0"/>
                      <wp:wrapNone/>
                      <wp:docPr id="207" name="Frame185"/>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c>
          <w:tcPr>
            <w:tcW w:w="346" w:type="dxa"/>
            <w:tcBorders/>
            <w:vAlign w:val="center"/>
          </w:tcPr>
          <w:p>
            <w:pPr>
              <w:pStyle w:val="TableContents"/>
              <w:bidi w:val="0"/>
              <w:spacing w:before="0" w:after="0"/>
              <w:ind w:left="0" w:right="0" w:hanging="0"/>
              <w:jc w:val="center"/>
              <w:rPr/>
            </w:pPr>
            <w:r>
              <w:rPr/>
              <w:t>  ​ ​ ​</w:t>
            </w:r>
          </w:p>
        </w:tc>
        <w:tc>
          <w:tcPr>
            <w:tcW w:w="1170" w:type="dxa"/>
            <w:gridSpan w:val="2"/>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As at</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December 31, </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18,853</w:t>
            </w:r>
          </w:p>
        </w:tc>
        <w:tc>
          <w:tcPr>
            <w:tcW w:w="346"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14,095</w:t>
            </w:r>
          </w:p>
        </w:tc>
        <w:tc>
          <w:tcPr>
            <w:tcW w:w="346"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25,277</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1,763</w:t>
            </w:r>
          </w:p>
        </w:tc>
        <w:tc>
          <w:tcPr>
            <w:tcW w:w="346"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52"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center"/>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December 31, </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6,641</w:t>
            </w:r>
          </w:p>
        </w:tc>
        <w:tc>
          <w:tcPr>
            <w:tcW w:w="346"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6,777</w:t>
            </w:r>
          </w:p>
        </w:tc>
        <w:tc>
          <w:tcPr>
            <w:tcW w:w="346"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1,182</w:t>
            </w:r>
          </w:p>
        </w:tc>
        <w:tc>
          <w:tcPr>
            <w:tcW w:w="346"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Financial information for 1554997 B.C. Ltd. is not presented as the Company reports its share of results in this investment on a one-quarter reporting lag and the investment was acquired in the fourth quarter of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Royalty Liability</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The NORI Royalty (including Areas A to D) (Note 9) was recorded as a royalty liability in the consolidated Balance Sheet in accordance with ASC 470, </w:t>
      </w:r>
      <w:r>
        <w:rPr>
          <w:rFonts w:ascii="Times New Roman;Times;serif" w:hAnsi="Times New Roman;Times;serif"/>
          <w:i/>
          <w:sz w:val="20"/>
        </w:rPr>
        <w:t>Debt</w:t>
      </w:r>
      <w:r>
        <w:rPr>
          <w:rFonts w:ascii="Times New Roman;Times;serif" w:hAnsi="Times New Roman;Times;serif"/>
          <w:sz w:val="20"/>
        </w:rPr>
        <w:t>. The Company elected to account for the royalty liability at fair value through profit and loss. The fair value of Areas A to C was determined using a market approach which entails examining recent royalty transactions prior to the reporting date, focusing on those transactions that involve similar metals as contained in NORI’s polymetallic nodules. The Company compared the specific characteristics of these transactions and estimated the fair value for Areas A to C at $15 million as at December 31, 2025. The fair value of Area D was determined using an income approach following the Company’s completion and release of its PFS with respect to NORI Area D filed in August 2025 resulting with a fair value for Area D of $130 million as at December 31, 2025. The discounted cash flow fair value reflects updated operational and economic assumptions, including the use of forward metal prices and a discount rate of approximately 10.6%, related to the NORI Area D project used in support of the PFS.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bookmarkStart w:id="1014" w:name="Tc_pAkbeLAonU28rMY3G5Sj8A_4_2"/>
      <w:bookmarkStart w:id="1015" w:name="Tc_JT38Jxcm7kG5jjHzuLbiDA_4_0"/>
      <w:bookmarkStart w:id="1016" w:name="Tc_p6wNLwZz1k-_hLOiVUXEZQ_3_0"/>
      <w:bookmarkStart w:id="1017" w:name="Tc_IjOcibbVYUWS-GyztDjSxg_2_2"/>
      <w:bookmarkStart w:id="1018" w:name="Tc_7w8vE5rnR0aKF0zz7VMgWA_2_0"/>
      <w:bookmarkStart w:id="1019" w:name="Tc_GIvn-6HQWkKxDHtzzwWEGQ_1_2"/>
      <w:bookmarkEnd w:id="1014"/>
      <w:bookmarkEnd w:id="1015"/>
      <w:bookmarkEnd w:id="1016"/>
      <w:bookmarkEnd w:id="1017"/>
      <w:bookmarkEnd w:id="1018"/>
      <w:bookmarkEnd w:id="1019"/>
      <w:r>
        <w:rPr>
          <w:rFonts w:ascii="Times New Roman;Times;serif" w:hAnsi="Times New Roman;Times;serif"/>
          <w:sz w:val="20"/>
        </w:rPr>
        <w:t>The following table presents the changes in the fair value of the royalty liability:</w:t>
      </w:r>
    </w:p>
    <w:p>
      <w:pPr>
        <w:pStyle w:val="TextBody"/>
        <w:bidi w:val="0"/>
        <w:spacing w:before="0" w:after="0"/>
        <w:ind w:left="0" w:right="0" w:hanging="0"/>
        <w:jc w:val="left"/>
        <w:rPr/>
      </w:pPr>
      <w:r>
        <w:rPr/>
        <w:t>​</w:t>
      </w:r>
    </w:p>
    <w:tbl>
      <w:tblPr>
        <w:tblW w:w="5357" w:type="dxa"/>
        <w:jc w:val="left"/>
        <w:tblInd w:w="0" w:type="dxa"/>
        <w:tblLayout w:type="fixed"/>
        <w:tblCellMar>
          <w:top w:w="0" w:type="dxa"/>
          <w:left w:w="0" w:type="dxa"/>
          <w:bottom w:w="0" w:type="dxa"/>
          <w:right w:w="0" w:type="dxa"/>
        </w:tblCellMar>
      </w:tblPr>
      <w:tblGrid>
        <w:gridCol w:w="3616"/>
        <w:gridCol w:w="346"/>
        <w:gridCol w:w="268"/>
        <w:gridCol w:w="1127"/>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296160" cy="175260"/>
                      <wp:effectExtent l="0" t="0" r="0" b="0"/>
                      <wp:wrapNone/>
                      <wp:docPr id="208" name="Frame186"/>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09"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70180" cy="175260"/>
                      <wp:effectExtent l="0" t="0" r="0" b="0"/>
                      <wp:wrapNone/>
                      <wp:docPr id="210" name="Frame188"/>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15645" cy="175260"/>
                      <wp:effectExtent l="0" t="0" r="0" b="0"/>
                      <wp:wrapNone/>
                      <wp:docPr id="211" name="Frame189"/>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Royalty Liability</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liability as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fair value of royalty liability</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Royalty liability as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145,000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20" w:name="Tc_UPzlnw0yKEO7sK4XtmVbuA_8_11"/>
      <w:bookmarkStart w:id="1021" w:name="Tc_dOahilARQkST0PuMBuWGPg_8_9"/>
      <w:bookmarkStart w:id="1022" w:name="Tc_gbcn_5ijYECGUxgWjxlaRA_8_8"/>
      <w:bookmarkStart w:id="1023" w:name="Tc_H4acJfIFAkapN7FTgTrwUg_8_5"/>
      <w:bookmarkStart w:id="1024" w:name="Tc_NEbaEHYFMkO7mue6WK0New_8_2"/>
      <w:bookmarkStart w:id="1025" w:name="Tc_Pxf0nBRusUejqzWW9S9_IA_8_0"/>
      <w:bookmarkStart w:id="1026" w:name="Tc_1BnUhUZJikOW-uRKU2Gddw_7_0"/>
      <w:bookmarkStart w:id="1027" w:name="Tc_KxyWyyFiSky8Hu9oWfCAZg_6_11"/>
      <w:bookmarkStart w:id="1028" w:name="Tc_3dp_rfGWUkmevdDVBeP7vw_6_9"/>
      <w:bookmarkStart w:id="1029" w:name="Tc_LR26AP-qC0CkJ09R2n4ZaQ_6_8"/>
      <w:bookmarkStart w:id="1030" w:name="Tc_mYi5zWbiqkCtvDZVtDbOzA_6_5"/>
      <w:bookmarkStart w:id="1031" w:name="Tc_lS1NF2nWsU213zdThGJlaA_6_2"/>
      <w:bookmarkStart w:id="1032" w:name="Tc_QXOcy0Uta0u05KNIlSrWQw_6_0"/>
      <w:bookmarkStart w:id="1033" w:name="Tc_NUnkRdMCNUCy8DVRgb2xxQ_5_0"/>
      <w:bookmarkStart w:id="1034" w:name="Tc_4U2GaLdzWUiT3xMVE3XUaQ_4_11"/>
      <w:bookmarkStart w:id="1035" w:name="Tc_8VfFMsKaVEmRIX11fcLIoA_4_8"/>
      <w:bookmarkStart w:id="1036" w:name="Tc_tRQE2f0PZUGj-jnkhBHpVw_4_5"/>
      <w:bookmarkStart w:id="1037" w:name="Tc_OBbzVdVC0UKTnrUwH3IGZQ_4_2"/>
      <w:bookmarkStart w:id="1038" w:name="Tc_KI3d-pdUJkSKUh0-sDoV6g_4_0"/>
      <w:bookmarkStart w:id="1039" w:name="Tc_JpkKhozlEEKGtERkNyQKtw_3_11"/>
      <w:bookmarkStart w:id="1040" w:name="Tc_XKDDIu6WIUKI5IYEQMfMOg_3_8"/>
      <w:bookmarkStart w:id="1041" w:name="Tc_nOJflYDr4EK6ngWj78Lnhw_3_5"/>
      <w:bookmarkStart w:id="1042" w:name="Tc_78M1FalC6UWDIb6QtcCJFQ_3_2"/>
      <w:bookmarkStart w:id="1043" w:name="Tc_I4VOTrpFkkytab_NDCdf1g_2_8"/>
      <w:bookmarkStart w:id="1044" w:name="Tc_tNwpoCIoqECx550G_9MlqA_2_5"/>
      <w:bookmarkStart w:id="1045" w:name="Tc_WVn2jrk0ykO5V7bCbVtkDA_2_2"/>
      <w:bookmarkStart w:id="1046" w:name="Tc_r2GlJIrY-UCgBRpppGXQBQ_1_8"/>
      <w:bookmarkStart w:id="1047" w:name="Tc_UPzlnw0yKEO7sK4XtmVbuA_8_11"/>
      <w:bookmarkStart w:id="1048" w:name="Tc_dOahilARQkST0PuMBuWGPg_8_9"/>
      <w:bookmarkStart w:id="1049" w:name="Tc_gbcn_5ijYECGUxgWjxlaRA_8_8"/>
      <w:bookmarkStart w:id="1050" w:name="Tc_H4acJfIFAkapN7FTgTrwUg_8_5"/>
      <w:bookmarkStart w:id="1051" w:name="Tc_NEbaEHYFMkO7mue6WK0New_8_2"/>
      <w:bookmarkStart w:id="1052" w:name="Tc_Pxf0nBRusUejqzWW9S9_IA_8_0"/>
      <w:bookmarkStart w:id="1053" w:name="Tc_1BnUhUZJikOW-uRKU2Gddw_7_0"/>
      <w:bookmarkStart w:id="1054" w:name="Tc_KxyWyyFiSky8Hu9oWfCAZg_6_11"/>
      <w:bookmarkStart w:id="1055" w:name="Tc_3dp_rfGWUkmevdDVBeP7vw_6_9"/>
      <w:bookmarkStart w:id="1056" w:name="Tc_LR26AP-qC0CkJ09R2n4ZaQ_6_8"/>
      <w:bookmarkStart w:id="1057" w:name="Tc_mYi5zWbiqkCtvDZVtDbOzA_6_5"/>
      <w:bookmarkStart w:id="1058" w:name="Tc_lS1NF2nWsU213zdThGJlaA_6_2"/>
      <w:bookmarkStart w:id="1059" w:name="Tc_QXOcy0Uta0u05KNIlSrWQw_6_0"/>
      <w:bookmarkStart w:id="1060" w:name="Tc_NUnkRdMCNUCy8DVRgb2xxQ_5_0"/>
      <w:bookmarkStart w:id="1061" w:name="Tc_4U2GaLdzWUiT3xMVE3XUaQ_4_11"/>
      <w:bookmarkStart w:id="1062" w:name="Tc_8VfFMsKaVEmRIX11fcLIoA_4_8"/>
      <w:bookmarkStart w:id="1063" w:name="Tc_tRQE2f0PZUGj-jnkhBHpVw_4_5"/>
      <w:bookmarkStart w:id="1064" w:name="Tc_OBbzVdVC0UKTnrUwH3IGZQ_4_2"/>
      <w:bookmarkStart w:id="1065" w:name="Tc_KI3d-pdUJkSKUh0-sDoV6g_4_0"/>
      <w:bookmarkStart w:id="1066" w:name="Tc_JpkKhozlEEKGtERkNyQKtw_3_11"/>
      <w:bookmarkStart w:id="1067" w:name="Tc_XKDDIu6WIUKI5IYEQMfMOg_3_8"/>
      <w:bookmarkStart w:id="1068" w:name="Tc_nOJflYDr4EK6ngWj78Lnhw_3_5"/>
      <w:bookmarkStart w:id="1069" w:name="Tc_78M1FalC6UWDIb6QtcCJFQ_3_2"/>
      <w:bookmarkStart w:id="1070" w:name="Tc_I4VOTrpFkkytab_NDCdf1g_2_8"/>
      <w:bookmarkStart w:id="1071" w:name="Tc_tNwpoCIoqECx550G_9MlqA_2_5"/>
      <w:bookmarkStart w:id="1072" w:name="Tc_WVn2jrk0ykO5V7bCbVtkDA_2_2"/>
      <w:bookmarkStart w:id="1073" w:name="Tc_r2GlJIrY-UCgBRpppGXQBQ_1_8"/>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tbl>
      <w:tblPr>
        <w:tblW w:w="2117" w:type="dxa"/>
        <w:jc w:val="left"/>
        <w:tblInd w:w="0" w:type="dxa"/>
        <w:tblLayout w:type="fixed"/>
        <w:tblCellMar>
          <w:top w:w="0" w:type="dxa"/>
          <w:left w:w="0" w:type="dxa"/>
          <w:bottom w:w="0" w:type="dxa"/>
          <w:right w:w="0" w:type="dxa"/>
        </w:tblCellMar>
      </w:tblPr>
      <w:tblGrid>
        <w:gridCol w:w="376"/>
        <w:gridCol w:w="17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17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Exploration Assets</w:t>
            </w:r>
          </w:p>
        </w:tc>
      </w:tr>
    </w:tbl>
    <w:p>
      <w:pPr>
        <w:pStyle w:val="TextBody"/>
        <w:pBdr/>
        <w:bidi w:val="0"/>
        <w:spacing w:before="0" w:after="240"/>
        <w:ind w:left="360" w:right="0" w:hanging="360"/>
        <w:jc w:val="left"/>
        <w:rPr>
          <w:rFonts w:ascii="Times New Roman;Times;serif" w:hAnsi="Times New Roman;Times;serif"/>
          <w:b/>
          <w:sz w:val="20"/>
        </w:rPr>
      </w:pPr>
      <w:r>
        <w:rPr>
          <w:rFonts w:ascii="Times New Roman;Times;serif" w:hAnsi="Times New Roman;Times;serif"/>
          <w:b/>
          <w:sz w:val="20"/>
        </w:rPr>
        <w:t>Significant Exploration Agreements</w:t>
      </w:r>
    </w:p>
    <w:p>
      <w:pPr>
        <w:pStyle w:val="TextBody"/>
        <w:pBdr/>
        <w:bidi w:val="0"/>
        <w:spacing w:before="0" w:after="240"/>
        <w:ind w:left="360" w:right="0" w:hanging="360"/>
        <w:jc w:val="left"/>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wholly-owned subsidiary, NORI, was granted an exploration contract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22) and provides NORI with the priority right to apply for an exploitation contract to collect polymetallic nodules in the same area. The NORI Exploration Contract terminates on July 22, 2026, and the Company has filed for an extension.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NORI has a right to renounce, without penalty, in whole or part of its rights in the NORI Area at any time and therefore does not have a fixed commitment with relation to the NORI Exploration Contract (Note 22).</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TOML was granted an exploration contract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 The TOML Exploration Contract terminates on January 11, 2027.</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31, 2020, the Company entered into an acquisition agreement with Deep Sea Mining Finance Ltd. to acquire TOML and other related entities in the group (the “TOML Acquisition”). Total purchase price of the TOML Acquisition, before transaction costs, was $32.0 million comprising of $42.7 million for exploration contracts offset by $10.7 million for deferred tax liability. TOML holds the TOML Exploration Contract and some exploration related equipment.</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Reconciliation – Exploration Contracts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A reconciliation of the Company’s capitalized exploration contracts is as follows:</w:t>
      </w:r>
    </w:p>
    <w:p>
      <w:pPr>
        <w:pStyle w:val="TextBody"/>
        <w:bidi w:val="0"/>
        <w:spacing w:before="0" w:after="0"/>
        <w:ind w:left="0" w:right="0" w:hanging="0"/>
        <w:jc w:val="left"/>
        <w:rPr/>
      </w:pPr>
      <w:r>
        <w:rPr/>
        <w:t>​</w:t>
      </w:r>
    </w:p>
    <w:tbl>
      <w:tblPr>
        <w:tblW w:w="8501" w:type="dxa"/>
        <w:jc w:val="left"/>
        <w:tblInd w:w="0" w:type="dxa"/>
        <w:tblLayout w:type="fixed"/>
        <w:tblCellMar>
          <w:top w:w="0" w:type="dxa"/>
          <w:left w:w="0" w:type="dxa"/>
          <w:bottom w:w="0" w:type="dxa"/>
          <w:right w:w="0" w:type="dxa"/>
        </w:tblCellMar>
      </w:tblPr>
      <w:tblGrid>
        <w:gridCol w:w="3571"/>
        <w:gridCol w:w="346"/>
        <w:gridCol w:w="255"/>
        <w:gridCol w:w="511"/>
        <w:gridCol w:w="346"/>
        <w:gridCol w:w="211"/>
        <w:gridCol w:w="676"/>
        <w:gridCol w:w="346"/>
        <w:gridCol w:w="263"/>
        <w:gridCol w:w="638"/>
        <w:gridCol w:w="346"/>
        <w:gridCol w:w="211"/>
        <w:gridCol w:w="781"/>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267585" cy="175260"/>
                      <wp:effectExtent l="0" t="0" r="0" b="0"/>
                      <wp:wrapNone/>
                      <wp:docPr id="212" name="Frame190"/>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3"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61925" cy="175260"/>
                      <wp:effectExtent l="0" t="0" r="0" b="0"/>
                      <wp:wrapNone/>
                      <wp:docPr id="214" name="Frame19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24485" cy="175260"/>
                      <wp:effectExtent l="0" t="0" r="0" b="0"/>
                      <wp:wrapNone/>
                      <wp:docPr id="215" name="Frame19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6"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17"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29260" cy="175260"/>
                      <wp:effectExtent l="0" t="0" r="0" b="0"/>
                      <wp:wrapNone/>
                      <wp:docPr id="218" name="Frame1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19"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67005" cy="175260"/>
                      <wp:effectExtent l="0" t="0" r="0" b="0"/>
                      <wp:wrapNone/>
                      <wp:docPr id="220" name="Frame19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05130" cy="175260"/>
                      <wp:effectExtent l="0" t="0" r="0" b="0"/>
                      <wp:wrapNone/>
                      <wp:docPr id="221" name="Frame199"/>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2"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3"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95935" cy="175260"/>
                      <wp:effectExtent l="0" t="0" r="0" b="0"/>
                      <wp:wrapNone/>
                      <wp:docPr id="224" name="Frame2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76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  ​ ​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90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Marawa</w:t>
            </w:r>
          </w:p>
        </w:tc>
        <w:tc>
          <w:tcPr>
            <w:tcW w:w="346" w:type="dxa"/>
            <w:tcBorders/>
            <w:vAlign w:val="center"/>
          </w:tcPr>
          <w:p>
            <w:pPr>
              <w:pStyle w:val="TableContents"/>
              <w:bidi w:val="0"/>
              <w:spacing w:before="0" w:after="0"/>
              <w:ind w:left="0" w:right="0" w:hanging="0"/>
              <w:jc w:val="right"/>
              <w:rPr/>
            </w:pPr>
            <w:r>
              <w:rPr/>
              <w:t>  ​ ​ ​</w:t>
            </w:r>
          </w:p>
        </w:tc>
        <w:tc>
          <w:tcPr>
            <w:tcW w:w="992" w:type="dxa"/>
            <w:gridSpan w:val="2"/>
            <w:tcBorders/>
            <w:vAlign w:val="center"/>
          </w:tcPr>
          <w:p>
            <w:pPr>
              <w:pStyle w:val="TableContents"/>
              <w:bidi w:val="0"/>
              <w:spacing w:before="0" w:after="0"/>
              <w:ind w:left="0" w:right="0" w:hanging="0"/>
              <w:jc w:val="center"/>
              <w:rPr/>
            </w:pPr>
            <w:r>
              <w:rPr/>
              <w:t>​</w:t>
            </w:r>
          </w:p>
        </w:tc>
      </w:tr>
      <w:tr>
        <w:trPr/>
        <w:tc>
          <w:tcPr>
            <w:tcW w:w="3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NORI</w:t>
            </w:r>
          </w:p>
        </w:tc>
        <w:tc>
          <w:tcPr>
            <w:tcW w:w="346" w:type="dxa"/>
            <w:tcBorders/>
            <w:vAlign w:val="center"/>
          </w:tcPr>
          <w:p>
            <w:pPr>
              <w:pStyle w:val="TableContents"/>
              <w:bidi w:val="0"/>
              <w:spacing w:before="0" w:after="0"/>
              <w:ind w:left="0" w:right="0" w:hanging="0"/>
              <w:jc w:val="right"/>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TOML</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right"/>
              <w:rPr/>
            </w:pPr>
            <w:r>
              <w:rPr/>
              <w:t>​</w:t>
            </w:r>
          </w:p>
        </w:tc>
        <w:tc>
          <w:tcPr>
            <w:tcW w:w="992" w:type="dxa"/>
            <w:gridSpan w:val="2"/>
            <w:tcBorders/>
            <w:vAlign w:val="center"/>
          </w:tcPr>
          <w:p>
            <w:pPr>
              <w:pStyle w:val="TableContents"/>
              <w:bidi w:val="0"/>
              <w:spacing w:before="0" w:after="0"/>
              <w:ind w:left="0" w:right="0" w:hanging="0"/>
              <w:jc w:val="center"/>
              <w:rPr/>
            </w:pPr>
            <w:r>
              <w:rPr/>
              <w:t>​</w:t>
            </w:r>
          </w:p>
        </w:tc>
      </w:tr>
      <w:tr>
        <w:trPr/>
        <w:tc>
          <w:tcPr>
            <w:tcW w:w="3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46" w:type="dxa"/>
            <w:tcBorders/>
            <w:vAlign w:val="center"/>
          </w:tcPr>
          <w:p>
            <w:pPr>
              <w:pStyle w:val="TableContents"/>
              <w:bidi w:val="0"/>
              <w:spacing w:before="0" w:after="0"/>
              <w:ind w:left="0" w:right="0" w:hanging="0"/>
              <w:jc w:val="righ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Agreement</w:t>
            </w:r>
          </w:p>
        </w:tc>
        <w:tc>
          <w:tcPr>
            <w:tcW w:w="346" w:type="dxa"/>
            <w:tcBorders/>
            <w:vAlign w:val="center"/>
          </w:tcPr>
          <w:p>
            <w:pPr>
              <w:pStyle w:val="TableContents"/>
              <w:bidi w:val="0"/>
              <w:spacing w:before="0" w:after="0"/>
              <w:ind w:left="0" w:right="0" w:hanging="0"/>
              <w:jc w:val="righ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42,701</w:t>
            </w:r>
          </w:p>
        </w:tc>
        <w:tc>
          <w:tcPr>
            <w:tcW w:w="346"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43,150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 of Marawa Option Agreement</w:t>
            </w:r>
          </w:p>
        </w:tc>
        <w:tc>
          <w:tcPr>
            <w:tcW w:w="346" w:type="dxa"/>
            <w:tcBorders/>
            <w:vAlign w:val="center"/>
          </w:tcPr>
          <w:p>
            <w:pPr>
              <w:pStyle w:val="TableContents"/>
              <w:bidi w:val="0"/>
              <w:spacing w:before="0" w:after="0"/>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42,701</w:t>
            </w:r>
          </w:p>
        </w:tc>
        <w:tc>
          <w:tcPr>
            <w:tcW w:w="346"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during the year</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42,701</w:t>
            </w:r>
          </w:p>
        </w:tc>
        <w:tc>
          <w:tcPr>
            <w:tcW w:w="346"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42,951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00"/>
        <w:ind w:left="360" w:right="0" w:hanging="0"/>
        <w:jc w:val="left"/>
        <w:rPr>
          <w:rFonts w:ascii="Times New Roman;Times;serif" w:hAnsi="Times New Roman;Times;serif"/>
          <w:sz w:val="20"/>
        </w:rPr>
      </w:pPr>
      <w:bookmarkStart w:id="1074" w:name="Tc_D_KwdYeIREC2D0edmJjuqw_11_5"/>
      <w:bookmarkStart w:id="1075" w:name="Tc_1pI4L0hdMkOzuRhChiZHaA_11_2"/>
      <w:bookmarkStart w:id="1076" w:name="Tc_xluK0IsCxUW5lDjzjM_hbA_11_0"/>
      <w:bookmarkStart w:id="1077" w:name="Tc_ZgQL_srHH0OSKmMyG9V2Hw_10_0"/>
      <w:bookmarkStart w:id="1078" w:name="Tc_SAI98Rl7AkG1UI471bIjlw_9_0"/>
      <w:bookmarkStart w:id="1079" w:name="Tc_tQKiHUo37UqlgE3x_POplA_8_0"/>
      <w:bookmarkStart w:id="1080" w:name="Tc_EAsCfuel-0m3nsUqj7my9Q_7_0"/>
      <w:bookmarkStart w:id="1081" w:name="Tc_cSnxhsis5k6G0LDlo841VA_6_0"/>
      <w:bookmarkStart w:id="1082" w:name="Tc_Fj24Kprs2UqHqpm8CnTGIg_5_0"/>
      <w:bookmarkStart w:id="1083" w:name="Tc_Jx4JxIuJAEGg8C9IsbHp2A_4_5"/>
      <w:bookmarkStart w:id="1084" w:name="Tc_widgsBEbTkGZ7uxh3k_Yqg_4_2"/>
      <w:bookmarkStart w:id="1085" w:name="Tc_fGfMeF28rkSb8nOseMFBSQ_4_0"/>
      <w:bookmarkStart w:id="1086" w:name="Tc_4E_5Cl5w6EWFfIbGur3bGg_3_5"/>
      <w:bookmarkStart w:id="1087" w:name="Tc_cbzpeaeixUCnjEl1Ytvn4Q_3_2"/>
      <w:bookmarkStart w:id="1088" w:name="Tc_8Zqn6-1XaE6SBmlI4T6HEA_2_5"/>
      <w:bookmarkStart w:id="1089" w:name="Tc_Er5leXZvVUGH_MnhQ1qpng_2_2"/>
      <w:bookmarkStart w:id="1090" w:name="Tc_IquR3XgJoUKW7NhWtKhImQ_1_5"/>
      <w:bookmarkStart w:id="1091" w:name="Tc_HDP77tsLKkep5fzQc4QBtA_1_2"/>
      <w:bookmarkStart w:id="1092" w:name="_7658f4c3_0975_497a_99c8_c9a3c18f8506"/>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Pr>
          <w:rFonts w:ascii="Times New Roman;Times;serif" w:hAnsi="Times New Roman;Times;serif"/>
          <w:sz w:val="20"/>
        </w:rPr>
        <w:t>The detail of exploration and evaluation expenses is as follows:</w:t>
      </w:r>
    </w:p>
    <w:p>
      <w:pPr>
        <w:pStyle w:val="TextBody"/>
        <w:bidi w:val="0"/>
        <w:spacing w:before="0" w:after="0"/>
        <w:ind w:left="0" w:right="0" w:hanging="0"/>
        <w:jc w:val="left"/>
        <w:rPr/>
      </w:pPr>
      <w:r>
        <w:rPr/>
        <w:t>​</w:t>
      </w:r>
    </w:p>
    <w:tbl>
      <w:tblPr>
        <w:tblW w:w="7938" w:type="dxa"/>
        <w:jc w:val="left"/>
        <w:tblInd w:w="0" w:type="dxa"/>
        <w:tblLayout w:type="fixed"/>
        <w:tblCellMar>
          <w:top w:w="0" w:type="dxa"/>
          <w:left w:w="0" w:type="dxa"/>
          <w:bottom w:w="0" w:type="dxa"/>
          <w:right w:w="0" w:type="dxa"/>
        </w:tblCellMar>
      </w:tblPr>
      <w:tblGrid>
        <w:gridCol w:w="4231"/>
        <w:gridCol w:w="346"/>
        <w:gridCol w:w="353"/>
        <w:gridCol w:w="1132"/>
        <w:gridCol w:w="346"/>
        <w:gridCol w:w="325"/>
        <w:gridCol w:w="1205"/>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686685" cy="175260"/>
                      <wp:effectExtent l="0" t="0" r="0" b="0"/>
                      <wp:wrapNone/>
                      <wp:docPr id="225" name="Frame203"/>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6"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4155" cy="175260"/>
                      <wp:effectExtent l="0" t="0" r="0" b="0"/>
                      <wp:wrapNone/>
                      <wp:docPr id="227" name="Frame20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18820" cy="175260"/>
                      <wp:effectExtent l="0" t="0" r="0" b="0"/>
                      <wp:wrapNone/>
                      <wp:docPr id="228" name="Frame206"/>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29"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6375" cy="175260"/>
                      <wp:effectExtent l="0" t="0" r="0" b="0"/>
                      <wp:wrapNone/>
                      <wp:docPr id="230" name="Frame208"/>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65175" cy="175260"/>
                      <wp:effectExtent l="0" t="0" r="0" b="0"/>
                      <wp:wrapNone/>
                      <wp:docPr id="231" name="Frame209"/>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 ​ ​</w:t>
            </w:r>
          </w:p>
        </w:tc>
        <w:tc>
          <w:tcPr>
            <w:tcW w:w="14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For the year ended</w:t>
            </w:r>
          </w:p>
        </w:tc>
        <w:tc>
          <w:tcPr>
            <w:tcW w:w="346" w:type="dxa"/>
            <w:tcBorders/>
            <w:vAlign w:val="center"/>
          </w:tcPr>
          <w:p>
            <w:pPr>
              <w:pStyle w:val="TableContents"/>
              <w:bidi w:val="0"/>
              <w:spacing w:before="0" w:after="1"/>
              <w:ind w:left="0" w:right="0" w:hanging="0"/>
              <w:jc w:val="right"/>
              <w:rPr/>
            </w:pPr>
            <w:r>
              <w:rPr/>
              <w:t>  ​ ​ ​</w:t>
            </w:r>
          </w:p>
        </w:tc>
        <w:tc>
          <w:tcPr>
            <w:tcW w:w="153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For the year ended</w:t>
            </w:r>
          </w:p>
        </w:tc>
      </w:tr>
      <w:tr>
        <w:trPr/>
        <w:tc>
          <w:tcPr>
            <w:tcW w:w="42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4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right"/>
              <w:rPr/>
            </w:pPr>
            <w:r>
              <w:rPr/>
              <w:t>​</w:t>
            </w:r>
          </w:p>
        </w:tc>
        <w:tc>
          <w:tcPr>
            <w:tcW w:w="153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w:t>
            </w:r>
          </w:p>
        </w:tc>
      </w:tr>
      <w:tr>
        <w:trPr/>
        <w:tc>
          <w:tcPr>
            <w:tcW w:w="4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right"/>
              <w:rPr/>
            </w:pPr>
            <w:r>
              <w:rPr/>
              <w:t>​</w:t>
            </w:r>
          </w:p>
        </w:tc>
        <w:tc>
          <w:tcPr>
            <w:tcW w:w="153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46" w:type="dxa"/>
            <w:tcBorders/>
            <w:shd w:fill="CCEEFF" w:val="clear"/>
            <w:vAlign w:val="center"/>
          </w:tcPr>
          <w:p>
            <w:pPr>
              <w:pStyle w:val="TableContents"/>
              <w:bidi w:val="0"/>
              <w:spacing w:before="0" w:after="1"/>
              <w:ind w:left="0" w:right="0" w:hanging="0"/>
              <w:jc w:val="righ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3,654</w:t>
            </w:r>
          </w:p>
        </w:tc>
        <w:tc>
          <w:tcPr>
            <w:tcW w:w="346" w:type="dxa"/>
            <w:tcBorders/>
            <w:shd w:fill="CCEEFF" w:val="clear"/>
            <w:vAlign w:val="center"/>
          </w:tcPr>
          <w:p>
            <w:pPr>
              <w:pStyle w:val="TableContents"/>
              <w:bidi w:val="0"/>
              <w:spacing w:before="0" w:after="1"/>
              <w:ind w:left="0" w:right="0" w:hanging="0"/>
              <w:jc w:val="righ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3,234</w:t>
            </w:r>
          </w:p>
        </w:tc>
      </w:tr>
      <w:tr>
        <w:trPr/>
        <w:tc>
          <w:tcPr>
            <w:tcW w:w="42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Exploration labor</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9,542</w:t>
            </w:r>
          </w:p>
        </w:tc>
        <w:tc>
          <w:tcPr>
            <w:tcW w:w="346" w:type="dxa"/>
            <w:tcBorders/>
            <w:vAlign w:val="center"/>
          </w:tcPr>
          <w:p>
            <w:pPr>
              <w:pStyle w:val="TableContents"/>
              <w:bidi w:val="0"/>
              <w:spacing w:before="0" w:after="1"/>
              <w:ind w:left="0" w:right="0" w:hanging="0"/>
              <w:jc w:val="right"/>
              <w:rPr/>
            </w:pPr>
            <w:r>
              <w:rPr/>
              <w:t>​</w:t>
            </w:r>
          </w:p>
        </w:tc>
        <w:tc>
          <w:tcPr>
            <w:tcW w:w="325"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9,424</w:t>
            </w:r>
          </w:p>
        </w:tc>
      </w:tr>
      <w:tr>
        <w:trPr/>
        <w:tc>
          <w:tcPr>
            <w:tcW w:w="423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r>
              <w:rPr>
                <w:rFonts w:ascii="Times New Roman;Times;serif" w:hAnsi="Times New Roman;Times;serif"/>
                <w:sz w:val="15"/>
              </w:rPr>
              <w:t>(1)</w:t>
            </w:r>
            <w:r>
              <w:rPr>
                <w:rFonts w:ascii="Times New Roman;Times;serif" w:hAnsi="Times New Roman;Times;serif"/>
                <w:sz w:val="20"/>
              </w:rPr>
              <w:t xml:space="preserve"> (Note 18)</w:t>
            </w:r>
          </w:p>
        </w:tc>
        <w:tc>
          <w:tcPr>
            <w:tcW w:w="346" w:type="dxa"/>
            <w:tcBorders/>
            <w:shd w:fill="CCEEFF" w:val="clear"/>
            <w:vAlign w:val="center"/>
          </w:tcPr>
          <w:p>
            <w:pPr>
              <w:pStyle w:val="TableContents"/>
              <w:bidi w:val="0"/>
              <w:spacing w:before="0" w:after="1"/>
              <w:ind w:left="0" w:right="0" w:hanging="0"/>
              <w:jc w:val="righ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15,355</w:t>
            </w:r>
          </w:p>
        </w:tc>
        <w:tc>
          <w:tcPr>
            <w:tcW w:w="346" w:type="dxa"/>
            <w:tcBorders/>
            <w:shd w:fill="CCEEFF" w:val="clear"/>
            <w:vAlign w:val="center"/>
          </w:tcPr>
          <w:p>
            <w:pPr>
              <w:pStyle w:val="TableContents"/>
              <w:bidi w:val="0"/>
              <w:spacing w:before="0" w:after="1"/>
              <w:ind w:left="0" w:right="0" w:hanging="0"/>
              <w:jc w:val="righ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10,451</w:t>
            </w:r>
          </w:p>
        </w:tc>
      </w:tr>
      <w:tr>
        <w:trPr/>
        <w:tc>
          <w:tcPr>
            <w:tcW w:w="42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Mining, technological and process development</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7,560</w:t>
            </w:r>
          </w:p>
        </w:tc>
        <w:tc>
          <w:tcPr>
            <w:tcW w:w="346" w:type="dxa"/>
            <w:tcBorders/>
            <w:vAlign w:val="center"/>
          </w:tcPr>
          <w:p>
            <w:pPr>
              <w:pStyle w:val="TableContents"/>
              <w:bidi w:val="0"/>
              <w:spacing w:before="0" w:after="1"/>
              <w:ind w:left="0" w:right="0" w:hanging="0"/>
              <w:jc w:val="right"/>
              <w:rPr/>
            </w:pPr>
            <w:r>
              <w:rPr/>
              <w:t>​</w:t>
            </w:r>
          </w:p>
        </w:tc>
        <w:tc>
          <w:tcPr>
            <w:tcW w:w="325"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22,392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Prefeasibility studies</w:t>
            </w:r>
          </w:p>
        </w:tc>
        <w:tc>
          <w:tcPr>
            <w:tcW w:w="346" w:type="dxa"/>
            <w:tcBorders/>
            <w:shd w:fill="CCEEFF" w:val="clear"/>
            <w:vAlign w:val="center"/>
          </w:tcPr>
          <w:p>
            <w:pPr>
              <w:pStyle w:val="TableContents"/>
              <w:bidi w:val="0"/>
              <w:spacing w:before="0" w:after="1"/>
              <w:ind w:left="0" w:right="0" w:hanging="0"/>
              <w:jc w:val="righ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1,149</w:t>
            </w:r>
          </w:p>
        </w:tc>
        <w:tc>
          <w:tcPr>
            <w:tcW w:w="346" w:type="dxa"/>
            <w:tcBorders/>
            <w:shd w:fill="CCEEFF" w:val="clear"/>
            <w:vAlign w:val="center"/>
          </w:tcPr>
          <w:p>
            <w:pPr>
              <w:pStyle w:val="TableContents"/>
              <w:bidi w:val="0"/>
              <w:spacing w:before="0" w:after="1"/>
              <w:ind w:left="0" w:right="0" w:hanging="0"/>
              <w:jc w:val="righ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Sponsorship, training and stakeholder engagement</w:t>
            </w:r>
          </w:p>
        </w:tc>
        <w:tc>
          <w:tcPr>
            <w:tcW w:w="346" w:type="dxa"/>
            <w:tcBorders/>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2,645</w:t>
            </w:r>
          </w:p>
        </w:tc>
        <w:tc>
          <w:tcPr>
            <w:tcW w:w="346" w:type="dxa"/>
            <w:tcBorders/>
            <w:vAlign w:val="center"/>
          </w:tcPr>
          <w:p>
            <w:pPr>
              <w:pStyle w:val="TableContents"/>
              <w:bidi w:val="0"/>
              <w:spacing w:before="0" w:after="1"/>
              <w:ind w:left="0" w:right="0" w:hanging="0"/>
              <w:jc w:val="right"/>
              <w:rPr/>
            </w:pPr>
            <w:r>
              <w:rPr/>
              <w:t>​</w:t>
            </w:r>
          </w:p>
        </w:tc>
        <w:tc>
          <w:tcPr>
            <w:tcW w:w="325"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3,069</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righ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377</w:t>
            </w:r>
          </w:p>
        </w:tc>
        <w:tc>
          <w:tcPr>
            <w:tcW w:w="346" w:type="dxa"/>
            <w:tcBorders/>
            <w:shd w:fill="CCEEFF" w:val="clear"/>
            <w:vAlign w:val="center"/>
          </w:tcPr>
          <w:p>
            <w:pPr>
              <w:pStyle w:val="TableContents"/>
              <w:bidi w:val="0"/>
              <w:spacing w:before="0" w:after="1"/>
              <w:ind w:left="0" w:right="0" w:hanging="0"/>
              <w:jc w:val="righ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Exploration and Evaluation Expenses</w:t>
            </w:r>
          </w:p>
        </w:tc>
        <w:tc>
          <w:tcPr>
            <w:tcW w:w="346" w:type="dxa"/>
            <w:tcBorders/>
            <w:vAlign w:val="center"/>
          </w:tcPr>
          <w:p>
            <w:pPr>
              <w:pStyle w:val="TableContents"/>
              <w:bidi w:val="0"/>
              <w:spacing w:before="0" w:after="1"/>
              <w:ind w:left="0" w:right="0" w:hanging="0"/>
              <w:jc w:val="righ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40,282</w:t>
            </w:r>
          </w:p>
        </w:tc>
        <w:tc>
          <w:tcPr>
            <w:tcW w:w="346" w:type="dxa"/>
            <w:tcBorders/>
            <w:vAlign w:val="center"/>
          </w:tcPr>
          <w:p>
            <w:pPr>
              <w:pStyle w:val="TableContents"/>
              <w:bidi w:val="0"/>
              <w:spacing w:before="0" w:after="1"/>
              <w:ind w:left="0" w:right="0" w:hanging="0"/>
              <w:jc w:val="righ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50,643</w:t>
            </w:r>
          </w:p>
        </w:tc>
      </w:tr>
    </w:tbl>
    <w:tbl>
      <w:tblPr>
        <w:tblW w:w="7116" w:type="dxa"/>
        <w:jc w:val="left"/>
        <w:tblInd w:w="0" w:type="dxa"/>
        <w:tblLayout w:type="fixed"/>
        <w:tblCellMar>
          <w:top w:w="0" w:type="dxa"/>
          <w:left w:w="0" w:type="dxa"/>
          <w:bottom w:w="0" w:type="dxa"/>
          <w:right w:w="0" w:type="dxa"/>
        </w:tblCellMar>
      </w:tblPr>
      <w:tblGrid>
        <w:gridCol w:w="124"/>
        <w:gridCol w:w="271"/>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(1)</w:t>
            </w:r>
          </w:p>
        </w:tc>
        <w:tc>
          <w:tcPr>
            <w:tcW w:w="67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Reflects underlying project-related work performed by the Company’s personnel.</w:t>
            </w:r>
          </w:p>
        </w:tc>
      </w:tr>
    </w:tbl>
    <w:tbl>
      <w:tblPr>
        <w:tblW w:w="10205" w:type="dxa"/>
        <w:jc w:val="left"/>
        <w:tblInd w:w="0" w:type="dxa"/>
        <w:tblLayout w:type="fixed"/>
        <w:tblCellMar>
          <w:top w:w="0" w:type="dxa"/>
          <w:left w:w="0" w:type="dxa"/>
          <w:bottom w:w="0" w:type="dxa"/>
          <w:right w:w="0" w:type="dxa"/>
        </w:tblCellMar>
      </w:tblPr>
      <w:tblGrid>
        <w:gridCol w:w="124"/>
        <w:gridCol w:w="266"/>
        <w:gridCol w:w="9815"/>
      </w:tblGrid>
      <w:tr>
        <w:trPr/>
        <w:tc>
          <w:tcPr>
            <w:tcW w:w="12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(2)</w:t>
            </w:r>
          </w:p>
        </w:tc>
        <w:tc>
          <w:tcPr>
            <w:tcW w:w="98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Mining, technological and process development include $0.1 million of expenses settled with RSUs in 2025 (2024: $nil) (Note 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93" w:name="Tc_Lb3PFaG5KEuIXSQ1spS2lg_12_5"/>
      <w:bookmarkStart w:id="1094" w:name="Tc_EpLMp0YQJEWvJQzisMo8VA_12_2"/>
      <w:bookmarkStart w:id="1095" w:name="Tc_2JBDyAvtxEGWiO9NsTj8Aw_12_0"/>
      <w:bookmarkStart w:id="1096" w:name="Tc_NKXfXvpg80GiDc8ZFaSRYA_11_0"/>
      <w:bookmarkStart w:id="1097" w:name="Tc_e0ymdTq2D0KYiNe53sUjVw_10_0"/>
      <w:bookmarkStart w:id="1098" w:name="Tc_xs8IHnrdM02Gn5-EtU9zzQ_9_0"/>
      <w:bookmarkStart w:id="1099" w:name="Tc_A1f1vYi7CkKs9D4NADPuIg_8_0"/>
      <w:bookmarkStart w:id="1100" w:name="Tc_kO3sfZcYRUi4CW22yydtzg_7_0"/>
      <w:bookmarkStart w:id="1101" w:name="Tc_-DDXEceiGEGw5gZ0gz9Plw_6_0"/>
      <w:bookmarkStart w:id="1102" w:name="Tc_hUCoD2XB306e3WrP_Ck0mA_5_0"/>
      <w:bookmarkStart w:id="1103" w:name="Tc_CXN4ojUCEEyunfHrgIANzA_4_5"/>
      <w:bookmarkStart w:id="1104" w:name="Tc_DHLEYMSJtUSDXfCdobwstQ_4_2"/>
      <w:bookmarkStart w:id="1105" w:name="Tc_jkvu2TFb1EW-Q3nl76P2Vg_4_0"/>
      <w:bookmarkStart w:id="1106" w:name="Tc_1RX0ciB_V0WWLiOGUg3xfg_3_5"/>
      <w:bookmarkStart w:id="1107" w:name="Tc_KXddKYxYTUyWMYaaXZxM0A_3_2"/>
      <w:bookmarkStart w:id="1108" w:name="Tc_c53uMRuhq0ys-28tjS0HSA_2_5"/>
      <w:bookmarkStart w:id="1109" w:name="Tc_TQqfghOMuUqZUH3gl8r6dg_2_2"/>
      <w:bookmarkStart w:id="1110" w:name="Tc_PaC72e9SLkyOlbPTJmlCAw_1_5"/>
      <w:bookmarkStart w:id="1111" w:name="Tc_HLc235dL6UmmkQRewNdfKA_1_2"/>
      <w:bookmarkStart w:id="1112" w:name="_2e5d8746_ac1d_495e_8c23_397514a808f5"/>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r>
        <w:rPr>
          <w:rFonts w:ascii="Times New Roman;Times;serif" w:hAnsi="Times New Roman;Times;serif"/>
          <w:b/>
          <w:i w:val="false"/>
          <w:caps w:val="false"/>
          <w:smallCaps w:val="false"/>
          <w:sz w:val="20"/>
        </w:rPr>
        <w:t>12.</w:t>
      </w:r>
      <w:r>
        <w:rPr>
          <w:rFonts w:ascii="Times New Roman;Times;serif" w:hAnsi="Times New Roman;Times;serif"/>
          <w:b/>
          <w:sz w:val="20"/>
        </w:rPr>
        <w:t>General and Administrative Expenses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for the years ended December 31, 2025 and 2024 are as follows:</w:t>
      </w:r>
    </w:p>
    <w:p>
      <w:pPr>
        <w:pStyle w:val="TextBody"/>
        <w:bidi w:val="0"/>
        <w:spacing w:before="0" w:after="0"/>
        <w:ind w:left="0" w:right="0" w:hanging="0"/>
        <w:jc w:val="left"/>
        <w:rPr/>
      </w:pPr>
      <w:r>
        <w:rPr/>
        <w:t>​</w:t>
      </w:r>
    </w:p>
    <w:tbl>
      <w:tblPr>
        <w:tblW w:w="7068" w:type="dxa"/>
        <w:jc w:val="left"/>
        <w:tblInd w:w="0" w:type="dxa"/>
        <w:tblLayout w:type="fixed"/>
        <w:tblCellMar>
          <w:top w:w="0" w:type="dxa"/>
          <w:left w:w="0" w:type="dxa"/>
          <w:bottom w:w="0" w:type="dxa"/>
          <w:right w:w="0" w:type="dxa"/>
        </w:tblCellMar>
      </w:tblPr>
      <w:tblGrid>
        <w:gridCol w:w="3316"/>
        <w:gridCol w:w="346"/>
        <w:gridCol w:w="353"/>
        <w:gridCol w:w="1132"/>
        <w:gridCol w:w="346"/>
        <w:gridCol w:w="335"/>
        <w:gridCol w:w="1240"/>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05660" cy="175260"/>
                      <wp:effectExtent l="0" t="0" r="0" b="0"/>
                      <wp:wrapNone/>
                      <wp:docPr id="232" name="Frame210"/>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3"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24155" cy="175260"/>
                      <wp:effectExtent l="0" t="0" r="0" b="0"/>
                      <wp:wrapNone/>
                      <wp:docPr id="234" name="Frame212"/>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718820" cy="175260"/>
                      <wp:effectExtent l="0" t="0" r="0" b="0"/>
                      <wp:wrapNone/>
                      <wp:docPr id="235" name="Frame213"/>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6"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2725" cy="175260"/>
                      <wp:effectExtent l="0" t="0" r="0" b="0"/>
                      <wp:wrapNone/>
                      <wp:docPr id="237" name="Frame21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787400" cy="175260"/>
                      <wp:effectExtent l="0" t="0" r="0" b="0"/>
                      <wp:wrapNone/>
                      <wp:docPr id="238" name="Frame216"/>
                      <a:graphic xmlns:a="http://schemas.openxmlformats.org/drawingml/2006/main">
                        <a:graphicData uri="http://schemas.microsoft.com/office/word/2010/wordprocessingShape">
                          <wps:wsp>
                            <wps:cNvSpPr txBox="1"/>
                            <wps:spPr>
                              <a:xfrm>
                                <a:off x="0" y="0"/>
                                <a:ext cx="787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 ​ ​</w:t>
            </w:r>
          </w:p>
        </w:tc>
        <w:tc>
          <w:tcPr>
            <w:tcW w:w="14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For the year ended</w:t>
            </w:r>
          </w:p>
        </w:tc>
        <w:tc>
          <w:tcPr>
            <w:tcW w:w="346" w:type="dxa"/>
            <w:tcBorders/>
            <w:vAlign w:val="center"/>
          </w:tcPr>
          <w:p>
            <w:pPr>
              <w:pStyle w:val="TableContents"/>
              <w:bidi w:val="0"/>
              <w:spacing w:before="0" w:after="1"/>
              <w:ind w:left="0" w:right="0" w:hanging="0"/>
              <w:jc w:val="right"/>
              <w:rPr/>
            </w:pPr>
            <w:r>
              <w:rPr/>
              <w:t>  ​ ​ ​</w:t>
            </w:r>
          </w:p>
        </w:tc>
        <w:tc>
          <w:tcPr>
            <w:tcW w:w="157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33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4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right"/>
              <w:rPr/>
            </w:pPr>
            <w:r>
              <w:rPr/>
              <w:t>​</w:t>
            </w:r>
          </w:p>
        </w:tc>
        <w:tc>
          <w:tcPr>
            <w:tcW w:w="157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33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right"/>
              <w:rPr/>
            </w:pPr>
            <w:r>
              <w:rPr/>
              <w:t>​</w:t>
            </w:r>
          </w:p>
        </w:tc>
        <w:tc>
          <w:tcPr>
            <w:tcW w:w="157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33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Professional and consulting fees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14,011</w:t>
            </w:r>
          </w:p>
        </w:tc>
        <w:tc>
          <w:tcPr>
            <w:tcW w:w="346" w:type="dxa"/>
            <w:tcBorders/>
            <w:shd w:fill="CCEEFF" w:val="clear"/>
            <w:vAlign w:val="center"/>
          </w:tcPr>
          <w:p>
            <w:pPr>
              <w:pStyle w:val="TableContents"/>
              <w:bidi w:val="0"/>
              <w:spacing w:before="0" w:after="1"/>
              <w:ind w:left="0" w:right="0" w:hanging="0"/>
              <w:jc w:val="center"/>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8,532</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Investor relations</w:t>
            </w:r>
          </w:p>
        </w:tc>
        <w:tc>
          <w:tcPr>
            <w:tcW w:w="346" w:type="dxa"/>
            <w:tcBorders/>
            <w:vAlign w:val="center"/>
          </w:tcPr>
          <w:p>
            <w:pPr>
              <w:pStyle w:val="TableContents"/>
              <w:bidi w:val="0"/>
              <w:spacing w:before="0" w:after="1"/>
              <w:ind w:left="0" w:right="0" w:hanging="0"/>
              <w:jc w:val="left"/>
              <w:rPr/>
            </w:pPr>
            <w:r>
              <w:rPr/>
              <w:t> </w:t>
            </w:r>
          </w:p>
        </w:tc>
        <w:tc>
          <w:tcPr>
            <w:tcW w:w="353" w:type="dxa"/>
            <w:tcBorders/>
            <w:vAlign w:val="center"/>
          </w:tcPr>
          <w:p>
            <w:pPr>
              <w:pStyle w:val="TableContents"/>
              <w:bidi w:val="0"/>
              <w:spacing w:before="0" w:after="1"/>
              <w:ind w:left="0" w:right="0" w:hanging="0"/>
              <w:jc w:val="lef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1,855</w:t>
            </w:r>
          </w:p>
        </w:tc>
        <w:tc>
          <w:tcPr>
            <w:tcW w:w="34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w:t>
            </w:r>
          </w:p>
        </w:tc>
        <w:tc>
          <w:tcPr>
            <w:tcW w:w="12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and sundry</w:t>
            </w:r>
          </w:p>
        </w:tc>
        <w:tc>
          <w:tcPr>
            <w:tcW w:w="346" w:type="dxa"/>
            <w:tcBorders/>
            <w:shd w:fill="CCEEFF" w:val="clear"/>
            <w:vAlign w:val="center"/>
          </w:tcPr>
          <w:p>
            <w:pPr>
              <w:pStyle w:val="TableContents"/>
              <w:bidi w:val="0"/>
              <w:spacing w:before="0" w:after="1"/>
              <w:ind w:left="0" w:right="0" w:hanging="0"/>
              <w:jc w:val="left"/>
              <w:rPr/>
            </w:pPr>
            <w:r>
              <w:rPr/>
              <w:t> </w:t>
            </w:r>
          </w:p>
        </w:tc>
        <w:tc>
          <w:tcPr>
            <w:tcW w:w="353" w:type="dxa"/>
            <w:tcBorders/>
            <w:shd w:fill="CCEEFF" w:val="clear"/>
            <w:vAlign w:val="center"/>
          </w:tcPr>
          <w:p>
            <w:pPr>
              <w:pStyle w:val="TableContents"/>
              <w:bidi w:val="0"/>
              <w:spacing w:before="0" w:after="1"/>
              <w:ind w:left="0" w:right="0" w:hanging="0"/>
              <w:jc w:val="lef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2,023</w:t>
            </w:r>
          </w:p>
        </w:tc>
        <w:tc>
          <w:tcPr>
            <w:tcW w:w="34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w:t>
            </w:r>
          </w:p>
        </w:tc>
        <w:tc>
          <w:tcPr>
            <w:tcW w:w="12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3,047</w:t>
            </w:r>
          </w:p>
        </w:tc>
      </w:tr>
      <w:tr>
        <w:trPr/>
        <w:tc>
          <w:tcPr>
            <w:tcW w:w="33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Salaries and wages</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 </w:t>
            </w:r>
          </w:p>
        </w:tc>
        <w:tc>
          <w:tcPr>
            <w:tcW w:w="353" w:type="dxa"/>
            <w:tcBorders/>
            <w:vAlign w:val="center"/>
          </w:tcPr>
          <w:p>
            <w:pPr>
              <w:pStyle w:val="TableContents"/>
              <w:bidi w:val="0"/>
              <w:spacing w:before="0" w:after="1"/>
              <w:ind w:left="0" w:right="0" w:hanging="0"/>
              <w:jc w:val="lef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6,324</w:t>
            </w:r>
          </w:p>
        </w:tc>
        <w:tc>
          <w:tcPr>
            <w:tcW w:w="34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w:t>
            </w:r>
          </w:p>
        </w:tc>
        <w:tc>
          <w:tcPr>
            <w:tcW w:w="12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fees</w:t>
            </w:r>
          </w:p>
        </w:tc>
        <w:tc>
          <w:tcPr>
            <w:tcW w:w="346" w:type="dxa"/>
            <w:tcBorders/>
            <w:shd w:fill="CCEEFF" w:val="clear"/>
            <w:vAlign w:val="center"/>
          </w:tcPr>
          <w:p>
            <w:pPr>
              <w:pStyle w:val="TableContents"/>
              <w:bidi w:val="0"/>
              <w:spacing w:before="0" w:after="1"/>
              <w:ind w:left="0" w:right="0" w:hanging="0"/>
              <w:jc w:val="left"/>
              <w:rPr/>
            </w:pPr>
            <w:r>
              <w:rPr/>
              <w:t> </w:t>
            </w:r>
          </w:p>
        </w:tc>
        <w:tc>
          <w:tcPr>
            <w:tcW w:w="353" w:type="dxa"/>
            <w:tcBorders/>
            <w:shd w:fill="CCEEFF" w:val="clear"/>
            <w:vAlign w:val="center"/>
          </w:tcPr>
          <w:p>
            <w:pPr>
              <w:pStyle w:val="TableContents"/>
              <w:bidi w:val="0"/>
              <w:spacing w:before="0" w:after="1"/>
              <w:ind w:left="0" w:right="0" w:hanging="0"/>
              <w:jc w:val="lef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760</w:t>
            </w:r>
          </w:p>
        </w:tc>
        <w:tc>
          <w:tcPr>
            <w:tcW w:w="34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w:t>
            </w:r>
          </w:p>
        </w:tc>
        <w:tc>
          <w:tcPr>
            <w:tcW w:w="12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r>
      <w:tr>
        <w:trPr/>
        <w:tc>
          <w:tcPr>
            <w:tcW w:w="33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r>
              <w:rPr>
                <w:rFonts w:ascii="Times New Roman;Times;serif" w:hAnsi="Times New Roman;Times;serif"/>
                <w:sz w:val="15"/>
              </w:rPr>
              <w:t>(2)(3)</w:t>
            </w:r>
          </w:p>
        </w:tc>
        <w:tc>
          <w:tcPr>
            <w:tcW w:w="346" w:type="dxa"/>
            <w:tcBorders/>
            <w:vAlign w:val="center"/>
          </w:tcPr>
          <w:p>
            <w:pPr>
              <w:pStyle w:val="TableContents"/>
              <w:bidi w:val="0"/>
              <w:spacing w:before="0" w:after="1"/>
              <w:ind w:left="0" w:right="0" w:hanging="0"/>
              <w:jc w:val="left"/>
              <w:rPr/>
            </w:pPr>
            <w:r>
              <w:rPr/>
              <w:t> </w:t>
            </w:r>
          </w:p>
        </w:tc>
        <w:tc>
          <w:tcPr>
            <w:tcW w:w="353" w:type="dxa"/>
            <w:tcBorders/>
            <w:vAlign w:val="center"/>
          </w:tcPr>
          <w:p>
            <w:pPr>
              <w:pStyle w:val="TableContents"/>
              <w:bidi w:val="0"/>
              <w:spacing w:before="0" w:after="1"/>
              <w:ind w:left="0" w:right="0" w:hanging="0"/>
              <w:jc w:val="left"/>
              <w:rPr/>
            </w:pPr>
            <w:r>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73,533</w:t>
            </w:r>
          </w:p>
        </w:tc>
        <w:tc>
          <w:tcPr>
            <w:tcW w:w="34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w:t>
            </w:r>
          </w:p>
        </w:tc>
        <w:tc>
          <w:tcPr>
            <w:tcW w:w="12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 agent and filing fees</w:t>
            </w:r>
          </w:p>
        </w:tc>
        <w:tc>
          <w:tcPr>
            <w:tcW w:w="346" w:type="dxa"/>
            <w:tcBorders/>
            <w:shd w:fill="CCEEFF" w:val="clear"/>
            <w:vAlign w:val="center"/>
          </w:tcPr>
          <w:p>
            <w:pPr>
              <w:pStyle w:val="TableContents"/>
              <w:bidi w:val="0"/>
              <w:spacing w:before="0" w:after="1"/>
              <w:ind w:left="0" w:right="0" w:hanging="0"/>
              <w:jc w:val="left"/>
              <w:rPr/>
            </w:pPr>
            <w:r>
              <w:rPr/>
              <w:t> </w:t>
            </w:r>
          </w:p>
        </w:tc>
        <w:tc>
          <w:tcPr>
            <w:tcW w:w="353" w:type="dxa"/>
            <w:tcBorders/>
            <w:shd w:fill="CCEEFF" w:val="clear"/>
            <w:vAlign w:val="center"/>
          </w:tcPr>
          <w:p>
            <w:pPr>
              <w:pStyle w:val="TableContents"/>
              <w:bidi w:val="0"/>
              <w:spacing w:before="0" w:after="1"/>
              <w:ind w:left="0" w:right="0" w:hanging="0"/>
              <w:jc w:val="lef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506</w:t>
            </w:r>
          </w:p>
        </w:tc>
        <w:tc>
          <w:tcPr>
            <w:tcW w:w="34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w:t>
            </w:r>
          </w:p>
        </w:tc>
        <w:tc>
          <w:tcPr>
            <w:tcW w:w="12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Travel expenses</w:t>
            </w:r>
          </w:p>
        </w:tc>
        <w:tc>
          <w:tcPr>
            <w:tcW w:w="346" w:type="dxa"/>
            <w:tcBorders/>
            <w:vAlign w:val="center"/>
          </w:tcPr>
          <w:p>
            <w:pPr>
              <w:pStyle w:val="TableContents"/>
              <w:bidi w:val="0"/>
              <w:spacing w:before="0" w:after="1"/>
              <w:ind w:left="0" w:right="0" w:hanging="0"/>
              <w:jc w:val="left"/>
              <w:rPr/>
            </w:pPr>
            <w:r>
              <w:rPr/>
              <w:t> </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760</w:t>
            </w:r>
          </w:p>
        </w:tc>
        <w:tc>
          <w:tcPr>
            <w:tcW w:w="346" w:type="dxa"/>
            <w:tcBorders/>
            <w:vAlign w:val="center"/>
          </w:tcPr>
          <w:p>
            <w:pPr>
              <w:pStyle w:val="TableContents"/>
              <w:bidi w:val="0"/>
              <w:spacing w:before="0" w:after="1"/>
              <w:ind w:left="0" w:right="0" w:hanging="0"/>
              <w:jc w:val="left"/>
              <w:rPr/>
            </w:pPr>
            <w:r>
              <w:rPr/>
              <w:t> </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99,772</w:t>
            </w:r>
          </w:p>
        </w:tc>
        <w:tc>
          <w:tcPr>
            <w:tcW w:w="346" w:type="dxa"/>
            <w:tcBorders/>
            <w:shd w:fill="CCEEFF" w:val="clear"/>
            <w:vAlign w:val="center"/>
          </w:tcPr>
          <w:p>
            <w:pPr>
              <w:pStyle w:val="TableContents"/>
              <w:bidi w:val="0"/>
              <w:spacing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0"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30,644</w:t>
            </w:r>
          </w:p>
        </w:tc>
      </w:tr>
    </w:tbl>
    <w:tbl>
      <w:tblPr>
        <w:tblW w:w="10205" w:type="dxa"/>
        <w:jc w:val="left"/>
        <w:tblInd w:w="0" w:type="dxa"/>
        <w:tblLayout w:type="fixed"/>
        <w:tblCellMar>
          <w:top w:w="0" w:type="dxa"/>
          <w:left w:w="0" w:type="dxa"/>
          <w:bottom w:w="0" w:type="dxa"/>
          <w:right w:w="0" w:type="dxa"/>
        </w:tblCellMar>
      </w:tblPr>
      <w:tblGrid>
        <w:gridCol w:w="124"/>
        <w:gridCol w:w="269"/>
        <w:gridCol w:w="9812"/>
      </w:tblGrid>
      <w:tr>
        <w:trPr/>
        <w:tc>
          <w:tcPr>
            <w:tcW w:w="1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(1)</w:t>
            </w:r>
          </w:p>
        </w:tc>
        <w:tc>
          <w:tcPr>
            <w:tcW w:w="98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Professional and consulting fees include $3.6 million of expenses settled with RSUs in 2025 (2024: $1.2 million) (Note 18).</w:t>
            </w:r>
          </w:p>
        </w:tc>
      </w:tr>
    </w:tbl>
    <w:tbl>
      <w:tblPr>
        <w:tblW w:w="10205" w:type="dxa"/>
        <w:jc w:val="left"/>
        <w:tblInd w:w="0" w:type="dxa"/>
        <w:tblLayout w:type="fixed"/>
        <w:tblCellMar>
          <w:top w:w="0" w:type="dxa"/>
          <w:left w:w="0" w:type="dxa"/>
          <w:bottom w:w="0" w:type="dxa"/>
          <w:right w:w="0" w:type="dxa"/>
        </w:tblCellMar>
      </w:tblPr>
      <w:tblGrid>
        <w:gridCol w:w="124"/>
        <w:gridCol w:w="261"/>
        <w:gridCol w:w="9820"/>
      </w:tblGrid>
      <w:tr>
        <w:trPr/>
        <w:tc>
          <w:tcPr>
            <w:tcW w:w="1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(2)</w:t>
            </w:r>
          </w:p>
        </w:tc>
        <w:tc>
          <w:tcPr>
            <w:tcW w:w="98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Includes $58.9 million related to 6,500,000 options and 11,915,676 RSUs granted to some directors and a consultant on August 28, 2025 (Note 18).</w:t>
            </w:r>
          </w:p>
        </w:tc>
      </w:tr>
    </w:tbl>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Reflects underlying corporate-related activities performed by the Company’s personnel.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13" w:name="Tc__63tQvSJLEG_fbLnKIt5tg_5_5"/>
      <w:bookmarkStart w:id="1114" w:name="Tc_gDfpFQJ5gEydtPjxPUVFQQ_5_2"/>
      <w:bookmarkStart w:id="1115" w:name="Tc_yk-Fez5VB0-4fJxxe_y91g_4_0"/>
      <w:bookmarkStart w:id="1116" w:name="Tc_POMpLD0WTEqWwic47dSz_w_3_5"/>
      <w:bookmarkStart w:id="1117" w:name="Tc_jQ-JNExFOkyopWQP_10TMw_3_2"/>
      <w:bookmarkStart w:id="1118" w:name="Tc_ntvANggQtk2NqW8xgAD1ow_3_0"/>
      <w:bookmarkStart w:id="1119" w:name="Tc_lrohB5Nak0y14-TdS7lQOw_2_5"/>
      <w:bookmarkStart w:id="1120" w:name="Tc_AhON_lkn0kCZHqRPmmQyEQ_2_2"/>
      <w:bookmarkStart w:id="1121" w:name="Tc_hDanyv-4yE-rPaobxd1O9A_1_5"/>
      <w:bookmarkStart w:id="1122" w:name="Tc_lPjOxO-CqUa-tAueIMo_xw_1_2"/>
      <w:bookmarkStart w:id="1123" w:name="_095a9364_5378_4312_93bd_77be9f0ae560"/>
      <w:bookmarkEnd w:id="1113"/>
      <w:bookmarkEnd w:id="1114"/>
      <w:bookmarkEnd w:id="1115"/>
      <w:bookmarkEnd w:id="1116"/>
      <w:bookmarkEnd w:id="1117"/>
      <w:bookmarkEnd w:id="1118"/>
      <w:bookmarkEnd w:id="1119"/>
      <w:bookmarkEnd w:id="1120"/>
      <w:bookmarkEnd w:id="1121"/>
      <w:bookmarkEnd w:id="1122"/>
      <w:bookmarkEnd w:id="1123"/>
      <w:r>
        <w:rPr>
          <w:rFonts w:ascii="Times New Roman;Times;serif" w:hAnsi="Times New Roman;Times;serif"/>
          <w:b/>
          <w:i w:val="false"/>
          <w:caps w:val="false"/>
          <w:smallCaps w:val="false"/>
          <w:sz w:val="20"/>
        </w:rPr>
        <w:t>13.</w:t>
      </w:r>
      <w:r>
        <w:rPr>
          <w:rFonts w:ascii="Times New Roman;Times;serif" w:hAnsi="Times New Roman;Times;serif"/>
          <w:b/>
          <w:sz w:val="20"/>
        </w:rPr>
        <w:t>Accounts Payable and Accrued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Accounts payable and accrued liabilities at December 31, 2025 and 2024 are as follows:</w:t>
      </w:r>
    </w:p>
    <w:p>
      <w:pPr>
        <w:pStyle w:val="TextBody"/>
        <w:bidi w:val="0"/>
        <w:spacing w:before="0" w:after="0"/>
        <w:ind w:left="0" w:right="0" w:hanging="0"/>
        <w:jc w:val="left"/>
        <w:rPr/>
      </w:pPr>
      <w:r>
        <w:rPr/>
        <w:t>​</w:t>
      </w:r>
    </w:p>
    <w:tbl>
      <w:tblPr>
        <w:tblW w:w="4863" w:type="dxa"/>
        <w:jc w:val="left"/>
        <w:tblInd w:w="0" w:type="dxa"/>
        <w:tblLayout w:type="fixed"/>
        <w:tblCellMar>
          <w:top w:w="0" w:type="dxa"/>
          <w:left w:w="0" w:type="dxa"/>
          <w:bottom w:w="0" w:type="dxa"/>
          <w:right w:w="0" w:type="dxa"/>
        </w:tblCellMar>
      </w:tblPr>
      <w:tblGrid>
        <w:gridCol w:w="1846"/>
        <w:gridCol w:w="346"/>
        <w:gridCol w:w="271"/>
        <w:gridCol w:w="869"/>
        <w:gridCol w:w="346"/>
        <w:gridCol w:w="252"/>
        <w:gridCol w:w="933"/>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172210" cy="175260"/>
                      <wp:effectExtent l="0" t="0" r="0" b="0"/>
                      <wp:wrapNone/>
                      <wp:docPr id="239" name="Frame21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0"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72085" cy="175260"/>
                      <wp:effectExtent l="0" t="0" r="0" b="0"/>
                      <wp:wrapNone/>
                      <wp:docPr id="241" name="Frame21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51815" cy="175260"/>
                      <wp:effectExtent l="0" t="0" r="0" b="0"/>
                      <wp:wrapNone/>
                      <wp:docPr id="242" name="Frame22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3"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0020" cy="175260"/>
                      <wp:effectExtent l="0" t="0" r="0" b="0"/>
                      <wp:wrapNone/>
                      <wp:docPr id="244" name="Frame22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92455" cy="175260"/>
                      <wp:effectExtent l="0" t="0" r="0" b="0"/>
                      <wp:wrapNone/>
                      <wp:docPr id="245" name="Frame22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1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6,198</w:t>
            </w:r>
          </w:p>
        </w:tc>
      </w:tr>
      <w:tr>
        <w:trPr/>
        <w:tc>
          <w:tcPr>
            <w:tcW w:w="1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43,771</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36,556</w:t>
            </w:r>
          </w:p>
        </w:tc>
      </w:tr>
      <w:tr>
        <w:trPr/>
        <w:tc>
          <w:tcPr>
            <w:tcW w:w="18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46,048</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42,754</w:t>
            </w:r>
          </w:p>
        </w:tc>
      </w:tr>
    </w:tbl>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1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accounts payable balance includes $0.7</w:t>
            </w:r>
            <w:r>
              <w:rPr>
                <w:caps w:val="false"/>
                <w:smallCaps w:val="false"/>
              </w:rPr>
              <w:t xml:space="preserve"> </w:t>
            </w:r>
            <w:r>
              <w:rPr>
                <w:rFonts w:ascii="Times New Roman;Times;serif" w:hAnsi="Times New Roman;Times;serif"/>
                <w:b w:val="false"/>
                <w:i w:val="false"/>
                <w:caps w:val="false"/>
                <w:smallCaps w:val="false"/>
                <w:sz w:val="20"/>
              </w:rPr>
              <w:t>million of underutilisation fees payable to the related parties under 2024 Credit facility (Note 21).</w:t>
            </w:r>
          </w:p>
        </w:tc>
      </w:tr>
    </w:tbl>
    <w:tbl>
      <w:tblPr>
        <w:tblW w:w="10205" w:type="dxa"/>
        <w:jc w:val="left"/>
        <w:tblInd w:w="0" w:type="dxa"/>
        <w:tblLayout w:type="fixed"/>
        <w:tblCellMar>
          <w:top w:w="0" w:type="dxa"/>
          <w:left w:w="0" w:type="dxa"/>
          <w:bottom w:w="0" w:type="dxa"/>
          <w:right w:w="0" w:type="dxa"/>
        </w:tblCellMar>
      </w:tblPr>
      <w:tblGrid>
        <w:gridCol w:w="124"/>
        <w:gridCol w:w="253"/>
        <w:gridCol w:w="9828"/>
      </w:tblGrid>
      <w:tr>
        <w:trPr/>
        <w:tc>
          <w:tcPr>
            <w:tcW w:w="1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40" w:before="0" w:after="240"/>
              <w:jc w:val="both"/>
              <w:rPr>
                <w:rFonts w:ascii="Times New Roman;Times;serif" w:hAnsi="Times New Roman;Times;serif"/>
                <w:sz w:val="15"/>
              </w:rPr>
            </w:pPr>
            <w:r>
              <w:rPr>
                <w:rFonts w:ascii="Times New Roman;Times;serif" w:hAnsi="Times New Roman;Times;serif"/>
                <w:sz w:val="15"/>
              </w:rPr>
              <w:t>(2)</w:t>
            </w:r>
          </w:p>
        </w:tc>
        <w:tc>
          <w:tcPr>
            <w:tcW w:w="98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As at December 31, 2025, accrued liabilities totaled $43.8 million (December 31, 2024 - </w:t>
            </w:r>
            <w:r>
              <w:rPr>
                <w:rFonts w:ascii="Times New Roman;Times;serif" w:hAnsi="Times New Roman;Times;serif"/>
                <w:b w:val="false"/>
                <w:i w:val="false"/>
                <w:caps w:val="false"/>
                <w:smallCaps w:val="false"/>
                <w:sz w:val="20"/>
              </w:rPr>
              <w:t>$36.5</w:t>
            </w:r>
            <w:r>
              <w:rPr>
                <w:rFonts w:ascii="Times New Roman;Times;serif" w:hAnsi="Times New Roman;Times;serif"/>
                <w:sz w:val="20"/>
              </w:rPr>
              <w:t xml:space="preserve"> million), of which $34.2 million relates to Allseas (Note 8) (December 31, 2024 - $25.8 million).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Financing Activity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2024 Registered Direct Offering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the last quarter of 2024, the Company entered into a securities purchase agreement with certain investors, pursuant to which the Company agreed to sell and issue, in a registered direct offering (the “2024 Registered Direct Offering”) an aggregate of 19,900,000 common shares and issue Class B Warrants to purchase 9,950,000 Common Shares (“Class B Warrants”) (Note 16). The purchase price per common share and accompanying Class B Warrant was set at $1.00. On February 6, 2025, the Company received the final balance of committed funding from the 2024 Registered Direct Offering amounting to $5 million and issued 5,000,000 common shares and 2,500,000 Class B Warrants. Out of the total net proceeds of $5 million received in 2025, the net proceeds attributable to common shares were $2.2 million and the net proceeds attributable to Class B Warrants were $2.8 million (Note 16).</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2025 Registered Direct Offering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12, 2025, the Company entered into a securities purchase agreement with certain new and existing investors pursuant to which the Company in consideration of gross proceeds of $37 million, agreed to sell and issue, in a registered direct offering (the “2025 Registered Direct Offering”), an aggregate of 12,333,333 common shares of the Company, and accompanying Class C warrants to purchase an aggregate of 12,333,333 common shares (“Class C Warrants”) to such new and existing investors (Note 16). The purchase price per common share and accompanying Class C Warrant was set at $3.00.</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2025, the Company received the entire gross proceeds of $37 million and issued 12,333,333 common shares and 12,333,333 Class C Warrants. The total expenses related to the 2025 Registered Offering were $0.3 million resulting in net proceeds of $36.7 million.</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Agreement with Korea Zinc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June 16, 2025, the Company entered into a securities purchase agreement (the “Korea Zinc Agreement”) with Korea Zinc Company, Ltd. (“Korea Zinc”), pursuant to which the Company in consideration of gross cash receipt of $85.2 million, agreed to issue and sell to Korea Zinc 19,623,376 common shares of the Company and accompanying warrants to purchase an aggregate of 6,868,181 common shares (Note 16). The purchase price per share and accompanying warrant was set at $4.34. As at December 31 2025, the Company received the entire purchase amount of $85.2 million and issued 19,623,376 common shares and accompanying warrants to purchase an aggregate of 6,868,181 common shares. The total expenses related to the Korea Zinc agreement were $1.9 million paid in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Pursuant to the Korea Zinc Agreement, subject to certain exceptions, Korea Zinc will have a right to participate in any public offering or private placement of any common shares or common share equivalents of the Company primarily for capital raising purposes (each a “Proposed Offering”) up to such amount of securities to maintain its percentage ownership in the Company at the time of such Proposed Offering. Such right to participate in future financings will expire upon the earlier to occur of (i) June 16, 2030, (ii) the date on which Korea Zinc owns less than all of the common shares it purchased and subscribed pursuant to the Korea Zinc Agreement and (iii) immediately after a closing of a Proposed Offering where Korea Zinc does not exercise its participation right in full. Additionally, the Korea Zinc Agreement provides that a representative of Korea Zinc may serve as a non-voting observer to the Company’s board of directors, which representative may have access to certain information and attend and provide input at meetings of the Company’s board of directors, subject to certain limitations.</w:t>
      </w:r>
    </w:p>
    <w:p>
      <w:pPr>
        <w:pStyle w:val="TextBody"/>
        <w:bidi w:val="0"/>
        <w:spacing w:before="0" w:after="0"/>
        <w:ind w:left="360" w:right="0" w:hanging="0"/>
        <w:jc w:val="both"/>
        <w:rPr/>
      </w:pPr>
      <w:r>
        <w:rPr/>
        <w:t>​</w:t>
      </w:r>
    </w:p>
    <w:tbl>
      <w:tblPr>
        <w:tblW w:w="6932" w:type="dxa"/>
        <w:jc w:val="left"/>
        <w:tblInd w:w="0" w:type="dxa"/>
        <w:tblLayout w:type="fixed"/>
        <w:tblCellMar>
          <w:top w:w="0" w:type="dxa"/>
          <w:left w:w="0" w:type="dxa"/>
          <w:bottom w:w="0" w:type="dxa"/>
          <w:right w:w="0" w:type="dxa"/>
        </w:tblCellMar>
      </w:tblPr>
      <w:tblGrid>
        <w:gridCol w:w="376"/>
        <w:gridCol w:w="6556"/>
      </w:tblGrid>
      <w:tr>
        <w:trPr/>
        <w:tc>
          <w:tcPr>
            <w:tcW w:w="37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15.</w:t>
            </w:r>
          </w:p>
        </w:tc>
        <w:tc>
          <w:tcPr>
            <w:tcW w:w="655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Shares issued as per At-the-Market Equity Distribution Agreement (“ATM”)</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In December 2022, the Company filed a prospectus supplement with the Securities and Exchange Commission to sell up to $30 million of the Company’s common shares from time to time through an ATM. In 2025, the Company issued 7,542,996 common shares (2024: 3,251,588) (Note 17) at an average share price of $2.02 (2024: $1.53), resulting in net proceeds of $14.8 million (2024: $4.9 million), after incurring $0.5 million (2024: $0.1 million) as commission and fees. The ATM expired in October 2025.</w:t>
      </w:r>
    </w:p>
    <w:p>
      <w:pPr>
        <w:pStyle w:val="TextBody"/>
        <w:bidi w:val="0"/>
        <w:spacing w:before="0" w:after="0"/>
        <w:ind w:left="36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Warrants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15,000,000 Public Warrants were outstanding: there were no exercises or issuances during 2025 (December 31, 2024 – 15,000,000). Each whole Public Warrant entitles the holder to purchase one common share at a price of $11.50 per share beginning on October 9, 2021, subject to restrictions as described further.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may call the Public Warrants for redemption:</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at a price of $0.01</w:t>
            </w:r>
            <w:r>
              <w:rPr>
                <w:caps w:val="false"/>
                <w:smallCaps w:val="false"/>
              </w:rPr>
              <w:t xml:space="preserve"> </w:t>
            </w:r>
            <w:r>
              <w:rPr>
                <w:rFonts w:ascii="Times New Roman;Times;serif" w:hAnsi="Times New Roman;Times;serif"/>
                <w:b w:val="false"/>
                <w:i w:val="false"/>
                <w:caps w:val="false"/>
                <w:smallCaps w:val="false"/>
                <w:sz w:val="20"/>
              </w:rPr>
              <w:t>per warrant;</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a minimum of 30 days</w:t>
            </w:r>
            <w:r>
              <w:rPr>
                <w:caps w:val="false"/>
                <w:smallCaps w:val="false"/>
              </w:rPr>
              <w:t xml:space="preserve">’ </w:t>
            </w:r>
            <w:r>
              <w:rPr>
                <w:rFonts w:ascii="Times New Roman;Times;serif" w:hAnsi="Times New Roman;Times;serif"/>
                <w:b w:val="false"/>
                <w:i w:val="false"/>
                <w:caps w:val="false"/>
                <w:smallCaps w:val="false"/>
                <w:sz w:val="20"/>
              </w:rPr>
              <w:t>prior written notice of redemption;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common shares equals or exceeds $18.00</w:t>
            </w:r>
            <w:r>
              <w:rPr>
                <w:caps w:val="false"/>
                <w:smallCaps w:val="false"/>
              </w:rPr>
              <w:t xml:space="preserve"> </w:t>
            </w:r>
            <w:r>
              <w:rPr>
                <w:rFonts w:ascii="Times New Roman;Times;serif" w:hAnsi="Times New Roman;Times;serif"/>
                <w:b w:val="false"/>
                <w:i w:val="false"/>
                <w:caps w:val="false"/>
                <w:smallCaps w:val="false"/>
                <w:sz w:val="20"/>
              </w:rPr>
              <w:t>per share (as adjusted for share subdivisions, share capitalizations, reorganizations, recapitalizations and the like) for any 20</w:t>
            </w:r>
            <w:r>
              <w:rPr>
                <w:caps w:val="false"/>
                <w:smallCaps w:val="false"/>
              </w:rPr>
              <w:t xml:space="preserve"> </w:t>
            </w:r>
            <w:r>
              <w:rPr>
                <w:rFonts w:ascii="Times New Roman;Times;serif" w:hAnsi="Times New Roman;Times;serif"/>
                <w:b w:val="false"/>
                <w:i w:val="false"/>
                <w:caps w:val="false"/>
                <w:smallCaps w:val="false"/>
                <w:sz w:val="20"/>
              </w:rPr>
              <w:t>trading days within a 30-day trading period ending on the third trading day prior to the date on which the Company sends the notice of redemption to the warrant holders.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quotient obtained by dividing (x) the product of the number of common shares underlying such warrant, multiplied by the excess of the average reported closing price of common shares for the ten</w:t>
            </w:r>
            <w:r>
              <w:rPr>
                <w:caps w:val="false"/>
                <w:smallCaps w:val="false"/>
              </w:rPr>
              <w:t xml:space="preserve"> </w:t>
            </w:r>
            <w:r>
              <w:rPr>
                <w:rFonts w:ascii="Times New Roman;Times;serif" w:hAnsi="Times New Roman;Times;serif"/>
                <w:b w:val="false"/>
                <w:i w:val="false"/>
                <w:caps w:val="false"/>
                <w:smallCaps w:val="false"/>
                <w:sz w:val="20"/>
              </w:rPr>
              <w:t>trading days ending on the third trading day prior to the date on which the notice of redemption is sent to the holders (“Fair Market Value”) over the warrant price by (y) the Fair Market Value, and</w:t>
            </w:r>
          </w:p>
        </w:tc>
      </w:tr>
    </w:tbl>
    <w:tbl>
      <w:tblPr>
        <w:tblW w:w="1041" w:type="dxa"/>
        <w:jc w:val="left"/>
        <w:tblInd w:w="0" w:type="dxa"/>
        <w:tblLayout w:type="fixed"/>
        <w:tblCellMar>
          <w:top w:w="28" w:type="dxa"/>
          <w:left w:w="28" w:type="dxa"/>
          <w:bottom w:w="28" w:type="dxa"/>
          <w:right w:w="28" w:type="dxa"/>
        </w:tblCellMar>
      </w:tblPr>
      <w:tblGrid>
        <w:gridCol w:w="124"/>
        <w:gridCol w:w="256"/>
        <w:gridCol w:w="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0.365.</w:t>
            </w:r>
          </w:p>
        </w:tc>
      </w:tr>
    </w:tbl>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As at December 31, 2025, the value of outstanding Public Warrants of $19.5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(2024: $19.5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was recorded in additional paid-in capital.</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Private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9,500,000 Private Warrants were outstanding (December 31, 2024 – 9,500,000). The Private Warrants are identical to the Public Warrants, except that so long as they are held by the Sponsor or any of its permitted transferees:</w:t>
      </w:r>
    </w:p>
    <w:tbl>
      <w:tblPr>
        <w:tblW w:w="8091" w:type="dxa"/>
        <w:jc w:val="left"/>
        <w:tblInd w:w="0" w:type="dxa"/>
        <w:tblLayout w:type="fixed"/>
        <w:tblCellMar>
          <w:top w:w="28" w:type="dxa"/>
          <w:left w:w="28" w:type="dxa"/>
          <w:bottom w:w="28" w:type="dxa"/>
          <w:right w:w="28" w:type="dxa"/>
        </w:tblCellMar>
      </w:tblPr>
      <w:tblGrid>
        <w:gridCol w:w="124"/>
        <w:gridCol w:w="28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exercisable for cash or on a cashless basis, at the holder’s option, and</w:t>
            </w:r>
          </w:p>
        </w:tc>
      </w:tr>
    </w:tbl>
    <w:tbl>
      <w:tblPr>
        <w:tblW w:w="5271" w:type="dxa"/>
        <w:jc w:val="left"/>
        <w:tblInd w:w="0" w:type="dxa"/>
        <w:tblLayout w:type="fixed"/>
        <w:tblCellMar>
          <w:top w:w="28" w:type="dxa"/>
          <w:left w:w="28" w:type="dxa"/>
          <w:bottom w:w="28" w:type="dxa"/>
          <w:right w:w="28" w:type="dxa"/>
        </w:tblCellMar>
      </w:tblPr>
      <w:tblGrid>
        <w:gridCol w:w="124"/>
        <w:gridCol w:w="34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not redeemable by the Company.</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quotient obtained by dividing (x) the product of the number of common shares underlying the warrants, multiplied by the excess of the average reported closing price of the common shares for the ten</w:t>
            </w:r>
            <w:r>
              <w:rPr>
                <w:caps w:val="false"/>
                <w:smallCaps w:val="false"/>
              </w:rPr>
              <w:t xml:space="preserve"> </w:t>
            </w:r>
            <w:r>
              <w:rPr>
                <w:rFonts w:ascii="Times New Roman;Times;serif" w:hAnsi="Times New Roman;Times;serif"/>
                <w:b w:val="false"/>
                <w:i w:val="false"/>
                <w:caps w:val="false"/>
                <w:smallCaps w:val="false"/>
                <w:sz w:val="20"/>
              </w:rPr>
              <w:t>trading days ending on the third trading day prior to the date on which the notice of warrant exercise is sent to the warrant agent (“fair market value”) over the exercise price of the warrants by (y) the fair market value.</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The Private Warrants will expire on September 9,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1124" w:name="Tc_ovO9hgPJtkiJ1-dkDrWetA_7_7"/>
      <w:bookmarkStart w:id="1125" w:name="Tc_PhHl-MucjEKG4zrzWI_yhA_7_4"/>
      <w:bookmarkStart w:id="1126" w:name="Tc_0XQgAnA_70GwCoi1ZEINEA_7_0"/>
      <w:bookmarkStart w:id="1127" w:name="Tc_bGstxASGXEqhaz9QniElSA_6_7"/>
      <w:bookmarkStart w:id="1128" w:name="Tc_dP7orhD5vEq-4yUfpytoZQ_6_4"/>
      <w:bookmarkStart w:id="1129" w:name="Tc_HrByrLnNNk-7pzT5sAwUug_6_0"/>
      <w:bookmarkStart w:id="1130" w:name="Tc_Pmvlp2mhyU20YkrVnoXzHw_5_7"/>
      <w:bookmarkStart w:id="1131" w:name="Tc_zmNdHgrB4kanJyDz1kkllw_5_4"/>
      <w:bookmarkStart w:id="1132" w:name="Tc_pzTAeH6YSkyX_9hQyZeiqA_5_0"/>
      <w:bookmarkStart w:id="1133" w:name="Tc__ts7d8qF2kSiBpcD5-fxxQ_4_7"/>
      <w:bookmarkStart w:id="1134" w:name="Tc_ASCx4kO-MkOBgK1a9RheTA_4_4"/>
      <w:bookmarkStart w:id="1135" w:name="Tc_hgOtFg0tfEi4ipww2BXOjw_4_0"/>
      <w:bookmarkStart w:id="1136" w:name="Tc_2d0askkQNUWysX0I7IYDpg_3_5"/>
      <w:bookmarkStart w:id="1137" w:name="Tc_pxWAuGBvFEGz-H8B6Is5XQ_3_2"/>
      <w:bookmarkStart w:id="1138" w:name="Tc__zF4hlu3TE-OfmK28YFcIg_3_0"/>
      <w:bookmarkStart w:id="1139" w:name="Tc_-ViAL96eEkm5G8ipWiESXQ_2_5"/>
      <w:bookmarkStart w:id="1140" w:name="Tc_I078SI-ONU2JPmmzfan_sw_2_2"/>
      <w:bookmarkStart w:id="1141" w:name="Tc_PGwCID_bRkqR5AQcbCec0g_2_0"/>
      <w:bookmarkStart w:id="1142" w:name="Tc_94izr7u_dUuJ5WoQvYEUMg_1_5"/>
      <w:bookmarkStart w:id="1143" w:name="Tc_ewFT7LL0_UyHb_vyQ9OcUQ_1_2"/>
      <w:bookmarkStart w:id="1144" w:name="Tc_EnrwHqyrnESRdDAvXFJm3g_5_2"/>
      <w:bookmarkStart w:id="1145" w:name="Tc_dGWKAQiowkGlQlMxD3GTFw_5_0"/>
      <w:bookmarkStart w:id="1146" w:name="Tc_vkI-12nFdE6H12kOgp3SYw_4_0"/>
      <w:bookmarkStart w:id="1147" w:name="Tc_unqBoXiWwU-LO7kMYyyQ3A_3_2"/>
      <w:bookmarkStart w:id="1148" w:name="Tc_TWrzOkP9m0iV137jRD91bQ_3_0"/>
      <w:bookmarkStart w:id="1149" w:name="Tc_-HSuhvOEM0KCzy-JUPGv-w_2_2"/>
      <w:bookmarkStart w:id="1150" w:name="Tc_ftZM_uowxUuyqO5EkVrTTA_1_2"/>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r>
        <w:rPr>
          <w:rFonts w:ascii="Times New Roman;Times;serif" w:hAnsi="Times New Roman;Times;serif"/>
          <w:sz w:val="20"/>
        </w:rPr>
        <w:t>The Company evaluated the Private Warrants under ASC 815-40, in conjunction with the SEC Statement</w:t>
      </w:r>
      <w:r>
        <w:rPr>
          <w:rFonts w:ascii="Times New Roman;Times;serif" w:hAnsi="Times New Roman;Times;serif"/>
          <w:i/>
          <w:sz w:val="20"/>
        </w:rPr>
        <w:t>,</w:t>
      </w:r>
      <w:r>
        <w:rPr>
          <w:rFonts w:ascii="Times New Roman;Times;serif" w:hAnsi="Times New Roman;Times;serif"/>
          <w:sz w:val="20"/>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that assigned equal weight to the implied volatility of the Company’s Public Warrants, adjusted for the call feature triggered at prices above $18.00 over 20 trading days within any 30- day period, and the historical volatility of the common share price.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the fair value of outstanding Private Warrants of approximately $13.4 million is recorded as warrants liability. The following table presents the changes in the fair value of warrants liability:</w:t>
      </w:r>
    </w:p>
    <w:p>
      <w:pPr>
        <w:pStyle w:val="TextBody"/>
        <w:bidi w:val="0"/>
        <w:spacing w:before="0" w:after="0"/>
        <w:ind w:left="0" w:right="0" w:hanging="0"/>
        <w:jc w:val="left"/>
        <w:rPr/>
      </w:pPr>
      <w:r>
        <w:rPr/>
        <w:t>​</w:t>
      </w:r>
    </w:p>
    <w:tbl>
      <w:tblPr>
        <w:tblW w:w="5104" w:type="dxa"/>
        <w:jc w:val="left"/>
        <w:tblInd w:w="0" w:type="dxa"/>
        <w:tblLayout w:type="fixed"/>
        <w:tblCellMar>
          <w:top w:w="0" w:type="dxa"/>
          <w:left w:w="0" w:type="dxa"/>
          <w:bottom w:w="0" w:type="dxa"/>
          <w:right w:w="0" w:type="dxa"/>
        </w:tblCellMar>
      </w:tblPr>
      <w:tblGrid>
        <w:gridCol w:w="3766"/>
        <w:gridCol w:w="346"/>
        <w:gridCol w:w="211"/>
        <w:gridCol w:w="78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391410" cy="175260"/>
                      <wp:effectExtent l="0" t="0" r="0" b="0"/>
                      <wp:wrapNone/>
                      <wp:docPr id="246" name="Frame224"/>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47"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48"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95935" cy="175260"/>
                      <wp:effectExtent l="0" t="0" r="0" b="0"/>
                      <wp:wrapNone/>
                      <wp:docPr id="249" name="Frame2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Private</w: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liability as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fair value of warrants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12,439</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Warrants liability as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13,351</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the fair value of the Private Warrants was estimated using the following assumptions:</w:t>
      </w:r>
    </w:p>
    <w:p>
      <w:pPr>
        <w:pStyle w:val="TextBody"/>
        <w:bidi w:val="0"/>
        <w:spacing w:before="0" w:after="0"/>
        <w:ind w:left="0" w:right="0" w:hanging="0"/>
        <w:jc w:val="left"/>
        <w:rPr/>
      </w:pPr>
      <w:r>
        <w:rPr/>
        <w:t>​</w:t>
      </w:r>
    </w:p>
    <w:tbl>
      <w:tblPr>
        <w:tblW w:w="5826" w:type="dxa"/>
        <w:jc w:val="left"/>
        <w:tblInd w:w="0" w:type="dxa"/>
        <w:tblLayout w:type="fixed"/>
        <w:tblCellMar>
          <w:top w:w="0" w:type="dxa"/>
          <w:left w:w="0" w:type="dxa"/>
          <w:bottom w:w="0" w:type="dxa"/>
          <w:right w:w="0" w:type="dxa"/>
        </w:tblCellMar>
      </w:tblPr>
      <w:tblGrid>
        <w:gridCol w:w="1351"/>
        <w:gridCol w:w="346"/>
        <w:gridCol w:w="357"/>
        <w:gridCol w:w="1144"/>
        <w:gridCol w:w="571"/>
        <w:gridCol w:w="353"/>
        <w:gridCol w:w="1133"/>
        <w:gridCol w:w="57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857885" cy="175260"/>
                      <wp:effectExtent l="0" t="0" r="0" b="0"/>
                      <wp:wrapNone/>
                      <wp:docPr id="250" name="Frame22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1"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26695" cy="175260"/>
                      <wp:effectExtent l="0" t="0" r="0" b="0"/>
                      <wp:wrapNone/>
                      <wp:docPr id="252" name="Frame23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26440" cy="175260"/>
                      <wp:effectExtent l="0" t="0" r="0" b="0"/>
                      <wp:wrapNone/>
                      <wp:docPr id="253" name="Frame231"/>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62585" cy="175260"/>
                      <wp:effectExtent l="0" t="0" r="0" b="0"/>
                      <wp:wrapNone/>
                      <wp:docPr id="254" name="Frame2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4155" cy="175260"/>
                      <wp:effectExtent l="0" t="0" r="0" b="0"/>
                      <wp:wrapNone/>
                      <wp:docPr id="255" name="Frame23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19455" cy="175260"/>
                      <wp:effectExtent l="0" t="0" r="0" b="0"/>
                      <wp:wrapNone/>
                      <wp:docPr id="256" name="Frame234"/>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62585" cy="175260"/>
                      <wp:effectExtent l="0" t="0" r="0" b="0"/>
                      <wp:wrapNone/>
                      <wp:docPr id="257" name="Frame2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2025</w:t>
            </w:r>
          </w:p>
        </w:tc>
        <w:tc>
          <w:tcPr>
            <w:tcW w:w="571" w:type="dxa"/>
            <w:tcBorders/>
            <w:vAlign w:val="center"/>
          </w:tcPr>
          <w:p>
            <w:pPr>
              <w:pStyle w:val="TableContents"/>
              <w:bidi w:val="0"/>
              <w:spacing w:before="0" w:after="0"/>
              <w:ind w:left="0" w:right="0" w:hanging="0"/>
              <w:jc w:val="center"/>
              <w:rPr/>
            </w:pPr>
            <w:r>
              <w:rPr/>
              <w:t>  ​ ​ ​</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December 31, 2024</w:t>
            </w:r>
          </w:p>
        </w:tc>
        <w:tc>
          <w:tcPr>
            <w:tcW w:w="57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11.50</w:t>
            </w:r>
          </w:p>
        </w:tc>
        <w:tc>
          <w:tcPr>
            <w:tcW w:w="571"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6.17</w:t>
            </w:r>
          </w:p>
        </w:tc>
        <w:tc>
          <w:tcPr>
            <w:tcW w:w="571"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571"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124.72</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108.97</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0.69</w:t>
            </w:r>
          </w:p>
        </w:tc>
        <w:tc>
          <w:tcPr>
            <w:tcW w:w="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w:t>
            </w:r>
          </w:p>
        </w:tc>
        <w:tc>
          <w:tcPr>
            <w:tcW w:w="353" w:type="dxa"/>
            <w:tcBorders/>
            <w:vAlign w:val="center"/>
          </w:tcPr>
          <w:p>
            <w:pPr>
              <w:pStyle w:val="TableContents"/>
              <w:bidi w:val="0"/>
              <w:spacing w:before="0" w:after="0"/>
              <w:ind w:left="0" w:right="0" w:hanging="0"/>
              <w:jc w:val="left"/>
              <w:rPr/>
            </w:pPr>
            <w:r>
              <w:rPr/>
              <w:t>​</w:t>
            </w:r>
          </w:p>
        </w:tc>
        <w:tc>
          <w:tcPr>
            <w:tcW w:w="11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53" w:type="dxa"/>
            <w:tcBorders/>
            <w:vAlign w:val="center"/>
          </w:tcPr>
          <w:p>
            <w:pPr>
              <w:pStyle w:val="TableContents"/>
              <w:bidi w:val="0"/>
              <w:spacing w:before="0" w:after="0"/>
              <w:ind w:left="0" w:right="0" w:hanging="0"/>
              <w:jc w:val="left"/>
              <w:rPr/>
            </w:pPr>
            <w:r>
              <w:rPr/>
              <w:t>​</w:t>
            </w:r>
          </w:p>
        </w:tc>
        <w:tc>
          <w:tcPr>
            <w:tcW w:w="11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360" w:right="0" w:hanging="0"/>
        <w:jc w:val="left"/>
        <w:rPr/>
      </w:pPr>
      <w:r>
        <w:rPr/>
        <w:t>​</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Class A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4,317,500 Class A warrants, which we issued as part of a registered direct offering in 2023, were outstanding (the “Class A Warrants”). Each whole Class A Warrant entitles the holder to purchase one common share at an exercise price of $2.00 per share and will expire on December 31, 2027.</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Class A Warrants contain a call provision under which if the Volume Weighted Average Price “VWAP” for 30 consecutive trading days exceeds $6.50, and the warrant holder does not possess material non-public information provided by the Company, the Company may call for cancellation of the unexercised warrants, offering $0.0001 per Warrant Share. If conditions for the call are met, the unexercised portion of these warrants will be cancelled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trading days after the call notice is received.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Class A Warrants were not determined to be liabilities under ASC 480 as they were not required to be redeemed. The Company classified the Class A Warrants as equity (per ASC 815), as the warrants entailed physical settlement and were also considered to be indexed to the Company’s share, wherein, upon exercise, a fixed number of common shares would be issued on payment of a fixed exercise price.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1151" w:name="Tc_7KnF7k7K2kiu7cIqkGzy5g_13_16"/>
      <w:bookmarkStart w:id="1152" w:name="Tc_avZ2cTGSxEWrbUPvNO4_YQ_13_12"/>
      <w:bookmarkStart w:id="1153" w:name="Tc_fCeQuuKypEC_UNDl9LJauw_13_8"/>
      <w:bookmarkStart w:id="1154" w:name="Tc_81ifATImuE2cIsIyt_9bJA_13_4"/>
      <w:bookmarkStart w:id="1155" w:name="Tc__VNmmvnDkUG_BWKYSHRXhw_13_0"/>
      <w:bookmarkStart w:id="1156" w:name="Tc_axduLEBxy0ydRYUaOmueOw_12_16"/>
      <w:bookmarkStart w:id="1157" w:name="Tc_IIg5IEnG1ECIcTT7Jempug_12_12"/>
      <w:bookmarkStart w:id="1158" w:name="Tc_1nTYA3Rkw0iyHFGvbfFraQ_12_8"/>
      <w:bookmarkStart w:id="1159" w:name="Tc_fB8XoRn0u0aZY-gdxTEIXg_12_4"/>
      <w:bookmarkStart w:id="1160" w:name="Tc_F8snwJrCw0umbMYsyne7DA_12_0"/>
      <w:bookmarkStart w:id="1161" w:name="Tc_ohVSkZxVKEOMHNB1SPOd3A_11_15"/>
      <w:bookmarkStart w:id="1162" w:name="Tc_KQaPsQ9UpUeGCdzswFlITw_11_11"/>
      <w:bookmarkStart w:id="1163" w:name="Tc_93U0FNklMkqKbhYiyBP_Dw_11_7"/>
      <w:bookmarkStart w:id="1164" w:name="Tc_T5moGcJ8VU6BhABIIT9HHw_11_0"/>
      <w:bookmarkStart w:id="1165" w:name="Tc_r8mpoBA-KkqRH7dRD5FWUg_10_16"/>
      <w:bookmarkStart w:id="1166" w:name="Tc_KHxRge7gXkuAQsGW0Kv97Q_10_12"/>
      <w:bookmarkStart w:id="1167" w:name="Tc_wCeOEI_Q7Uij1NZ5gOInOw_10_8"/>
      <w:bookmarkStart w:id="1168" w:name="Tc_Gcd_L74J90W-7UZ5kYBwTA_10_4"/>
      <w:bookmarkStart w:id="1169" w:name="Tc_Xip3yLj14ky-kkKLIUnnng_10_0"/>
      <w:bookmarkStart w:id="1170" w:name="Tc_rAjODgz_Eky4KVP2EqT7Xw_9_2"/>
      <w:bookmarkStart w:id="1171" w:name="Tc_vpZ6mqpKD0q2uzBiY8jbGw_9_0"/>
      <w:bookmarkStart w:id="1172" w:name="Tc_UtDdzCba7k2xH_syRH00OQ_8_2"/>
      <w:bookmarkStart w:id="1173" w:name="Tc_WVnOxnE0AEW1dSS4ox5mLg_8_0"/>
      <w:bookmarkStart w:id="1174" w:name="Tc_MsTTrdLZRkaADBzl7z4F9g_7_2"/>
      <w:bookmarkStart w:id="1175" w:name="Tc_m7xIkom2LUeuWOQLysIpFg_7_0"/>
      <w:bookmarkStart w:id="1176" w:name="Tc_R7STTWTDoU61ZZMczQovQg_6_0"/>
      <w:bookmarkStart w:id="1177" w:name="Tc_MDSlasznK06ABuvBhi_pyw_4_2"/>
      <w:bookmarkStart w:id="1178" w:name="Tc_jP0XUFaCJkCnTy_3pcAPjg_4_0"/>
      <w:bookmarkStart w:id="1179" w:name="Tc_WXK7LPgPZE28yonc4ssALQ_3_0"/>
      <w:bookmarkStart w:id="1180" w:name="Tc__FVtMORyMUCE7u6mBW6x4g_2_14"/>
      <w:bookmarkStart w:id="1181" w:name="Tc_t08VwnHCZUuQLUx70qhaeA_2_10"/>
      <w:bookmarkStart w:id="1182" w:name="Tc_uKEjMDzpq0K0FgJ-lUBkqw_2_6"/>
      <w:bookmarkStart w:id="1183" w:name="Tc_JDTN8z7oXkahTv4uoGaYOg_2_2"/>
      <w:bookmarkStart w:id="1184" w:name="Tc_7oC20_NOGUS9GF594e98dw_1_14"/>
      <w:bookmarkStart w:id="1185" w:name="Tc_NCC-Nwy420uoZ5KiHymZDA_1_10"/>
      <w:bookmarkStart w:id="1186" w:name="Tc_RZ92NH7FyEGBpqe5Qcc4oQ_1_6"/>
      <w:bookmarkStart w:id="1187" w:name="Tc_5rsaAyoRqEC-wYymDbkl9A_1_2"/>
      <w:bookmarkStart w:id="1188" w:name="Tc_rKJVDWUyrkqeQP-deotx3g_7_0"/>
      <w:bookmarkStart w:id="1189" w:name="Tc_Lqvo0lqmDUmxefELC_MIuw_6_0"/>
      <w:bookmarkStart w:id="1190" w:name="Tc_T0jf-XRwikK5PyJ1MFw0vQ_5_0"/>
      <w:bookmarkStart w:id="1191" w:name="Tc_9zsWiNgOB0uyUzBLxw62Cw_4_0"/>
      <w:bookmarkStart w:id="1192" w:name="Tc_8jFTJTnVdEanbVJihu33Bw_3_0"/>
      <w:bookmarkStart w:id="1193" w:name="Tc_lXsUdBiGvkOsEYxd8vYh_w_2_2"/>
      <w:bookmarkStart w:id="1194" w:name="Tc_EHnAmkS6x0WtmkANZY1Jkw_1_2"/>
      <w:bookmarkStart w:id="1195" w:name="_c7658539_6ea3_4497_b6f5_dc43511783a2"/>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r>
        <w:rPr>
          <w:rFonts w:ascii="Times New Roman;Times;serif" w:hAnsi="Times New Roman;Times;serif"/>
          <w:sz w:val="20"/>
        </w:rPr>
        <w:t>A continuity schedule summarizing the movement in Class A Warrants is below:</w:t>
      </w:r>
    </w:p>
    <w:p>
      <w:pPr>
        <w:pStyle w:val="TextBody"/>
        <w:bidi w:val="0"/>
        <w:spacing w:before="0" w:after="0"/>
        <w:ind w:left="0" w:right="0" w:hanging="0"/>
        <w:jc w:val="left"/>
        <w:rPr/>
      </w:pPr>
      <w:r>
        <w:rPr/>
        <w:t>​</w:t>
      </w:r>
    </w:p>
    <w:tbl>
      <w:tblPr>
        <w:tblW w:w="4878" w:type="dxa"/>
        <w:jc w:val="left"/>
        <w:tblInd w:w="0" w:type="dxa"/>
        <w:tblLayout w:type="fixed"/>
        <w:tblCellMar>
          <w:top w:w="0" w:type="dxa"/>
          <w:left w:w="0" w:type="dxa"/>
          <w:bottom w:w="0" w:type="dxa"/>
          <w:right w:w="0" w:type="dxa"/>
        </w:tblCellMar>
      </w:tblPr>
      <w:tblGrid>
        <w:gridCol w:w="2971"/>
        <w:gridCol w:w="346"/>
        <w:gridCol w:w="156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886585" cy="175260"/>
                      <wp:effectExtent l="0" t="0" r="0" b="0"/>
                      <wp:wrapNone/>
                      <wp:docPr id="258" name="Frame23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59"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991235" cy="175260"/>
                      <wp:effectExtent l="0" t="0" r="0" b="0"/>
                      <wp:wrapNone/>
                      <wp:docPr id="260" name="Frame23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Number of Class A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3,980,770</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2,250,000</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6,230,770</w:t>
            </w:r>
          </w:p>
        </w:tc>
      </w:tr>
      <w:tr>
        <w:trPr/>
        <w:tc>
          <w:tcPr>
            <w:tcW w:w="29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Exercised</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(1,913,270)</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4,317,500</w:t>
            </w:r>
          </w:p>
        </w:tc>
      </w:tr>
    </w:tbl>
    <w:tbl>
      <w:tblPr>
        <w:tblW w:w="10205" w:type="dxa"/>
        <w:jc w:val="left"/>
        <w:tblInd w:w="0" w:type="dxa"/>
        <w:tblLayout w:type="fixed"/>
        <w:tblCellMar>
          <w:top w:w="0" w:type="dxa"/>
          <w:left w:w="0" w:type="dxa"/>
          <w:bottom w:w="0" w:type="dxa"/>
          <w:right w:w="0" w:type="dxa"/>
        </w:tblCellMar>
      </w:tblPr>
      <w:tblGrid>
        <w:gridCol w:w="124"/>
        <w:gridCol w:w="268"/>
        <w:gridCol w:w="9813"/>
      </w:tblGrid>
      <w:tr>
        <w:trPr/>
        <w:tc>
          <w:tcPr>
            <w:tcW w:w="1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lineRule="auto" w:line="240" w:before="0" w:after="240"/>
              <w:jc w:val="both"/>
              <w:rPr>
                <w:rFonts w:ascii="Times New Roman;Times;serif" w:hAnsi="Times New Roman;Times;serif"/>
                <w:sz w:val="15"/>
              </w:rPr>
            </w:pPr>
            <w:r>
              <w:rPr>
                <w:rFonts w:ascii="Times New Roman;Times;serif" w:hAnsi="Times New Roman;Times;serif"/>
                <w:sz w:val="15"/>
              </w:rPr>
              <w:t>(1)</w:t>
            </w:r>
          </w:p>
        </w:tc>
        <w:tc>
          <w:tcPr>
            <w:tcW w:w="981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During 2025, 1,913,270 Class A Warrants were exercised for which the Company received the exercise amount of $3.8 million.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the value of the outstanding 4,317,500 Class A Warrants (December 31, 2024: 6,230,770) amounting to $3.6 million (December 31, 2024: 5.3 million) was recorded in additional paid-in capital.</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Class B Warrants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a part of the 2024 Registered Direct Offering (Note 14), the Company issued an aggregate of 9,950,000 Class B Warrants for the purchase of common shares at an exercise price of $2.00 per share. The Class B Warrants expire 5 years from the issuance date. The valuation of the Class B Warrants was determined using a Monte Carlo simulation as on the date of issuance as per below.</w:t>
      </w:r>
    </w:p>
    <w:p>
      <w:pPr>
        <w:pStyle w:val="TextBody"/>
        <w:bidi w:val="0"/>
        <w:spacing w:before="0" w:after="0"/>
        <w:ind w:left="360" w:right="0" w:hanging="0"/>
        <w:jc w:val="both"/>
        <w:rPr/>
      </w:pPr>
      <w:r>
        <w:rPr/>
        <w:t>​</w:t>
      </w:r>
    </w:p>
    <w:tbl>
      <w:tblPr>
        <w:tblW w:w="8606" w:type="dxa"/>
        <w:jc w:val="left"/>
        <w:tblInd w:w="0" w:type="dxa"/>
        <w:tblLayout w:type="fixed"/>
        <w:tblCellMar>
          <w:top w:w="0" w:type="dxa"/>
          <w:left w:w="0" w:type="dxa"/>
          <w:bottom w:w="0" w:type="dxa"/>
          <w:right w:w="0" w:type="dxa"/>
        </w:tblCellMar>
      </w:tblPr>
      <w:tblGrid>
        <w:gridCol w:w="1876"/>
        <w:gridCol w:w="346"/>
        <w:gridCol w:w="211"/>
        <w:gridCol w:w="931"/>
        <w:gridCol w:w="301"/>
        <w:gridCol w:w="346"/>
        <w:gridCol w:w="156"/>
        <w:gridCol w:w="834"/>
        <w:gridCol w:w="301"/>
        <w:gridCol w:w="346"/>
        <w:gridCol w:w="156"/>
        <w:gridCol w:w="834"/>
        <w:gridCol w:w="301"/>
        <w:gridCol w:w="346"/>
        <w:gridCol w:w="153"/>
        <w:gridCol w:w="822"/>
        <w:gridCol w:w="346"/>
      </w:tblGrid>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November 14,</w:t>
            </w:r>
          </w:p>
        </w:tc>
        <w:tc>
          <w:tcPr>
            <w:tcW w:w="3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January 29,</w:t>
            </w:r>
          </w:p>
        </w:tc>
        <w:tc>
          <w:tcPr>
            <w:tcW w:w="3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January 30,</w:t>
            </w:r>
          </w:p>
        </w:tc>
        <w:tc>
          <w:tcPr>
            <w:tcW w:w="3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February 6,</w:t>
            </w:r>
          </w:p>
        </w:tc>
        <w:tc>
          <w:tcPr>
            <w:tcW w:w="346" w:type="dxa"/>
            <w:tcBorders/>
            <w:vAlign w:val="center"/>
          </w:tcPr>
          <w:p>
            <w:pPr>
              <w:pStyle w:val="TableContents"/>
              <w:bidi w:val="0"/>
              <w:spacing w:before="0" w:after="0"/>
              <w:ind w:left="0" w:right="0" w:hanging="0"/>
              <w:jc w:val="left"/>
              <w:rPr/>
            </w:pPr>
            <w:r>
              <w:rPr/>
              <w:t> </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Units issued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7,450,000</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righ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900,000</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righ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650,000</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950,000</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per warrant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0.60</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righ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0.98</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righ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w:t>
            </w:r>
          </w:p>
        </w:tc>
        <w:tc>
          <w:tcPr>
            <w:tcW w:w="346"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righ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righ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Assumptions used: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right"/>
              <w:rPr/>
            </w:pPr>
            <w:r>
              <w:rPr/>
              <w:t>​</w:t>
            </w:r>
          </w:p>
        </w:tc>
        <w:tc>
          <w:tcPr>
            <w:tcW w:w="834"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right"/>
              <w:rPr/>
            </w:pPr>
            <w:r>
              <w:rPr/>
              <w:t>​</w:t>
            </w:r>
          </w:p>
        </w:tc>
        <w:tc>
          <w:tcPr>
            <w:tcW w:w="834"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0.96</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w:t>
            </w:r>
          </w:p>
        </w:tc>
        <w:tc>
          <w:tcPr>
            <w:tcW w:w="346"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price threshold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109.38</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107.66</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107.66</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107.66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4.23</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4.23</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4.23</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4.23</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Class B Warrants contain a call provision under which if the Volume Weighted Average Price “VWAP” for 30 consecutive trading days exceeds $5.00, and the warrant holder does not possess material non-public information provided by the Company, the Company may call for cancellation the unexercised warrants, offering $0.0001 per Warrant Share. If conditions for the call are met, the unexercised portion of these warrants will be cancelled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trading days after the call notice is received.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the Class B Warrants had the same features as the above-mentioned Class A Warrants, the Company classified the Class B Warrants as equity (per ASC 815) and recorded the fair value of the Class B Warrants amounting to $7.2 million as additional paid-in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1196" w:name="Tc_GB4pMMwxjUKdRoU32UO4fg_11_10"/>
      <w:bookmarkStart w:id="1197" w:name="Tc_hvp-5gCynk2vOaFQoyKnmw_11_8"/>
      <w:bookmarkStart w:id="1198" w:name="Tc_SgIWfojW2kG-1GY-CP6KaQ_11_6"/>
      <w:bookmarkStart w:id="1199" w:name="Tc_0wVO80ZihE-dhqqu1CZmoQ_11_4"/>
      <w:bookmarkStart w:id="1200" w:name="Tc_ArX__8W1FkeqQpyVt4inXA_11_0"/>
      <w:bookmarkStart w:id="1201" w:name="Tc_D7JUKrkgSUm9dA9_tDX8tQ_10_10"/>
      <w:bookmarkStart w:id="1202" w:name="Tc_KsFu6uPSvE-JnMZZxeHamQ_10_8"/>
      <w:bookmarkStart w:id="1203" w:name="Tc_45tGn9ZLPUOv4brrBrephw_10_6"/>
      <w:bookmarkStart w:id="1204" w:name="Tc_UT4-ctra0UuJi-VlwxEfaw_10_4"/>
      <w:bookmarkStart w:id="1205" w:name="Tc_KBpc1tPRT0uL6UewDfcIsA_10_0"/>
      <w:bookmarkStart w:id="1206" w:name="Tc_IbsMHvRwsEGB25hiuy6g3g_9_9"/>
      <w:bookmarkStart w:id="1207" w:name="Tc_CKlvar-4IUilqdZ2Z-Zs2g_9_7"/>
      <w:bookmarkStart w:id="1208" w:name="Tc_vwYQU_Rf-UKgaxJ2rA6qgA_9_5"/>
      <w:bookmarkStart w:id="1209" w:name="Tc_oTEqN4PEzkyimTEd4mDrdg_9_3"/>
      <w:bookmarkStart w:id="1210" w:name="Tc_X_SkcB_XC06dWhbJiW6BaA_9_0"/>
      <w:bookmarkStart w:id="1211" w:name="Tc_yTnbwcUeCkaQCMXyeDemZA_8_10"/>
      <w:bookmarkStart w:id="1212" w:name="Tc_ZOrW9c1m20KyHjo0xUMjXA_8_8"/>
      <w:bookmarkStart w:id="1213" w:name="Tc_dh3Swr7l90SwJ0kiLWUGkw_8_6"/>
      <w:bookmarkStart w:id="1214" w:name="Tc_-xk-Ptzs0ES5l5YxdPfCiQ_8_4"/>
      <w:bookmarkStart w:id="1215" w:name="Tc_tQHanXUZbU2RfqEaYovg0g_8_0"/>
      <w:bookmarkStart w:id="1216" w:name="Tc_31Wbx2PnrkyVQqE-5wzn6w_7_2"/>
      <w:bookmarkStart w:id="1217" w:name="Tc_Fl2u0S7EtEeidH9r-ZkUnw_7_0"/>
      <w:bookmarkStart w:id="1218" w:name="Tc_CWWt2rfDQEa0_drIUiQDUw_6_2"/>
      <w:bookmarkStart w:id="1219" w:name="Tc_p8LYj84T0k6exeytXstMLA_6_0"/>
      <w:bookmarkStart w:id="1220" w:name="Tc_DYotmpg7fkOOmiD9T1t1tg_4_2"/>
      <w:bookmarkStart w:id="1221" w:name="Tc_wGfso8UAgUe830Xo82A6Cg_4_0"/>
      <w:bookmarkStart w:id="1222" w:name="Tc_5BPp2HlZY0qGzOocRz_vSQ_3_0"/>
      <w:bookmarkStart w:id="1223" w:name="Tc_2mQqreOsXE2upMH8nql7tA_2_9"/>
      <w:bookmarkStart w:id="1224" w:name="Tc_hpTmZaDdvkSWk2MAZncIKQ_2_7"/>
      <w:bookmarkStart w:id="1225" w:name="Tc_mMaCjLHtxUWK6l_k5udZaQ_2_5"/>
      <w:bookmarkStart w:id="1226" w:name="Tc_z-qAf4dwSkKivKz3NlSOLA_2_2"/>
      <w:bookmarkStart w:id="1227" w:name="Tc_1eG3YklWH0-oAmP1qv2sYw_1_9"/>
      <w:bookmarkStart w:id="1228" w:name="Tc_49sqko0wy0W4igteIrI-Gw_1_7"/>
      <w:bookmarkStart w:id="1229" w:name="Tc_jAr8Gel6skWcZY2KqwBn_g_1_5"/>
      <w:bookmarkStart w:id="1230" w:name="Tc_RtW4DJqZjUWtKCmXYR_O1w_1_2"/>
      <w:bookmarkStart w:id="1231" w:name="Tc_sf7elLw2LEeNcVFc83vP2g_8_0"/>
      <w:bookmarkStart w:id="1232" w:name="Tc_uK6fkOLpN0iQKhW4YId3sg_7_0"/>
      <w:bookmarkStart w:id="1233" w:name="Tc_kgkWxGYvFEylR2Ba178sUA_6_0"/>
      <w:bookmarkStart w:id="1234" w:name="Tc_kn8YA19nkUC5gHgjSLgiJQ_5_0"/>
      <w:bookmarkStart w:id="1235" w:name="Tc_jRbmhV-MZkOCw_U9RJtuOg_4_0"/>
      <w:bookmarkStart w:id="1236" w:name="Tc_YrkfK3OxpEiAiDZ83MFdEA_3_2"/>
      <w:bookmarkStart w:id="1237" w:name="Tc_gXubTmLtdEO-uT7_WqBKYQ_3_0"/>
      <w:bookmarkStart w:id="1238" w:name="Tc_IHyK2LdN4kG2lxi8OGQBcg_2_2"/>
      <w:bookmarkStart w:id="1239" w:name="Tc_lMAK8slVx0GZhVvDetKdMw_1_2"/>
      <w:bookmarkStart w:id="1240" w:name="_8523243a_a3a8_451b_a94d_1d4f713f1f0c"/>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Pr>
          <w:rFonts w:ascii="Times New Roman;Times;serif" w:hAnsi="Times New Roman;Times;serif"/>
          <w:sz w:val="20"/>
        </w:rPr>
        <w:t>On June 17, 2025, the Company waived the limitation set forth in the Class B Warrants with respect to the cashless exercise thereof so that the holders of the Class B Warrants may now exercise the Class B Warrants through a cashless exercise, whether or not a registration statement registering the issuance of the common shares underlying the Class B Warrants under the Securities Act, is then effective or available. As a result of the waiver, each Class B Warrant may now be immediately exercised by way of a cashless exercise, meaning that the holder may elect to not pay a cash purchase price upon exercise and instead receive upon such exercise the net number of common shares determined according to the formula set forth in the Class B Warrants, subject to the other terms and conditions of the Class B Warrants.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movements in Class B Warrants is below:</w:t>
      </w:r>
    </w:p>
    <w:p>
      <w:pPr>
        <w:pStyle w:val="TextBody"/>
        <w:bidi w:val="0"/>
        <w:spacing w:before="0" w:after="0"/>
        <w:ind w:left="0" w:right="0" w:hanging="0"/>
        <w:jc w:val="both"/>
        <w:rPr/>
      </w:pPr>
      <w:r>
        <w:rPr/>
        <w:t>​</w:t>
      </w:r>
    </w:p>
    <w:tbl>
      <w:tblPr>
        <w:tblW w:w="4863" w:type="dxa"/>
        <w:jc w:val="left"/>
        <w:tblInd w:w="0" w:type="dxa"/>
        <w:tblLayout w:type="fixed"/>
        <w:tblCellMar>
          <w:top w:w="0" w:type="dxa"/>
          <w:left w:w="0" w:type="dxa"/>
          <w:bottom w:w="0" w:type="dxa"/>
          <w:right w:w="0" w:type="dxa"/>
        </w:tblCellMar>
      </w:tblPr>
      <w:tblGrid>
        <w:gridCol w:w="2971"/>
        <w:gridCol w:w="346"/>
        <w:gridCol w:w="154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886585" cy="175260"/>
                      <wp:effectExtent l="0" t="0" r="0" b="0"/>
                      <wp:wrapNone/>
                      <wp:docPr id="261" name="Frame239"/>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2"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981710" cy="175260"/>
                      <wp:effectExtent l="0" t="0" r="0" b="0"/>
                      <wp:wrapNone/>
                      <wp:docPr id="263" name="Frame24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Number of Class B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7,450,000</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7,450,000</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w:t>
            </w:r>
          </w:p>
        </w:tc>
      </w:tr>
      <w:tr>
        <w:trPr/>
        <w:tc>
          <w:tcPr>
            <w:tcW w:w="29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Exercised</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(9,935,000)</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2025</w:t>
            </w:r>
          </w:p>
        </w:tc>
        <w:tc>
          <w:tcPr>
            <w:tcW w:w="34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15,000</w:t>
            </w:r>
          </w:p>
        </w:tc>
      </w:tr>
    </w:tbl>
    <w:tbl>
      <w:tblPr>
        <w:tblW w:w="10205" w:type="dxa"/>
        <w:jc w:val="left"/>
        <w:tblInd w:w="0" w:type="dxa"/>
        <w:tblLayout w:type="fixed"/>
        <w:tblCellMar>
          <w:top w:w="28" w:type="dxa"/>
          <w:left w:w="28" w:type="dxa"/>
          <w:bottom w:w="28" w:type="dxa"/>
          <w:right w:w="28" w:type="dxa"/>
        </w:tblCellMar>
      </w:tblPr>
      <w:tblGrid>
        <w:gridCol w:w="124"/>
        <w:gridCol w:w="242"/>
        <w:gridCol w:w="9839"/>
      </w:tblGrid>
      <w:tr>
        <w:trPr/>
        <w:tc>
          <w:tcPr>
            <w:tcW w:w="124" w:type="dxa"/>
            <w:tcBorders/>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3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2025, 9,935,000</w:t>
            </w:r>
            <w:r>
              <w:rPr>
                <w:caps w:val="false"/>
                <w:smallCaps w:val="false"/>
              </w:rPr>
              <w:t xml:space="preserve"> </w:t>
            </w:r>
            <w:r>
              <w:rPr>
                <w:rFonts w:ascii="Times New Roman;Times;serif" w:hAnsi="Times New Roman;Times;serif"/>
                <w:b w:val="false"/>
                <w:i w:val="false"/>
                <w:caps w:val="false"/>
                <w:smallCaps w:val="false"/>
                <w:sz w:val="20"/>
              </w:rPr>
              <w:t>Class B Warrants were exercised for which the Company received the exercise amount of $4.2</w:t>
            </w:r>
            <w:r>
              <w:rPr>
                <w:caps w:val="false"/>
                <w:smallCaps w:val="false"/>
              </w:rPr>
              <w:t xml:space="preserve"> </w:t>
            </w:r>
            <w:r>
              <w:rPr>
                <w:rFonts w:ascii="Times New Roman;Times;serif" w:hAnsi="Times New Roman;Times;serif"/>
                <w:b w:val="false"/>
                <w:i w:val="false"/>
                <w:caps w:val="false"/>
                <w:smallCaps w:val="false"/>
                <w:sz w:val="20"/>
              </w:rPr>
              <w:t>million. Out of the 9,935,000</w:t>
            </w:r>
            <w:r>
              <w:rPr>
                <w:caps w:val="false"/>
                <w:smallCaps w:val="false"/>
              </w:rPr>
              <w:t xml:space="preserve"> </w:t>
            </w:r>
            <w:r>
              <w:rPr>
                <w:rFonts w:ascii="Times New Roman;Times;serif" w:hAnsi="Times New Roman;Times;serif"/>
                <w:b w:val="false"/>
                <w:i w:val="false"/>
                <w:caps w:val="false"/>
                <w:smallCaps w:val="false"/>
                <w:sz w:val="20"/>
              </w:rPr>
              <w:t>Class B Warrants exercised during 2025, 5,035,000</w:t>
            </w:r>
            <w:r>
              <w:rPr>
                <w:caps w:val="false"/>
                <w:smallCaps w:val="false"/>
              </w:rPr>
              <w:t xml:space="preserve"> </w:t>
            </w:r>
            <w:r>
              <w:rPr>
                <w:rFonts w:ascii="Times New Roman;Times;serif" w:hAnsi="Times New Roman;Times;serif"/>
                <w:b w:val="false"/>
                <w:i w:val="false"/>
                <w:caps w:val="false"/>
                <w:smallCaps w:val="false"/>
                <w:sz w:val="20"/>
              </w:rPr>
              <w:t>Class B warrants were exercised by way of cashless exercises against which 3,533,096</w:t>
            </w:r>
            <w:r>
              <w:rPr>
                <w:caps w:val="false"/>
                <w:smallCaps w:val="false"/>
              </w:rPr>
              <w:t xml:space="preserve"> </w:t>
            </w:r>
            <w:r>
              <w:rPr>
                <w:rFonts w:ascii="Times New Roman;Times;serif" w:hAnsi="Times New Roman;Times;serif"/>
                <w:b w:val="false"/>
                <w:i w:val="false"/>
                <w:caps w:val="false"/>
                <w:smallCaps w:val="false"/>
                <w:sz w:val="20"/>
              </w:rPr>
              <w:t>common shares were issued.</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the value outstanding of 15,000 Class B Warrants (December 31, 2024 - 7,450,000 Class B Warrants) amounting to $9 thousand (December 31, 2024 - $4.5 million) was recorded in additional paid-in capital.</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Class C Warrants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a part of the 2025 Registered Direct Offering (Note 14), the Company issued an aggregate of 12,333,333 Class C Warrants to purchase common shares at an exercise price of $4.50 per share with an expiration date of May 12, 2028. The valuation of the Class C Warrants issued was determined using a Monte Carlo simulation on the date of issuance.</w:t>
      </w:r>
    </w:p>
    <w:p>
      <w:pPr>
        <w:pStyle w:val="TextBody"/>
        <w:bidi w:val="0"/>
        <w:spacing w:before="0" w:after="0"/>
        <w:ind w:left="360" w:right="0" w:hanging="0"/>
        <w:jc w:val="left"/>
        <w:rPr/>
      </w:pPr>
      <w:r>
        <w:rPr/>
        <w:t>​</w:t>
      </w:r>
    </w:p>
    <w:tbl>
      <w:tblPr>
        <w:tblW w:w="7586" w:type="dxa"/>
        <w:jc w:val="left"/>
        <w:tblInd w:w="0" w:type="dxa"/>
        <w:tblLayout w:type="fixed"/>
        <w:tblCellMar>
          <w:top w:w="0" w:type="dxa"/>
          <w:left w:w="0" w:type="dxa"/>
          <w:bottom w:w="0" w:type="dxa"/>
          <w:right w:w="0" w:type="dxa"/>
        </w:tblCellMar>
      </w:tblPr>
      <w:tblGrid>
        <w:gridCol w:w="1876"/>
        <w:gridCol w:w="346"/>
        <w:gridCol w:w="211"/>
        <w:gridCol w:w="976"/>
        <w:gridCol w:w="301"/>
        <w:gridCol w:w="976"/>
        <w:gridCol w:w="301"/>
        <w:gridCol w:w="976"/>
        <w:gridCol w:w="301"/>
        <w:gridCol w:w="976"/>
        <w:gridCol w:w="34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191260" cy="175260"/>
                      <wp:effectExtent l="0" t="0" r="0" b="0"/>
                      <wp:wrapNone/>
                      <wp:docPr id="264" name="Frame242"/>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5"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66"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19760" cy="175260"/>
                      <wp:effectExtent l="0" t="0" r="0" b="0"/>
                      <wp:wrapNone/>
                      <wp:docPr id="267" name="Frame24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91135" cy="175260"/>
                      <wp:effectExtent l="0" t="0" r="0" b="0"/>
                      <wp:wrapNone/>
                      <wp:docPr id="268" name="Frame24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19760" cy="175260"/>
                      <wp:effectExtent l="0" t="0" r="0" b="0"/>
                      <wp:wrapNone/>
                      <wp:docPr id="269" name="Frame24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91135" cy="175260"/>
                      <wp:effectExtent l="0" t="0" r="0" b="0"/>
                      <wp:wrapNone/>
                      <wp:docPr id="270" name="Frame24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19760" cy="175260"/>
                      <wp:effectExtent l="0" t="0" r="0" b="0"/>
                      <wp:wrapNone/>
                      <wp:docPr id="271" name="Frame24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91135" cy="175260"/>
                      <wp:effectExtent l="0" t="0" r="0" b="0"/>
                      <wp:wrapNone/>
                      <wp:docPr id="272" name="Frame25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19760" cy="175260"/>
                      <wp:effectExtent l="0" t="0" r="0" b="0"/>
                      <wp:wrapNone/>
                      <wp:docPr id="273" name="Frame25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4"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May 22, </w:t>
            </w:r>
          </w:p>
        </w:tc>
        <w:tc>
          <w:tcPr>
            <w:tcW w:w="301"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10,</w:t>
            </w:r>
          </w:p>
        </w:tc>
        <w:tc>
          <w:tcPr>
            <w:tcW w:w="30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25,</w:t>
            </w:r>
          </w:p>
        </w:tc>
        <w:tc>
          <w:tcPr>
            <w:tcW w:w="301"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July 1,</w:t>
            </w:r>
          </w:p>
        </w:tc>
        <w:tc>
          <w:tcPr>
            <w:tcW w:w="346" w:type="dxa"/>
            <w:tcBorders/>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righ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righ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righ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Units Issued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2,333,333</w:t>
            </w:r>
          </w:p>
        </w:tc>
        <w:tc>
          <w:tcPr>
            <w:tcW w:w="301"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6,666,666</w:t>
            </w:r>
          </w:p>
        </w:tc>
        <w:tc>
          <w:tcPr>
            <w:tcW w:w="30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1,003,334</w:t>
            </w:r>
          </w:p>
        </w:tc>
        <w:tc>
          <w:tcPr>
            <w:tcW w:w="301"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2,330,000</w:t>
            </w:r>
          </w:p>
        </w:tc>
        <w:tc>
          <w:tcPr>
            <w:tcW w:w="346" w:type="dxa"/>
            <w:tcBorders/>
            <w:shd w:fill="CCEEFF" w:val="clear"/>
            <w:vAlign w:val="center"/>
          </w:tcPr>
          <w:p>
            <w:pPr>
              <w:pStyle w:val="TableContents"/>
              <w:bidi w:val="0"/>
              <w:spacing w:before="0" w:after="0"/>
              <w:ind w:left="0" w:right="0" w:hanging="0"/>
              <w:jc w:val="center"/>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per warrant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w:t>
            </w:r>
          </w:p>
        </w:tc>
        <w:tc>
          <w:tcPr>
            <w:tcW w:w="30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w:t>
            </w:r>
          </w:p>
        </w:tc>
        <w:tc>
          <w:tcPr>
            <w:tcW w:w="30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3.88</w:t>
            </w:r>
          </w:p>
        </w:tc>
        <w:tc>
          <w:tcPr>
            <w:tcW w:w="30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3.01</w:t>
            </w:r>
          </w:p>
        </w:tc>
        <w:tc>
          <w:tcPr>
            <w:tcW w:w="346" w:type="dxa"/>
            <w:tcBorders/>
            <w:vAlign w:val="center"/>
          </w:tcPr>
          <w:p>
            <w:pPr>
              <w:pStyle w:val="TableContents"/>
              <w:bidi w:val="0"/>
              <w:spacing w:before="0" w:after="0"/>
              <w:ind w:left="0" w:right="0" w:hanging="0"/>
              <w:jc w:val="center"/>
              <w:rPr/>
            </w:pPr>
            <w:r>
              <w:rPr/>
              <w:t>​</w:t>
            </w:r>
          </w:p>
        </w:tc>
      </w:tr>
      <w:tr>
        <w:trPr/>
        <w:tc>
          <w:tcPr>
            <w:tcW w:w="18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w:t>
            </w:r>
          </w:p>
        </w:tc>
        <w:tc>
          <w:tcPr>
            <w:tcW w:w="30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w:t>
            </w:r>
          </w:p>
        </w:tc>
        <w:tc>
          <w:tcPr>
            <w:tcW w:w="30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w:t>
            </w:r>
          </w:p>
        </w:tc>
        <w:tc>
          <w:tcPr>
            <w:tcW w:w="30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w:t>
            </w:r>
          </w:p>
        </w:tc>
        <w:tc>
          <w:tcPr>
            <w:tcW w:w="346"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4.30</w:t>
            </w:r>
          </w:p>
        </w:tc>
        <w:tc>
          <w:tcPr>
            <w:tcW w:w="30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4.24</w:t>
            </w:r>
          </w:p>
        </w:tc>
        <w:tc>
          <w:tcPr>
            <w:tcW w:w="30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7.49</w:t>
            </w:r>
          </w:p>
        </w:tc>
        <w:tc>
          <w:tcPr>
            <w:tcW w:w="30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5.94</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118.49</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118.49</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101.14</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106.26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Term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2.92</w:t>
            </w:r>
            <w:r>
              <w:rPr>
                <w:rFonts w:ascii="Times New Roman;Times;serif" w:hAnsi="Times New Roman;Times;serif"/>
                <w:sz w:val="20"/>
              </w:rPr>
              <w:t xml:space="preserve"> </w:t>
            </w:r>
            <w:r>
              <w:rPr>
                <w:rFonts w:ascii="Times New Roman;Times;serif" w:hAnsi="Times New Roman;Times;serif"/>
                <w:b/>
                <w:sz w:val="20"/>
              </w:rPr>
              <w:t>years</w:t>
            </w:r>
          </w:p>
        </w:tc>
        <w:tc>
          <w:tcPr>
            <w:tcW w:w="30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2.92</w:t>
            </w:r>
            <w:r>
              <w:rPr>
                <w:rFonts w:ascii="Times New Roman;Times;serif" w:hAnsi="Times New Roman;Times;serif"/>
                <w:sz w:val="20"/>
              </w:rPr>
              <w:t xml:space="preserve"> </w:t>
            </w:r>
            <w:r>
              <w:rPr>
                <w:rFonts w:ascii="Times New Roman;Times;serif" w:hAnsi="Times New Roman;Times;serif"/>
                <w:b/>
                <w:sz w:val="20"/>
              </w:rPr>
              <w:t>years</w:t>
            </w:r>
          </w:p>
        </w:tc>
        <w:tc>
          <w:tcPr>
            <w:tcW w:w="30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2.88</w:t>
            </w:r>
            <w:r>
              <w:rPr>
                <w:rFonts w:ascii="Times New Roman;Times;serif" w:hAnsi="Times New Roman;Times;serif"/>
                <w:sz w:val="20"/>
              </w:rPr>
              <w:t xml:space="preserve"> </w:t>
            </w:r>
            <w:r>
              <w:rPr>
                <w:rFonts w:ascii="Times New Roman;Times;serif" w:hAnsi="Times New Roman;Times;serif"/>
                <w:b/>
                <w:sz w:val="20"/>
              </w:rPr>
              <w:t>years</w:t>
            </w:r>
          </w:p>
        </w:tc>
        <w:tc>
          <w:tcPr>
            <w:tcW w:w="30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2.88</w:t>
            </w:r>
            <w:r>
              <w:rPr>
                <w:rFonts w:ascii="Times New Roman;Times;serif" w:hAnsi="Times New Roman;Times;serif"/>
                <w:sz w:val="20"/>
              </w:rPr>
              <w:t xml:space="preserve"> </w:t>
            </w:r>
            <w:r>
              <w:rPr>
                <w:rFonts w:ascii="Times New Roman;Times;serif" w:hAnsi="Times New Roman;Times;serif"/>
                <w:b/>
                <w:sz w:val="20"/>
              </w:rPr>
              <w:t>years</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3.87</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3.87</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3.67</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Class C Warrants contain a call provision under which if the Volume Weighted Average Price “VWAP” for 20 consecutive trading days exceeds $7.00, and the warrant holder does not possess material non-public information provided by the Company, the Company may call for cancellation of the unexercised warrants, offering $0.0001 per Warrant Share. If conditions for the call are met, the unexercised portion of these warrants may be cancelled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trading days after the call notice is received.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1241" w:name="Tc_Zn3CciAVEUig8vOQLuVg6Q_4_0"/>
      <w:bookmarkStart w:id="1242" w:name="Tc_q_qSG5nQckuBcT4RzVco7g_3_0"/>
      <w:bookmarkStart w:id="1243" w:name="Tc_h0xuZX6Qakau8OJZOLOB6A_2_2"/>
      <w:bookmarkStart w:id="1244" w:name="Tc_kkFooOIKMEuMi_X-EqF_Gw_2_0"/>
      <w:bookmarkStart w:id="1245" w:name="Tc_bVwTv0IkpU6kLx_fIxYFtw_1_2"/>
      <w:bookmarkStart w:id="1246" w:name="Tc_MwF2MPbK7kGuT2ZLyFnuQA_8_4"/>
      <w:bookmarkStart w:id="1247" w:name="Tc_RAPOfXKJKUmV2qA9HLaZvA_8_0"/>
      <w:bookmarkStart w:id="1248" w:name="Tc_4OywCl4lT0eqw395xBlC8w_7_4"/>
      <w:bookmarkStart w:id="1249" w:name="Tc_gUrhgX7o4ECI9qEvnD2GUg_7_0"/>
      <w:bookmarkStart w:id="1250" w:name="Tc__EduxIiJIkmb-6YSbFWQzQ_6_3"/>
      <w:bookmarkStart w:id="1251" w:name="Tc_FBlPPtPeykKZF74wrx_Utw_6_0"/>
      <w:bookmarkStart w:id="1252" w:name="Tc_G0l_QNtcYUmEd2nVS7AxaA_5_4"/>
      <w:bookmarkStart w:id="1253" w:name="Tc_XNUpTTg_3kSxTfFpunlO3Q_5_0"/>
      <w:bookmarkStart w:id="1254" w:name="Tc_p0BL_8zvDUqp645ME3D2Tg_4_2"/>
      <w:bookmarkStart w:id="1255" w:name="Tc_0HTrUVz0XUO95CLYXfIlIw_4_0"/>
      <w:bookmarkStart w:id="1256" w:name="Tc_aMYN9CEcAk2EPnetTtXUCg_3_2"/>
      <w:bookmarkStart w:id="1257" w:name="Tc_AtD3LdLH5UmS9PkNO53oZg_3_0"/>
      <w:bookmarkStart w:id="1258" w:name="Tc_dM2WT6d54E-N-FhRHIPGYQ_2_2"/>
      <w:bookmarkStart w:id="1259" w:name="Tc_DPjKO73uFUODe3dCTJH4aQ_1_2"/>
      <w:bookmarkStart w:id="1260" w:name="Tc_zpgpu9wABUOpnRDl2CQsIw_6_0"/>
      <w:bookmarkStart w:id="1261" w:name="Tc_TEUPcMbV9E69ifQHDE9pxw_5_0"/>
      <w:bookmarkStart w:id="1262" w:name="Tc_Tv4DRKiwMUKoerl32NCoQg_4_0"/>
      <w:bookmarkStart w:id="1263" w:name="Tc_ipyDC6faiUqokLMGL9C86w_3_2"/>
      <w:bookmarkStart w:id="1264" w:name="Tc_GH_AJSpcdkCDJay97wrzuQ_3_0"/>
      <w:bookmarkStart w:id="1265" w:name="Tc_aQ_KnfacTUm3TcA4lDBJ6g_2_2"/>
      <w:bookmarkStart w:id="1266" w:name="Tc_hsP3PAPTNU6QhL2TH0bbSg_1_2"/>
      <w:bookmarkStart w:id="1267" w:name="_85ba7250_61aa_42f0_a42e_d4cf29cea881"/>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Pr>
          <w:rFonts w:ascii="Times New Roman;Times;serif" w:hAnsi="Times New Roman;Times;serif"/>
          <w:sz w:val="20"/>
        </w:rPr>
        <w:t xml:space="preserve">As the Class C Warrants had the same features as the above-mentioned Class A Warrants and Class B Warrants, the Company classified the Class C Warrants as equity (per ASC 815) and recorded the value amounting to $12.5 million in additional paid-in capital.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movements in Class C Warrants is below:</w:t>
      </w:r>
    </w:p>
    <w:p>
      <w:pPr>
        <w:pStyle w:val="TextBody"/>
        <w:bidi w:val="0"/>
        <w:spacing w:before="0" w:after="0"/>
        <w:ind w:left="0" w:right="0" w:hanging="0"/>
        <w:jc w:val="left"/>
        <w:rPr/>
      </w:pPr>
      <w:r>
        <w:rPr/>
        <w:t>​</w:t>
      </w:r>
    </w:p>
    <w:tbl>
      <w:tblPr>
        <w:tblW w:w="4878" w:type="dxa"/>
        <w:jc w:val="left"/>
        <w:tblInd w:w="0" w:type="dxa"/>
        <w:tblLayout w:type="fixed"/>
        <w:tblCellMar>
          <w:top w:w="0" w:type="dxa"/>
          <w:left w:w="0" w:type="dxa"/>
          <w:bottom w:w="0" w:type="dxa"/>
          <w:right w:w="0" w:type="dxa"/>
        </w:tblCellMar>
      </w:tblPr>
      <w:tblGrid>
        <w:gridCol w:w="2971"/>
        <w:gridCol w:w="346"/>
        <w:gridCol w:w="156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886585" cy="175260"/>
                      <wp:effectExtent l="0" t="0" r="0" b="0"/>
                      <wp:wrapNone/>
                      <wp:docPr id="275" name="Frame25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76"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91235" cy="175260"/>
                      <wp:effectExtent l="0" t="0" r="0" b="0"/>
                      <wp:wrapNone/>
                      <wp:docPr id="277" name="Frame25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Number of Class C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12,333,333</w:t>
            </w:r>
          </w:p>
        </w:tc>
      </w:tr>
      <w:tr>
        <w:trPr/>
        <w:tc>
          <w:tcPr>
            <w:tcW w:w="29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(2,330,000)</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2025</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10,003,333</w:t>
            </w:r>
          </w:p>
        </w:tc>
      </w:tr>
    </w:tbl>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During 2025, 2,330,000 Class C Warrants were exercised for which the Company received the exercise amount of $10.5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the value of the outstanding 10,003,333 Class C Warrants amounting to $10.2 million was recorded in additional paid-in capital.</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Warrants issued to Korea Zinc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As part of the Korea Zinc Agreement (Note 14), the Company on June 25, 2025 issued 6,868,181 warrants to Korea Zinc to purchase common shares of the Company at an exercise price of $7.00 per share with an expiration date of June 25, 2028.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fair value of the warrants issued to Korea Zinc was determined using a Monte Carlo simulation on June 25, 2025, resulting with a fair value of $3.35 per warrant. The fair value of the warrants was estimated using the following assumptions:</w:t>
      </w:r>
    </w:p>
    <w:p>
      <w:pPr>
        <w:pStyle w:val="TextBody"/>
        <w:bidi w:val="0"/>
        <w:spacing w:before="0" w:after="0"/>
        <w:ind w:left="0" w:right="0" w:hanging="0"/>
        <w:jc w:val="left"/>
        <w:rPr/>
      </w:pPr>
      <w:r>
        <w:rPr/>
        <w:t>​</w:t>
      </w:r>
    </w:p>
    <w:tbl>
      <w:tblPr>
        <w:tblW w:w="2975" w:type="dxa"/>
        <w:jc w:val="left"/>
        <w:tblInd w:w="0" w:type="dxa"/>
        <w:tblLayout w:type="fixed"/>
        <w:tblCellMar>
          <w:top w:w="0" w:type="dxa"/>
          <w:left w:w="0" w:type="dxa"/>
          <w:bottom w:w="0" w:type="dxa"/>
          <w:right w:w="0" w:type="dxa"/>
        </w:tblCellMar>
      </w:tblPr>
      <w:tblGrid>
        <w:gridCol w:w="1351"/>
        <w:gridCol w:w="346"/>
        <w:gridCol w:w="211"/>
        <w:gridCol w:w="721"/>
        <w:gridCol w:w="34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857885" cy="175260"/>
                      <wp:effectExtent l="0" t="0" r="0" b="0"/>
                      <wp:wrapNone/>
                      <wp:docPr id="278" name="Frame25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79"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0"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57835" cy="175260"/>
                      <wp:effectExtent l="0" t="0" r="0" b="0"/>
                      <wp:wrapNone/>
                      <wp:docPr id="281" name="Frame25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2"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25,</w:t>
            </w:r>
          </w:p>
        </w:tc>
        <w:tc>
          <w:tcPr>
            <w:tcW w:w="346" w:type="dxa"/>
            <w:tcBorders/>
            <w:vAlign w:val="center"/>
          </w:tcPr>
          <w:p>
            <w:pPr>
              <w:pStyle w:val="TableContents"/>
              <w:bidi w:val="0"/>
              <w:spacing w:before="0" w:after="0"/>
              <w:ind w:left="0" w:right="0" w:hanging="0"/>
              <w:jc w:val="left"/>
              <w:rPr/>
            </w:pPr>
            <w:r>
              <w:rPr/>
              <w:t> </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7.00</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7.49</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100.55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xml:space="preserve"> </w:t>
            </w:r>
            <w:r>
              <w:rPr>
                <w:rFonts w:ascii="Times New Roman;Times;serif" w:hAnsi="Times New Roman;Times;serif"/>
                <w:b/>
                <w:sz w:val="20"/>
              </w:rPr>
              <w:t>years</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warrants issued to Korea Zinc contain a call provision under which if the VWAP for 20 consecutive trading days exceeds $10, and Korea Zinc does not possess material non-public information provided by the Company, the Company may call for cancellation of the unexercised warrants, offering $0.0001 per warrant Share. If conditions for the call are met, the unexercised portion of these warrants will be cancelled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trading days after the call notice is received.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Similar to the Class A, Class B and Class C Warrants, the Company classified the warrants issued to Korea Zinc as equity (per ASC 815) and the value of the warrants amounting to $11.5 million was recorded in additional paid-in capital.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 in Warrants issued to Korea Zinc is below:</w:t>
      </w:r>
    </w:p>
    <w:p>
      <w:pPr>
        <w:pStyle w:val="TextBody"/>
        <w:bidi w:val="0"/>
        <w:spacing w:before="0" w:after="0"/>
        <w:ind w:left="0" w:right="0" w:hanging="0"/>
        <w:jc w:val="left"/>
        <w:rPr/>
      </w:pPr>
      <w:r>
        <w:rPr/>
        <w:t>​</w:t>
      </w:r>
    </w:p>
    <w:tbl>
      <w:tblPr>
        <w:tblW w:w="4998" w:type="dxa"/>
        <w:jc w:val="left"/>
        <w:tblInd w:w="0" w:type="dxa"/>
        <w:tblLayout w:type="fixed"/>
        <w:tblCellMar>
          <w:top w:w="0" w:type="dxa"/>
          <w:left w:w="0" w:type="dxa"/>
          <w:bottom w:w="0" w:type="dxa"/>
          <w:right w:w="0" w:type="dxa"/>
        </w:tblCellMar>
      </w:tblPr>
      <w:tblGrid>
        <w:gridCol w:w="2971"/>
        <w:gridCol w:w="346"/>
        <w:gridCol w:w="168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886585" cy="175260"/>
                      <wp:effectExtent l="0" t="0" r="0" b="0"/>
                      <wp:wrapNone/>
                      <wp:docPr id="283" name="Frame261"/>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4"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067435" cy="175260"/>
                      <wp:effectExtent l="0" t="0" r="0" b="0"/>
                      <wp:wrapNone/>
                      <wp:docPr id="285" name="Frame26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Number of Warrants</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0"/>
              <w:ind w:left="0" w:right="0" w:hanging="0"/>
              <w:jc w:val="left"/>
              <w:rPr/>
            </w:pPr>
            <w:r>
              <w:rPr/>
              <w:t>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6,868,181</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6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6,868,181</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i/>
          <w:sz w:val="20"/>
        </w:rPr>
      </w:pPr>
      <w:bookmarkStart w:id="1268" w:name="Tc_WAg45YRTokOKgCB3mtYfzg_8_4"/>
      <w:bookmarkStart w:id="1269" w:name="Tc_puID-vV_FEunvbIhjiqFFA_8_0"/>
      <w:bookmarkStart w:id="1270" w:name="Tc_Olt-MR-TkEiOkAogK0177w_7_4"/>
      <w:bookmarkStart w:id="1271" w:name="Tc_95K_TfTfPEeZb5XC9atoWQ_7_0"/>
      <w:bookmarkStart w:id="1272" w:name="Tc_A2AvxprsFk-mGKrd3VNkOQ_6_3"/>
      <w:bookmarkStart w:id="1273" w:name="Tc_zEWQbREeokqUbB-3La9QJA_6_0"/>
      <w:bookmarkStart w:id="1274" w:name="Tc_IB0KaGk0R0qsHYkJhiPhGQ_5_4"/>
      <w:bookmarkStart w:id="1275" w:name="Tc_xyt7UmZYo0uM-gmySO-RMQ_5_0"/>
      <w:bookmarkStart w:id="1276" w:name="Tc_eRdNl2vuokmPHQPAEsmIfA_4_2"/>
      <w:bookmarkStart w:id="1277" w:name="Tc_i0n_J0tGm0GDOQHyQ3K-NA_4_0"/>
      <w:bookmarkStart w:id="1278" w:name="Tc_RA9rJIxN806GR7XWk72guQ_3_2"/>
      <w:bookmarkStart w:id="1279" w:name="Tc_M_iwGiQDB0GbaNo_Su3RDA_3_0"/>
      <w:bookmarkStart w:id="1280" w:name="Tc_vDzF7x0eZ06-WsORlfrKLQ_2_2"/>
      <w:bookmarkStart w:id="1281" w:name="Tc_rRaIXd9okUKvVKdxG7OyWw_1_2"/>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Pr>
          <w:rFonts w:ascii="Times New Roman;Times;serif" w:hAnsi="Times New Roman;Times;serif"/>
          <w:b/>
          <w:i/>
          <w:sz w:val="20"/>
        </w:rPr>
        <w:t>Warrants issued to Republic of Nauru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the revised sponsorship agreement dated May 29, 2025, between the Nauru Seabed Minerals Authority, Nauru and NORI, the Company on May 30, 2025, issued 9,146,268 warrants (“Nauru Warrants”) to Nauru to purchase the common shares of the Company at an exercise price of $4.72 per share with an expiration date of May 30, 2030. The Nauru Warrants cannot be exercised through a cashless or net exercise.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fair value of the Nauru Warrants was calculated using a Black-Scholes valuation on May 30, 2025, resulting with a fair value of $3.62 per warrant. The fair value of the Nauru Warrants was estimated using the following assumptions:</w:t>
      </w:r>
    </w:p>
    <w:p>
      <w:pPr>
        <w:pStyle w:val="TextBody"/>
        <w:bidi w:val="0"/>
        <w:spacing w:before="0" w:after="0"/>
        <w:ind w:left="0" w:right="0" w:hanging="0"/>
        <w:jc w:val="left"/>
        <w:rPr/>
      </w:pPr>
      <w:r>
        <w:rPr/>
        <w:t>​</w:t>
      </w:r>
    </w:p>
    <w:tbl>
      <w:tblPr>
        <w:tblW w:w="2975" w:type="dxa"/>
        <w:jc w:val="left"/>
        <w:tblInd w:w="0" w:type="dxa"/>
        <w:tblLayout w:type="fixed"/>
        <w:tblCellMar>
          <w:top w:w="0" w:type="dxa"/>
          <w:left w:w="0" w:type="dxa"/>
          <w:bottom w:w="0" w:type="dxa"/>
          <w:right w:w="0" w:type="dxa"/>
        </w:tblCellMar>
      </w:tblPr>
      <w:tblGrid>
        <w:gridCol w:w="1351"/>
        <w:gridCol w:w="346"/>
        <w:gridCol w:w="211"/>
        <w:gridCol w:w="721"/>
        <w:gridCol w:w="34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857885" cy="175260"/>
                      <wp:effectExtent l="0" t="0" r="0" b="0"/>
                      <wp:wrapNone/>
                      <wp:docPr id="286" name="Frame26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87"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88"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57835" cy="175260"/>
                      <wp:effectExtent l="0" t="0" r="0" b="0"/>
                      <wp:wrapNone/>
                      <wp:docPr id="289" name="Frame26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0"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May 30,</w:t>
            </w:r>
          </w:p>
        </w:tc>
        <w:tc>
          <w:tcPr>
            <w:tcW w:w="346"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4.72</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4.47</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114.71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5</w:t>
            </w:r>
            <w:r>
              <w:rPr>
                <w:rFonts w:ascii="Times New Roman;Times;serif" w:hAnsi="Times New Roman;Times;serif"/>
                <w:sz w:val="20"/>
              </w:rPr>
              <w:t xml:space="preserve"> </w:t>
            </w:r>
            <w:r>
              <w:rPr>
                <w:rFonts w:ascii="Times New Roman;Times;serif" w:hAnsi="Times New Roman;Times;serif"/>
                <w:b/>
                <w:sz w:val="20"/>
              </w:rPr>
              <w:t>years</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Nauru Warrants cannot be exercised until the following conditions have been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of the Company other than NORI obtains a permit, license or other authorization from the United States for the conduct of deep seabed mineral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other than NORI commences commercial recovery activities of deep seabed minerals pursuant to that permit, license or other authorization.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Nauru Warrants were not determined to be liabilities under ASC 480 as they were not mandatorily redeemable. The Company classified the Nauru Warrants as equity (per ASC 815), as the warrants require physical settlement and were also considered to be indexed to the Company’s share, wherein, upon exercise, a fixed number of common shares would be issued on payment of a fixed exercise price. As at December 31, 2025, the fair value of the Nauru Warrants amounting to $33.1 million was recorded in additional paid-in capital. Since the Company receives no form of consideration from Nauru in return for issuing the Nauru Warrants, the entire fair value of the Nauru warrants amounting to $33.1 million is recorded as an expense in 2025 under Nauru and Tonga warrant costs in the consolidated statement of loss and comprehensive loss.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Warrants issued to the Kingdom of Tonga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the revised sponsorship agreement dated August 4, 2025, between the Tonga Seabed Minerals Authority and TOML, the Company issued, on August 4, 2025, 1,000,000 warrants (“Tonga Warrants”) to Tonga to purchase the common shares of the Company at an exercise price of $5.87 per share with an expiration date of August 4, 2033. The Tonga Warrants cannot be exercised through a cashless or net exercise.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1282" w:name="Tc_ACZEsFVsj0CCG21_PnPAYQ_8_4"/>
      <w:bookmarkStart w:id="1283" w:name="Tc_xXNC6fjQHUuBEGve8sT31Q_8_0"/>
      <w:bookmarkStart w:id="1284" w:name="Tc_JMXkRPsQH0eWC3F_YKTupg_7_4"/>
      <w:bookmarkStart w:id="1285" w:name="Tc_hPddu4wsKEqUil_phV2hXg_7_0"/>
      <w:bookmarkStart w:id="1286" w:name="Tc_y6VQ5ThKn0ef62xb4LuUaw_6_3"/>
      <w:bookmarkStart w:id="1287" w:name="Tc_VeU2rMAMykSjB_tjn0EQ6w_6_0"/>
      <w:bookmarkStart w:id="1288" w:name="Tc_5DQY4V8f1USwr1BTmM8HOA_5_4"/>
      <w:bookmarkStart w:id="1289" w:name="Tc_a7n9SzSdf0y6WLDqBm8Rgg_5_0"/>
      <w:bookmarkStart w:id="1290" w:name="Tc_aNPPhslty0WjyH5Qms4-Rg_4_2"/>
      <w:bookmarkStart w:id="1291" w:name="Tc_JF5BHmWS9UuBDHphL9BW8A_4_0"/>
      <w:bookmarkStart w:id="1292" w:name="Tc_bBGnUJOsgEmTWecolu3tEg_3_2"/>
      <w:bookmarkStart w:id="1293" w:name="Tc_WZEjasVWSE-Kvqn9uYXW2Q_3_0"/>
      <w:bookmarkStart w:id="1294" w:name="Tc_4J8WBaAXqUymj74WZrqU-w_2_2"/>
      <w:bookmarkStart w:id="1295" w:name="Tc_4CNmLJHLvEqUlepiqpHKkA_1_2"/>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r>
        <w:rPr>
          <w:rFonts w:ascii="Times New Roman;Times;serif" w:hAnsi="Times New Roman;Times;serif"/>
          <w:sz w:val="20"/>
        </w:rPr>
        <w:t>The fair value of the Tonga Warrants was calculated on issuance using a Black-Scholes valuation, 2025, resulting with a fair value of $5 per warrant. The fair value of the Tonga Warrants was estimated using the following assumptions:</w:t>
      </w:r>
    </w:p>
    <w:p>
      <w:pPr>
        <w:pStyle w:val="TextBody"/>
        <w:bidi w:val="0"/>
        <w:spacing w:before="0" w:after="0"/>
        <w:ind w:left="0" w:right="0" w:hanging="0"/>
        <w:jc w:val="left"/>
        <w:rPr/>
      </w:pPr>
      <w:r>
        <w:rPr/>
        <w:t>​</w:t>
      </w:r>
    </w:p>
    <w:tbl>
      <w:tblPr>
        <w:tblW w:w="2975" w:type="dxa"/>
        <w:jc w:val="left"/>
        <w:tblInd w:w="0" w:type="dxa"/>
        <w:tblLayout w:type="fixed"/>
        <w:tblCellMar>
          <w:top w:w="0" w:type="dxa"/>
          <w:left w:w="0" w:type="dxa"/>
          <w:bottom w:w="0" w:type="dxa"/>
          <w:right w:w="0" w:type="dxa"/>
        </w:tblCellMar>
      </w:tblPr>
      <w:tblGrid>
        <w:gridCol w:w="1351"/>
        <w:gridCol w:w="346"/>
        <w:gridCol w:w="211"/>
        <w:gridCol w:w="721"/>
        <w:gridCol w:w="34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857885" cy="175260"/>
                      <wp:effectExtent l="0" t="0" r="0" b="0"/>
                      <wp:wrapNone/>
                      <wp:docPr id="291" name="Frame269"/>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2"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3"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57835" cy="175260"/>
                      <wp:effectExtent l="0" t="0" r="0" b="0"/>
                      <wp:wrapNone/>
                      <wp:docPr id="294" name="Frame27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5"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August 4,</w:t>
            </w:r>
          </w:p>
        </w:tc>
        <w:tc>
          <w:tcPr>
            <w:tcW w:w="346"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5.87</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5.65</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112.33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8</w:t>
            </w:r>
            <w:r>
              <w:rPr>
                <w:rFonts w:ascii="Times New Roman;Times;serif" w:hAnsi="Times New Roman;Times;serif"/>
                <w:sz w:val="20"/>
              </w:rPr>
              <w:t xml:space="preserve"> </w:t>
            </w:r>
            <w:r>
              <w:rPr>
                <w:rFonts w:ascii="Times New Roman;Times;serif" w:hAnsi="Times New Roman;Times;serif"/>
                <w:b/>
                <w:sz w:val="20"/>
              </w:rPr>
              <w:t>years</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Tonga Warrants cannot be exercised until the following conditions have been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of the Company other than TOML obtains a permit, license or other authorization from the US for the conduct of deep seabed mineral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other than TOML commences commercial recovery activities of deep seabed minerals pursuant to that permit, license or other authorization.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Tonga Warrants were not determined to be liabilities under ASC 480 as they were not mandatorily redeemable. The Company classified the Tonga Warrants as equity (per ASC 815), as the warrants require physical settlement and were also considered to be indexed to the Company’s share, wherein, upon exercise, a fixed number of common shares would be issued on payment of a fixed exercise price. As at December 31, 2025, the fair value of the Tonga Warrants amounting to $5 million was recorded in additional paid-in capital. Since the Company receives no form of consideration from the State in return for issuing the Tonga Warrants, the entire fair value of the Tonga Warrants was recorded as an expense in 2025 under Nauru and Tonga warrant costs in the consolidated statement of loss and comprehensive loss.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296" w:name="Tc_togUO49HgUu6SPcozLjydA_14_2"/>
      <w:bookmarkStart w:id="1297" w:name="Tc_0zPE90iQ80eozawnzkcZNQ_14_0"/>
      <w:bookmarkStart w:id="1298" w:name="Tc_32AjQXuX1UiYCJt2gmOFUg_13_2"/>
      <w:bookmarkStart w:id="1299" w:name="Tc_Jbrcl1nAhUmuMvGKQVi9xg_13_0"/>
      <w:bookmarkStart w:id="1300" w:name="Tc_zfFRg7eqNE6jSw7ovdWfSA_12_2"/>
      <w:bookmarkStart w:id="1301" w:name="Tc_KjNkoyXlUUykOHSn1CNDRg_12_0"/>
      <w:bookmarkStart w:id="1302" w:name="Tc__R4rx5EKhkyII1K3Bcv3hw_11_2"/>
      <w:bookmarkStart w:id="1303" w:name="Tc_nhblESwi1kaDH18P11ICRw_11_0"/>
      <w:bookmarkStart w:id="1304" w:name="Tc_5yT49pQ9NEO1hyqUDYiiHg_10_2"/>
      <w:bookmarkStart w:id="1305" w:name="Tc_EnL_snfmJk-wEecLXkouGA_10_0"/>
      <w:bookmarkStart w:id="1306" w:name="Tc_pJY3rv0Qe0W3voqqZwb3xg_9_2"/>
      <w:bookmarkStart w:id="1307" w:name="Tc_a2sT9E-0mECJe_pV7YZx9g_9_0"/>
      <w:bookmarkStart w:id="1308" w:name="Tc_sH6nZfsg0kuwkLjvzatjtw_8_2"/>
      <w:bookmarkStart w:id="1309" w:name="Tc_ooe_eQw1UUytqz7hi7Y4ng_8_0"/>
      <w:bookmarkStart w:id="1310" w:name="Tc_Z8U4aOrQlUi_F3m7uUy_wA_7_2"/>
      <w:bookmarkStart w:id="1311" w:name="Tc_yqQ7WKODdECNiP_h7OKhVw_7_0"/>
      <w:bookmarkStart w:id="1312" w:name="Tc_xqGPRmZMe0SwlPHyvMXBkg_6_2"/>
      <w:bookmarkStart w:id="1313" w:name="Tc_1sw184DfLk27k9cPXWxCbw_6_0"/>
      <w:bookmarkStart w:id="1314" w:name="Tc_jSZmFjBEF0WyKIzaY88YpA_5_2"/>
      <w:bookmarkStart w:id="1315" w:name="Tc_tH_NSEgjV0um9Rq5Io5fBA_5_0"/>
      <w:bookmarkStart w:id="1316" w:name="Tc_8uCfn1v9i0acmvUyM9curQ_4_4"/>
      <w:bookmarkStart w:id="1317" w:name="Tc_pV1AjDTOOk-D7xNDMlGdLA_4_2"/>
      <w:bookmarkStart w:id="1318" w:name="Tc_-Th4Vz9cOUqe2dt8G3tarA_4_0"/>
      <w:bookmarkStart w:id="1319" w:name="Tc_TuivFTLdWkyL39Pm9gQf7w_3_2"/>
      <w:bookmarkStart w:id="1320" w:name="Tc_hpV9ziHo9kCE1IgEe3mq9w_3_0"/>
      <w:bookmarkStart w:id="1321" w:name="Tc_-yQ7t4kwwkiaL76hU0Cowg_2_4"/>
      <w:bookmarkStart w:id="1322" w:name="Tc_AKZ9JNFEc0-wqY93YwHAOQ_2_2"/>
      <w:bookmarkStart w:id="1323" w:name="Tc_B63nQu9XukiCrCVR8jSJkg_1_4"/>
      <w:bookmarkStart w:id="1324" w:name="_64e5916e_143b_4d0c_884a_cd3daa6cf71a"/>
      <w:bookmarkStart w:id="1325" w:name="_05de3b83_e01e_4b6e_a702_e0e5ec477951"/>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r>
        <w:rPr>
          <w:rFonts w:ascii="Times New Roman;Times;serif" w:hAnsi="Times New Roman;Times;serif"/>
          <w:b/>
          <w:i w:val="false"/>
          <w:caps w:val="false"/>
          <w:smallCaps w:val="false"/>
          <w:sz w:val="20"/>
        </w:rPr>
        <w:t>17.</w:t>
      </w:r>
      <w:r>
        <w:rPr>
          <w:rFonts w:ascii="Times New Roman;Times;serif" w:hAnsi="Times New Roman;Times;serif"/>
          <w:b/>
          <w:sz w:val="20"/>
        </w:rPr>
        <w:t>Common Shares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Authorized and Issued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the authorized, issued and outstanding common shares of the Company and special shares of the Company (the “Special Shares”) are as follows:</w:t>
      </w:r>
    </w:p>
    <w:tbl>
      <w:tblPr>
        <w:tblW w:w="6365" w:type="dxa"/>
        <w:jc w:val="left"/>
        <w:tblInd w:w="0" w:type="dxa"/>
        <w:tblLayout w:type="fixed"/>
        <w:tblCellMar>
          <w:top w:w="0" w:type="dxa"/>
          <w:left w:w="0" w:type="dxa"/>
          <w:bottom w:w="0" w:type="dxa"/>
          <w:right w:w="0" w:type="dxa"/>
        </w:tblCellMar>
      </w:tblPr>
      <w:tblGrid>
        <w:gridCol w:w="1951"/>
        <w:gridCol w:w="346"/>
        <w:gridCol w:w="2536"/>
        <w:gridCol w:w="346"/>
        <w:gridCol w:w="118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38885" cy="175260"/>
                      <wp:effectExtent l="0" t="0" r="0" b="0"/>
                      <wp:wrapNone/>
                      <wp:docPr id="296" name="Frame274"/>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97"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610360" cy="175260"/>
                      <wp:effectExtent l="0" t="0" r="0" b="0"/>
                      <wp:wrapNone/>
                      <wp:docPr id="298" name="Frame276"/>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299"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53110" cy="175260"/>
                      <wp:effectExtent l="0" t="0" r="0" b="0"/>
                      <wp:wrapNone/>
                      <wp:docPr id="300" name="Frame27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Issued and</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Authorized</w:t>
            </w:r>
          </w:p>
        </w:tc>
        <w:tc>
          <w:tcPr>
            <w:tcW w:w="34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Outstanding</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w:t>
            </w:r>
          </w:p>
        </w:tc>
        <w:tc>
          <w:tcPr>
            <w:tcW w:w="346" w:type="dxa"/>
            <w:tcBorders/>
            <w:shd w:fill="CCEEFF" w:val="clear"/>
            <w:vAlign w:val="center"/>
          </w:tcPr>
          <w:p>
            <w:pPr>
              <w:pStyle w:val="TableContents"/>
              <w:bidi w:val="0"/>
              <w:spacing w:before="0" w:after="0"/>
              <w:ind w:left="0" w:right="0" w:hanging="0"/>
              <w:jc w:val="left"/>
              <w:rPr/>
            </w:pPr>
            <w:r>
              <w:rPr/>
              <w:t> </w:t>
            </w:r>
          </w:p>
        </w:tc>
        <w:tc>
          <w:tcPr>
            <w:tcW w:w="25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Unlimited, with no par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422,966,333</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Shares</w:t>
            </w:r>
          </w:p>
        </w:tc>
        <w:tc>
          <w:tcPr>
            <w:tcW w:w="34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Unlimited, with no par value</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Special Shares</w:t>
            </w:r>
          </w:p>
        </w:tc>
        <w:tc>
          <w:tcPr>
            <w:tcW w:w="346" w:type="dxa"/>
            <w:tcBorders/>
            <w:shd w:fill="CCEEFF" w:val="clear"/>
            <w:vAlign w:val="center"/>
          </w:tcPr>
          <w:p>
            <w:pPr>
              <w:pStyle w:val="TableContents"/>
              <w:bidi w:val="0"/>
              <w:spacing w:before="0" w:after="0"/>
              <w:ind w:left="0" w:right="0" w:hanging="0"/>
              <w:jc w:val="left"/>
              <w:rPr/>
            </w:pPr>
            <w:r>
              <w:rPr/>
              <w:t> </w:t>
            </w:r>
          </w:p>
        </w:tc>
        <w:tc>
          <w:tcPr>
            <w:tcW w:w="25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5,000,000, with no par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4,572,638</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Special Shares</w:t>
            </w:r>
          </w:p>
        </w:tc>
        <w:tc>
          <w:tcPr>
            <w:tcW w:w="346" w:type="dxa"/>
            <w:tcBorders/>
            <w:vAlign w:val="center"/>
          </w:tcPr>
          <w:p>
            <w:pPr>
              <w:pStyle w:val="TableContents"/>
              <w:bidi w:val="0"/>
              <w:spacing w:before="0" w:after="0"/>
              <w:ind w:left="0" w:right="0" w:hanging="0"/>
              <w:jc w:val="left"/>
              <w:rPr/>
            </w:pPr>
            <w:r>
              <w:rPr/>
              <w:t> </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10,000,000, with no par value</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9,145,156</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C Special Shares</w:t>
            </w:r>
          </w:p>
        </w:tc>
        <w:tc>
          <w:tcPr>
            <w:tcW w:w="346" w:type="dxa"/>
            <w:tcBorders/>
            <w:shd w:fill="CCEEFF" w:val="clear"/>
            <w:vAlign w:val="center"/>
          </w:tcPr>
          <w:p>
            <w:pPr>
              <w:pStyle w:val="TableContents"/>
              <w:bidi w:val="0"/>
              <w:spacing w:before="0" w:after="0"/>
              <w:ind w:left="0" w:right="0" w:hanging="0"/>
              <w:jc w:val="left"/>
              <w:rPr/>
            </w:pPr>
            <w:r>
              <w:rPr/>
              <w:t> </w:t>
            </w:r>
          </w:p>
        </w:tc>
        <w:tc>
          <w:tcPr>
            <w:tcW w:w="25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10,000,000, with no par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9,145,156</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D Special Shares</w:t>
            </w:r>
          </w:p>
        </w:tc>
        <w:tc>
          <w:tcPr>
            <w:tcW w:w="346" w:type="dxa"/>
            <w:tcBorders/>
            <w:vAlign w:val="center"/>
          </w:tcPr>
          <w:p>
            <w:pPr>
              <w:pStyle w:val="TableContents"/>
              <w:bidi w:val="0"/>
              <w:spacing w:before="0" w:after="0"/>
              <w:ind w:left="0" w:right="0" w:hanging="0"/>
              <w:jc w:val="left"/>
              <w:rPr/>
            </w:pPr>
            <w:r>
              <w:rPr/>
              <w:t> </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20,000,000, with no par value</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18,290,443</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E Special Shares</w:t>
            </w:r>
          </w:p>
        </w:tc>
        <w:tc>
          <w:tcPr>
            <w:tcW w:w="346" w:type="dxa"/>
            <w:tcBorders/>
            <w:shd w:fill="CCEEFF" w:val="clear"/>
            <w:vAlign w:val="center"/>
          </w:tcPr>
          <w:p>
            <w:pPr>
              <w:pStyle w:val="TableContents"/>
              <w:bidi w:val="0"/>
              <w:spacing w:before="0" w:after="0"/>
              <w:ind w:left="0" w:right="0" w:hanging="0"/>
              <w:jc w:val="left"/>
              <w:rPr/>
            </w:pPr>
            <w:r>
              <w:rPr/>
              <w:t> </w:t>
            </w:r>
          </w:p>
        </w:tc>
        <w:tc>
          <w:tcPr>
            <w:tcW w:w="25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20,000,000, with no par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18,290,443</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F Special Shares</w:t>
            </w:r>
          </w:p>
        </w:tc>
        <w:tc>
          <w:tcPr>
            <w:tcW w:w="346" w:type="dxa"/>
            <w:tcBorders/>
            <w:vAlign w:val="center"/>
          </w:tcPr>
          <w:p>
            <w:pPr>
              <w:pStyle w:val="TableContents"/>
              <w:bidi w:val="0"/>
              <w:spacing w:before="0" w:after="0"/>
              <w:ind w:left="0" w:right="0" w:hanging="0"/>
              <w:jc w:val="left"/>
              <w:rPr/>
            </w:pPr>
            <w:r>
              <w:rPr/>
              <w:t> </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20,000,000, with no par value</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18,290,443</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G Special Shares</w:t>
            </w:r>
          </w:p>
        </w:tc>
        <w:tc>
          <w:tcPr>
            <w:tcW w:w="346" w:type="dxa"/>
            <w:tcBorders/>
            <w:shd w:fill="CCEEFF" w:val="clear"/>
            <w:vAlign w:val="center"/>
          </w:tcPr>
          <w:p>
            <w:pPr>
              <w:pStyle w:val="TableContents"/>
              <w:bidi w:val="0"/>
              <w:spacing w:before="0" w:after="0"/>
              <w:ind w:left="0" w:right="0" w:hanging="0"/>
              <w:jc w:val="left"/>
              <w:rPr/>
            </w:pPr>
            <w:r>
              <w:rPr/>
              <w:t> </w:t>
            </w:r>
          </w:p>
        </w:tc>
        <w:tc>
          <w:tcPr>
            <w:tcW w:w="25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25,000,000, with no par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22,863,083</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H Special Shares</w:t>
            </w:r>
          </w:p>
        </w:tc>
        <w:tc>
          <w:tcPr>
            <w:tcW w:w="346" w:type="dxa"/>
            <w:tcBorders/>
            <w:vAlign w:val="center"/>
          </w:tcPr>
          <w:p>
            <w:pPr>
              <w:pStyle w:val="TableContents"/>
              <w:bidi w:val="0"/>
              <w:spacing w:before="0" w:after="0"/>
              <w:ind w:left="0" w:right="0" w:hanging="0"/>
              <w:jc w:val="left"/>
              <w:rPr/>
            </w:pPr>
            <w:r>
              <w:rPr/>
              <w:t> </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25,000,000, with no par value</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22,863,083</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 Special Shares</w:t>
            </w:r>
          </w:p>
        </w:tc>
        <w:tc>
          <w:tcPr>
            <w:tcW w:w="346" w:type="dxa"/>
            <w:tcBorders/>
            <w:shd w:fill="CCEEFF" w:val="clear"/>
            <w:vAlign w:val="center"/>
          </w:tcPr>
          <w:p>
            <w:pPr>
              <w:pStyle w:val="TableContents"/>
              <w:bidi w:val="0"/>
              <w:spacing w:before="0" w:after="0"/>
              <w:ind w:left="0" w:right="0" w:hanging="0"/>
              <w:jc w:val="left"/>
              <w:rPr/>
            </w:pPr>
            <w:r>
              <w:rPr/>
              <w:t> </w:t>
            </w:r>
          </w:p>
        </w:tc>
        <w:tc>
          <w:tcPr>
            <w:tcW w:w="25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500,000, with no par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J Special Shares</w:t>
            </w:r>
          </w:p>
        </w:tc>
        <w:tc>
          <w:tcPr>
            <w:tcW w:w="346" w:type="dxa"/>
            <w:tcBorders/>
            <w:vAlign w:val="center"/>
          </w:tcPr>
          <w:p>
            <w:pPr>
              <w:pStyle w:val="TableContents"/>
              <w:bidi w:val="0"/>
              <w:spacing w:before="0" w:after="0"/>
              <w:ind w:left="0" w:right="0" w:hanging="0"/>
              <w:jc w:val="left"/>
              <w:rPr/>
            </w:pPr>
            <w:r>
              <w:rPr/>
              <w:t> </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741,000, with no par value</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741,000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1326" w:name="Tc_gjgDDTl5YU-qMBqE8xOtGg_20_4"/>
      <w:bookmarkStart w:id="1327" w:name="Tc_mph4QtYESECJH_H8UXTgfw_20_0"/>
      <w:bookmarkStart w:id="1328" w:name="Tc_W-3YzxSs_0aLccAREZ2MaQ_19_0"/>
      <w:bookmarkStart w:id="1329" w:name="Tc_hG5EHec2jE-Y0CuMpK5ynA_18_0"/>
      <w:bookmarkStart w:id="1330" w:name="Tc_RilOlcJM5k6cSYT4YQ58Sg_17_0"/>
      <w:bookmarkStart w:id="1331" w:name="Tc_xjjF-Ta2HkSe7XGmXgeZ8w_16_0"/>
      <w:bookmarkStart w:id="1332" w:name="Tc__1QbsGpZlkCx1ZDiMS5gTA_15_0"/>
      <w:bookmarkStart w:id="1333" w:name="Tc_-8lXfK-uuU68OhTnnYBqEA_14_0"/>
      <w:bookmarkStart w:id="1334" w:name="Tc_v58MwlDgM0aCDIHwMFV2rQ_13_0"/>
      <w:bookmarkStart w:id="1335" w:name="Tc_Uda6IQp1TkW0KLRVt54Nwg_12_0"/>
      <w:bookmarkStart w:id="1336" w:name="Tc_1IRx1Dm31UOVg8vpO5T4mQ_11_0"/>
      <w:bookmarkStart w:id="1337" w:name="Tc_vvbhOl4_MEGK_4jA7o5RFA_10_0"/>
      <w:bookmarkStart w:id="1338" w:name="Tc_NDctdb1Y40eKzmkQ3oFiAw_9_4"/>
      <w:bookmarkStart w:id="1339" w:name="Tc_p3K6BU00ikaVtml83BjQ9Q_9_0"/>
      <w:bookmarkStart w:id="1340" w:name="Tc_fByvjsfnhUKlR4FxYZhf9A_8_0"/>
      <w:bookmarkStart w:id="1341" w:name="Tc_T452I0EY0kStr40TyAbYfg_7_0"/>
      <w:bookmarkStart w:id="1342" w:name="Tc_N-VW2wBpv06gs0RZHcP9pw_6_0"/>
      <w:bookmarkStart w:id="1343" w:name="Tc_e5J_-RGB5kCm0J6lMblfpg_5_0"/>
      <w:bookmarkStart w:id="1344" w:name="Tc_lcEv1MBGnUqbWAlRgiJX-g_4_0"/>
      <w:bookmarkStart w:id="1345" w:name="Tc_dVrPAmh6hEKE2NjDr1N7Kw_3_0"/>
      <w:bookmarkStart w:id="1346" w:name="Tc_S4bUbIttZka_OUNhYsXMsQ_2_4"/>
      <w:bookmarkStart w:id="1347" w:name="Tc_reSsjc1GOE695V-ZTfFJDw_2_0"/>
      <w:bookmarkStart w:id="1348" w:name="Tc_lxlH6sC_3kaILXXyhCd_bw_1_4"/>
      <w:bookmarkStart w:id="1349" w:name="Tc_VrV7iLqefUeCX-6HuebsFQ_1_2"/>
      <w:bookmarkStart w:id="1350" w:name="Tc_cGNU9V2DjkC1OdNhZt_hpA_1_0"/>
      <w:bookmarkStart w:id="1351" w:name="Tc_UoHyK72mcU6C2QgOIjQyYw_2_0"/>
      <w:bookmarkStart w:id="1352" w:name="Tc_dewA_TFwnkiI_sP_E3Hw0w_1_0"/>
      <w:bookmarkStart w:id="1353" w:name="Tc_Q7zUQvEMiU6Srpr8BsAdig_0_10"/>
      <w:bookmarkStart w:id="1354" w:name="Tc_31QT1sF430aVoshU58Smzg_0_9"/>
      <w:bookmarkStart w:id="1355" w:name="Tc_ia6Z2Uu1v0C2DJ_4qCjWVw_0_8"/>
      <w:bookmarkStart w:id="1356" w:name="Tc_ieD2uCtyT0qrZgpu-MSpMQ_0_7"/>
      <w:bookmarkStart w:id="1357" w:name="Tc_R0HHq_kH202q-AsXVAgJig_0_6"/>
      <w:bookmarkStart w:id="1358" w:name="Tc_AaOzZoJjL0-CO-fYiiseUg_0_5"/>
      <w:bookmarkStart w:id="1359" w:name="Tc_DnOBs-TPskK1ykhM2F5yYw_0_4"/>
      <w:bookmarkStart w:id="1360" w:name="Tc_O-sWNmYsvUOArY8tbNx0sQ_0_3"/>
      <w:bookmarkStart w:id="1361" w:name="Tc_vyrZ3_INrkKGZHXgQzloSw_0_2"/>
      <w:bookmarkStart w:id="1362" w:name="Tc_dlBJDtGvnE2NmZXG7fb5GA_0_1"/>
      <w:bookmarkStart w:id="1363" w:name="Tc_e-nDUM4UxkWTawhLJnU4UQ_0_0"/>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r>
        <w:rPr>
          <w:rFonts w:ascii="Times New Roman;Times;serif" w:hAnsi="Times New Roman;Times;serif"/>
          <w:sz w:val="20"/>
        </w:rPr>
        <w:t>The holders of the Company’s common shares are entitled to one vote for each common share held. The shares do not have an expiration date and remain outstanding until redeemed or converted in accordance with their terms.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Each class of Special Shares do not have voting rights and do not participate in earnings. The Special Shares automatically convert to common shares of the Company if the common shares trade at a price on any 20 trading days within any 30-trading day period that is greater than or equal to the specific trigger price for the respective class of Special Share.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Below is a summary of the Special Shares and their respective vesting thresholds, assuming the full number of special shares from underlying certain outstanding options to purchase common shares and Special Shares are issued:</w:t>
      </w:r>
    </w:p>
    <w:p>
      <w:pPr>
        <w:pStyle w:val="TextBody"/>
        <w:bidi w:val="0"/>
        <w:spacing w:before="0" w:after="240"/>
        <w:ind w:left="360" w:right="0" w:hanging="0"/>
        <w:jc w:val="both"/>
        <w:rPr/>
      </w:pPr>
      <w:r>
        <w:rPr/>
        <w:t>​</w:t>
      </w:r>
    </w:p>
    <w:tbl>
      <w:tblPr>
        <w:tblW w:w="5666" w:type="dxa"/>
        <w:jc w:val="left"/>
        <w:tblInd w:w="0" w:type="dxa"/>
        <w:tblLayout w:type="fixed"/>
        <w:tblCellMar>
          <w:top w:w="28" w:type="dxa"/>
          <w:left w:w="28" w:type="dxa"/>
          <w:bottom w:w="28" w:type="dxa"/>
          <w:right w:w="0" w:type="dxa"/>
        </w:tblCellMar>
      </w:tblPr>
      <w:tblGrid>
        <w:gridCol w:w="2056"/>
        <w:gridCol w:w="316"/>
        <w:gridCol w:w="316"/>
        <w:gridCol w:w="316"/>
        <w:gridCol w:w="316"/>
        <w:gridCol w:w="316"/>
        <w:gridCol w:w="421"/>
        <w:gridCol w:w="421"/>
        <w:gridCol w:w="421"/>
        <w:gridCol w:w="361"/>
        <w:gridCol w:w="406"/>
      </w:tblGrid>
      <w:tr>
        <w:trPr/>
        <w:tc>
          <w:tcPr>
            <w:tcW w:w="2056" w:type="dxa"/>
            <w:tcBorders>
              <w:top w:val="single" w:sz="2" w:space="0" w:color="000000"/>
              <w:left w:val="single" w:sz="2" w:space="0" w:color="000000"/>
              <w:bottom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Special Share Class</w:t>
            </w:r>
          </w:p>
        </w:tc>
        <w:tc>
          <w:tcPr>
            <w:tcW w:w="316" w:type="dxa"/>
            <w:tcBorders>
              <w:top w:val="single" w:sz="2" w:space="0" w:color="000000"/>
              <w:left w:val="single" w:sz="2" w:space="0" w:color="000000"/>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16" w:type="dxa"/>
            <w:tcBorders>
              <w:top w:val="single" w:sz="2" w:space="0" w:color="000000"/>
              <w:left w:val="single" w:sz="2" w:space="0" w:color="000000"/>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16" w:type="dxa"/>
            <w:tcBorders>
              <w:top w:val="single" w:sz="2" w:space="0" w:color="000000"/>
              <w:left w:val="single" w:sz="2" w:space="0" w:color="000000"/>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C</w:t>
            </w:r>
          </w:p>
        </w:tc>
        <w:tc>
          <w:tcPr>
            <w:tcW w:w="316" w:type="dxa"/>
            <w:tcBorders>
              <w:top w:val="single" w:sz="2" w:space="0" w:color="000000"/>
              <w:left w:val="single" w:sz="2" w:space="0" w:color="000000"/>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D</w:t>
            </w:r>
          </w:p>
        </w:tc>
        <w:tc>
          <w:tcPr>
            <w:tcW w:w="316" w:type="dxa"/>
            <w:tcBorders>
              <w:top w:val="single" w:sz="2" w:space="0" w:color="000000"/>
              <w:left w:val="single" w:sz="2" w:space="0" w:color="000000"/>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E</w:t>
            </w:r>
          </w:p>
        </w:tc>
        <w:tc>
          <w:tcPr>
            <w:tcW w:w="421" w:type="dxa"/>
            <w:tcBorders>
              <w:top w:val="single" w:sz="2" w:space="0" w:color="000000"/>
              <w:left w:val="single" w:sz="2" w:space="0" w:color="000000"/>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F</w:t>
            </w:r>
          </w:p>
        </w:tc>
        <w:tc>
          <w:tcPr>
            <w:tcW w:w="421"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G</w:t>
            </w:r>
          </w:p>
        </w:tc>
        <w:tc>
          <w:tcPr>
            <w:tcW w:w="421" w:type="dxa"/>
            <w:tcBorders>
              <w:top w:val="single" w:sz="2" w:space="0" w:color="000000"/>
              <w:bottom w:val="single" w:sz="2" w:space="0" w:color="000000"/>
            </w:tcBorders>
            <w:tcMar>
              <w:left w:w="0"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H</w:t>
            </w:r>
          </w:p>
        </w:tc>
        <w:tc>
          <w:tcPr>
            <w:tcW w:w="361" w:type="dxa"/>
            <w:tcBorders>
              <w:top w:val="single" w:sz="2" w:space="0" w:color="000000"/>
              <w:left w:val="single" w:sz="2" w:space="0" w:color="000000"/>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I</w:t>
            </w:r>
          </w:p>
        </w:tc>
        <w:tc>
          <w:tcPr>
            <w:tcW w:w="406"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J</w:t>
            </w:r>
          </w:p>
        </w:tc>
      </w:tr>
      <w:tr>
        <w:trPr/>
        <w:tc>
          <w:tcPr>
            <w:tcW w:w="2056" w:type="dxa"/>
            <w:tcBorders>
              <w:left w:val="single" w:sz="2" w:space="0" w:color="000000"/>
              <w:bottom w:val="single" w:sz="2" w:space="0" w:color="000000"/>
            </w:tcBorders>
            <w:shd w:fill="CCEEFF" w:val="clear"/>
            <w:tcMar>
              <w:top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Share Trigger price ($)</w:t>
            </w:r>
          </w:p>
        </w:tc>
        <w:tc>
          <w:tcPr>
            <w:tcW w:w="316" w:type="dxa"/>
            <w:tcBorders>
              <w:left w:val="single" w:sz="2" w:space="0" w:color="000000"/>
              <w:bottom w:val="single" w:sz="2" w:space="0" w:color="000000"/>
            </w:tcBorders>
            <w:shd w:fill="CCEEFF" w:val="clear"/>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16" w:type="dxa"/>
            <w:tcBorders>
              <w:left w:val="single" w:sz="2" w:space="0" w:color="000000"/>
              <w:bottom w:val="single" w:sz="2" w:space="0" w:color="000000"/>
            </w:tcBorders>
            <w:shd w:fill="CCEEFF" w:val="clear"/>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16" w:type="dxa"/>
            <w:tcBorders>
              <w:left w:val="single" w:sz="2" w:space="0" w:color="000000"/>
              <w:bottom w:val="single" w:sz="2" w:space="0" w:color="000000"/>
            </w:tcBorders>
            <w:shd w:fill="CCEEFF" w:val="clear"/>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35</w:t>
            </w:r>
          </w:p>
        </w:tc>
        <w:tc>
          <w:tcPr>
            <w:tcW w:w="316" w:type="dxa"/>
            <w:tcBorders>
              <w:left w:val="single" w:sz="2" w:space="0" w:color="000000"/>
              <w:bottom w:val="single" w:sz="2" w:space="0" w:color="000000"/>
            </w:tcBorders>
            <w:shd w:fill="CCEEFF" w:val="clear"/>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16" w:type="dxa"/>
            <w:tcBorders>
              <w:left w:val="single" w:sz="2" w:space="0" w:color="000000"/>
              <w:bottom w:val="single" w:sz="2" w:space="0" w:color="000000"/>
            </w:tcBorders>
            <w:shd w:fill="CCEEFF" w:val="clear"/>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w:t>
            </w:r>
          </w:p>
        </w:tc>
        <w:tc>
          <w:tcPr>
            <w:tcW w:w="421" w:type="dxa"/>
            <w:tcBorders>
              <w:left w:val="single" w:sz="2" w:space="0" w:color="000000"/>
              <w:bottom w:val="single" w:sz="2" w:space="0" w:color="000000"/>
            </w:tcBorders>
            <w:shd w:fill="CCEEFF" w:val="clear"/>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421" w:type="dxa"/>
            <w:tcBorders>
              <w:left w:val="single" w:sz="2" w:space="0" w:color="000000"/>
              <w:bottom w:val="single" w:sz="2" w:space="0" w:color="000000"/>
              <w:right w:val="single" w:sz="2" w:space="0" w:color="000000"/>
            </w:tcBorders>
            <w:shd w:fill="CCEEFF" w:val="clear"/>
            <w:tcMar>
              <w:top w:w="0"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w:t>
            </w:r>
          </w:p>
        </w:tc>
        <w:tc>
          <w:tcPr>
            <w:tcW w:w="421" w:type="dxa"/>
            <w:tcBorders>
              <w:bottom w:val="single" w:sz="2" w:space="0" w:color="000000"/>
            </w:tcBorders>
            <w:shd w:fill="CCEEFF" w:val="clear"/>
            <w:tcMar>
              <w:top w:w="0" w:type="dxa"/>
              <w:left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361" w:type="dxa"/>
            <w:tcBorders>
              <w:left w:val="single" w:sz="2" w:space="0" w:color="000000"/>
              <w:bottom w:val="single" w:sz="2" w:space="0" w:color="000000"/>
            </w:tcBorders>
            <w:shd w:fill="CCEEFF" w:val="clear"/>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406" w:type="dxa"/>
            <w:tcBorders>
              <w:left w:val="single" w:sz="2" w:space="0" w:color="000000"/>
              <w:bottom w:val="single" w:sz="2" w:space="0" w:color="000000"/>
              <w:right w:val="single" w:sz="2" w:space="0" w:color="000000"/>
            </w:tcBorders>
            <w:shd w:fill="CCEEFF" w:val="clear"/>
            <w:tcMar>
              <w:top w:w="0"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2056" w:type="dxa"/>
            <w:tcBorders>
              <w:left w:val="single" w:sz="2" w:space="0" w:color="000000"/>
              <w:bottom w:val="single" w:sz="2" w:space="0" w:color="000000"/>
            </w:tcBorders>
            <w:tcMar>
              <w:top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Special Shares (million)</w:t>
            </w:r>
          </w:p>
        </w:tc>
        <w:tc>
          <w:tcPr>
            <w:tcW w:w="316" w:type="dxa"/>
            <w:tcBorders>
              <w:left w:val="single" w:sz="2" w:space="0" w:color="000000"/>
              <w:bottom w:val="single" w:sz="2" w:space="0" w:color="000000"/>
            </w:tcBorders>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16" w:type="dxa"/>
            <w:tcBorders>
              <w:left w:val="single" w:sz="2" w:space="0" w:color="000000"/>
              <w:bottom w:val="single" w:sz="2" w:space="0" w:color="000000"/>
            </w:tcBorders>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16" w:type="dxa"/>
            <w:tcBorders>
              <w:left w:val="single" w:sz="2" w:space="0" w:color="000000"/>
              <w:bottom w:val="single" w:sz="2" w:space="0" w:color="000000"/>
            </w:tcBorders>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16" w:type="dxa"/>
            <w:tcBorders>
              <w:left w:val="single" w:sz="2" w:space="0" w:color="000000"/>
              <w:bottom w:val="single" w:sz="2" w:space="0" w:color="000000"/>
            </w:tcBorders>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316" w:type="dxa"/>
            <w:tcBorders>
              <w:left w:val="single" w:sz="2" w:space="0" w:color="000000"/>
              <w:bottom w:val="single" w:sz="2" w:space="0" w:color="000000"/>
            </w:tcBorders>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421" w:type="dxa"/>
            <w:tcBorders>
              <w:left w:val="single" w:sz="2" w:space="0" w:color="000000"/>
              <w:bottom w:val="single" w:sz="2" w:space="0" w:color="000000"/>
            </w:tcBorders>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42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421" w:type="dxa"/>
            <w:tcBorders>
              <w:bottom w:val="single" w:sz="2" w:space="0" w:color="000000"/>
            </w:tcBorders>
            <w:tcMar>
              <w:top w:w="0" w:type="dxa"/>
              <w:left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61" w:type="dxa"/>
            <w:tcBorders>
              <w:left w:val="single" w:sz="2" w:space="0" w:color="000000"/>
              <w:bottom w:val="single" w:sz="2" w:space="0" w:color="000000"/>
            </w:tcBorders>
            <w:tcMar>
              <w:top w:w="0"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0.5</w:t>
            </w:r>
          </w:p>
        </w:tc>
        <w:tc>
          <w:tcPr>
            <w:tcW w:w="40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0.7</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the Special Shares meet the indexation and equity classification criteria under ASC 815-40, the Special Shares have been classified as equity instruments at issuance.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Common Share Continuity</w:t>
      </w:r>
    </w:p>
    <w:p>
      <w:pPr>
        <w:pStyle w:val="TextBody"/>
        <w:bidi w:val="0"/>
        <w:spacing w:before="0" w:after="0"/>
        <w:ind w:left="0" w:right="0" w:hanging="0"/>
        <w:jc w:val="left"/>
        <w:rPr/>
      </w:pPr>
      <w:r>
        <w:rPr/>
        <w:t>​</w:t>
      </w:r>
    </w:p>
    <w:tbl>
      <w:tblPr>
        <w:tblW w:w="9201" w:type="dxa"/>
        <w:jc w:val="left"/>
        <w:tblInd w:w="0" w:type="dxa"/>
        <w:tblLayout w:type="fixed"/>
        <w:tblCellMar>
          <w:top w:w="0" w:type="dxa"/>
          <w:left w:w="0" w:type="dxa"/>
          <w:bottom w:w="0" w:type="dxa"/>
          <w:right w:w="0" w:type="dxa"/>
        </w:tblCellMar>
      </w:tblPr>
      <w:tblGrid>
        <w:gridCol w:w="6271"/>
        <w:gridCol w:w="346"/>
        <w:gridCol w:w="1141"/>
        <w:gridCol w:w="346"/>
        <w:gridCol w:w="211"/>
        <w:gridCol w:w="886"/>
      </w:tblGrid>
      <w:tr>
        <w:trPr/>
        <w:tc>
          <w:tcPr>
            <w:tcW w:w="6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982085" cy="175260"/>
                      <wp:effectExtent l="0" t="0" r="0" b="0"/>
                      <wp:wrapNone/>
                      <wp:docPr id="301" name="Frame279"/>
                      <a:graphic xmlns:a="http://schemas.openxmlformats.org/drawingml/2006/main">
                        <a:graphicData uri="http://schemas.microsoft.com/office/word/2010/wordprocessingShape">
                          <wps:wsp>
                            <wps:cNvSpPr txBox="1"/>
                            <wps:spPr>
                              <a:xfrm>
                                <a:off x="0" y="0"/>
                                <a:ext cx="398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2"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724535" cy="175260"/>
                      <wp:effectExtent l="0" t="0" r="0" b="0"/>
                      <wp:wrapNone/>
                      <wp:docPr id="303" name="Frame28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4"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5"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62610" cy="175260"/>
                      <wp:effectExtent l="0" t="0" r="0" b="0"/>
                      <wp:wrapNone/>
                      <wp:docPr id="306" name="Frame2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Common shares</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306,558,710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438,239</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Issuance of shares under 2023 Registered Direct Offering </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Issuance of shares under 2024 Registered Direct Offering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9,743</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Shares issued as per At-the Market Equity Distribution Agreement </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3,251,588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Conversion of restricted share units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10,734,581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14,954</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 of stock options </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715,772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 purchase under Employee Stock Purchase Plan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340,708,460</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477,217</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Issuance of shares to Korea Zinc </w:t>
            </w:r>
            <w:r>
              <w:rPr>
                <w:rFonts w:ascii="Times New Roman;Times;serif" w:hAnsi="Times New Roman;Times;serif"/>
                <w:i/>
                <w:sz w:val="20"/>
              </w:rPr>
              <w:t>(Note 14)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19,623,376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71,686</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Issuance of shares under 2025 Registered Direct Offering </w:t>
            </w:r>
            <w:r>
              <w:rPr>
                <w:rFonts w:ascii="Times New Roman;Times;serif" w:hAnsi="Times New Roman;Times;serif"/>
                <w:i/>
                <w:sz w:val="20"/>
              </w:rPr>
              <w:t>(Note 14)</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12,333,333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24,149</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Issuance of shares under 2024 Registered Direct Offering </w:t>
            </w:r>
            <w:r>
              <w:rPr>
                <w:rFonts w:ascii="Times New Roman;Times;serif" w:hAnsi="Times New Roman;Times;serif"/>
                <w:i/>
                <w:sz w:val="20"/>
              </w:rPr>
              <w:t>(Note 14)</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Shares issued as per At-the Market Equity Distribution Agreement </w:t>
            </w:r>
            <w:r>
              <w:rPr>
                <w:rFonts w:ascii="Times New Roman;Times;serif" w:hAnsi="Times New Roman;Times;serif"/>
                <w:i/>
                <w:sz w:val="20"/>
              </w:rPr>
              <w:t>(Note 15)</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7,542,996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14,784</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Conversion of restricted share units </w:t>
            </w:r>
            <w:r>
              <w:rPr>
                <w:rFonts w:ascii="Times New Roman;Times;serif" w:hAnsi="Times New Roman;Times;serif"/>
                <w:i/>
                <w:sz w:val="20"/>
              </w:rPr>
              <w:t>(Note 18)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20,296,128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41,355</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 of stock options </w:t>
            </w:r>
            <w:r>
              <w:rPr>
                <w:rFonts w:ascii="Times New Roman;Times;serif" w:hAnsi="Times New Roman;Times;serif"/>
                <w:i/>
                <w:sz w:val="20"/>
              </w:rPr>
              <w:t>(Note 18)</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4,746,546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14,423</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 of Class A Warrants </w:t>
            </w:r>
            <w:r>
              <w:rPr>
                <w:rFonts w:ascii="Times New Roman;Times;serif" w:hAnsi="Times New Roman;Times;serif"/>
                <w:i/>
                <w:sz w:val="20"/>
              </w:rPr>
              <w:t>(Note 16)</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5,539</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 of Class B Warrants </w:t>
            </w:r>
            <w:r>
              <w:rPr>
                <w:rFonts w:ascii="Times New Roman;Times;serif" w:hAnsi="Times New Roman;Times;serif"/>
                <w:i/>
                <w:sz w:val="20"/>
              </w:rPr>
              <w:t>(Note 16)</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8,433,096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17,024</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 of Class C Warrants </w:t>
            </w:r>
            <w:r>
              <w:rPr>
                <w:rFonts w:ascii="Times New Roman;Times;serif" w:hAnsi="Times New Roman;Times;serif"/>
                <w:i/>
                <w:sz w:val="20"/>
              </w:rPr>
              <w:t>(Note 16)</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12,838</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Shares purchased under Employee Stock Purchase Plan </w:t>
            </w:r>
            <w:r>
              <w:rPr>
                <w:rFonts w:ascii="Times New Roman;Times;serif" w:hAnsi="Times New Roman;Times;serif"/>
                <w:i/>
                <w:sz w:val="20"/>
              </w:rPr>
              <w:t>(Note 18)</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422,966,333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681,343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64" w:name="Tc_dRik7ux3RUO9r2mU_YYuIw_7_2"/>
      <w:bookmarkStart w:id="1365" w:name="Tc_Om4Jhh4t70uRTKrSbeGACA_6_2"/>
      <w:bookmarkStart w:id="1366" w:name="Tc_Ez6o92PKI0OWzrfclu8UZQ_5_2"/>
      <w:bookmarkStart w:id="1367" w:name="Tc_u0dVjDyhNE6uas0l8qLgAA_4_2"/>
      <w:bookmarkStart w:id="1368" w:name="Tc_vfKxYddg4Uq5mGYgoZyIdQ_3_7"/>
      <w:bookmarkStart w:id="1369" w:name="Tc_6Pymo8M7I0i0ZMte91EnAg_3_5"/>
      <w:bookmarkStart w:id="1370" w:name="Tc_tHgPHHA3-EuWTwpD0cdNUw_3_2"/>
      <w:bookmarkStart w:id="1371" w:name="Tc_XmtIzjGI2UKC6x1tk2FIDg_3_0"/>
      <w:bookmarkStart w:id="1372" w:name="Tc_D03T8dNWfEqCCOP14V7vRA_2_7"/>
      <w:bookmarkStart w:id="1373" w:name="Tc_80Pf88WrOUOdUhBweRHo2g_2_5"/>
      <w:bookmarkStart w:id="1374" w:name="Tc_vUWna-prOUOrZZlhT7bMIg_1_7"/>
      <w:bookmarkStart w:id="1375" w:name="_72687739_9098_4230_92c6_72fad6b61a2e"/>
      <w:bookmarkStart w:id="1376" w:name="Tc_FwauUvTL_06dqhStNc8qfA_12_7"/>
      <w:bookmarkStart w:id="1377" w:name="Tc_5isVWSrj5k-xicikjaezvg_12_4"/>
      <w:bookmarkStart w:id="1378" w:name="Tc_4kxCcljkA0qVm3nQYuTWdQ_12_0"/>
      <w:bookmarkStart w:id="1379" w:name="Tc_Q4eESjDVFkm2Mt_DdbFbEQ_11_7"/>
      <w:bookmarkStart w:id="1380" w:name="Tc_V36n07rwqkeuZol-fauLiA_11_4"/>
      <w:bookmarkStart w:id="1381" w:name="Tc_f44yFCAVt0Ogcwfe7-PodQ_11_0"/>
      <w:bookmarkStart w:id="1382" w:name="Tc_unKbL5ZC5UCET5jp2Jo1HQ_10_10"/>
      <w:bookmarkStart w:id="1383" w:name="Tc_1YNE7bxJ3UOXooGTXa0DUA_10_8"/>
      <w:bookmarkStart w:id="1384" w:name="Tc_tfSB79GFOkqiqa8t_3ALkQ_10_0"/>
      <w:bookmarkStart w:id="1385" w:name="Tc_BQ8yHI_3IUCmmMMQfiNXmw_9_10"/>
      <w:bookmarkStart w:id="1386" w:name="Tc_-CMUR-1x0EuUGw9pTd4lhA_9_8"/>
      <w:bookmarkStart w:id="1387" w:name="Tc_PeGu1KfLcUur6i8klc89Ow_9_0"/>
      <w:bookmarkStart w:id="1388" w:name="Tc_q4A1sM39E0WtB6RAdmgOtQ_8_8"/>
      <w:bookmarkStart w:id="1389" w:name="Tc_vKnSOX6WaUCWrEP-4_VzZg_8_4"/>
      <w:bookmarkStart w:id="1390" w:name="Tc_7ADLohM7tE6vYE0e55MGDg_8_0"/>
      <w:bookmarkStart w:id="1391" w:name="Tc_u1DX1Nt1X06pTM2koi2LzQ_7_10"/>
      <w:bookmarkStart w:id="1392" w:name="Tc_0DtYAJUcXkqMRxgo7PB1cA_7_8"/>
      <w:bookmarkStart w:id="1393" w:name="Tc_BXnUq76nQkWIcz__cg46sA_7_4"/>
      <w:bookmarkStart w:id="1394" w:name="Tc_NAuMQ3EhNU-7uIYfvD0ASQ_7_0"/>
      <w:bookmarkStart w:id="1395" w:name="Tc_b7jhCA7TRkiZfKt1FcdDPw_6_10"/>
      <w:bookmarkStart w:id="1396" w:name="Tc_gcZLHL2YGke9_WRSjPwUnQ_6_8"/>
      <w:bookmarkStart w:id="1397" w:name="Tc_-rTbC3pKf0icDpyyogPxIw_6_5"/>
      <w:bookmarkStart w:id="1398" w:name="Tc_hRXvL9ajQ0ublCeXzA5gLg_6_2"/>
      <w:bookmarkStart w:id="1399" w:name="Tc_NqKuK6vxrEm5tObUUtiYDg_6_0"/>
      <w:bookmarkStart w:id="1400" w:name="Tc_KN96YEmjK0yWmsu0sic1aA_5_10"/>
      <w:bookmarkStart w:id="1401" w:name="Tc_mNaZVeN5qEGYTOucXS0Nfg_5_7"/>
      <w:bookmarkStart w:id="1402" w:name="Tc_aTU8Mb-0jUmUciROwq6_rA_5_4"/>
      <w:bookmarkStart w:id="1403" w:name="Tc_n1XIcVKwGkm4kj3hUaZwXQ_5_2"/>
      <w:bookmarkStart w:id="1404" w:name="Tc_l5NnilOom0iQAKUpLVWsKA_4_10"/>
      <w:bookmarkStart w:id="1405" w:name="Tc_CuKqaDoy2kCDcS-febWfzg_4_7"/>
      <w:bookmarkStart w:id="1406" w:name="Tc_3IEN3_qrpEmsPg9kkcM92Q_4_4"/>
      <w:bookmarkStart w:id="1407" w:name="Tc_PVjeDnT3G06sQ1Lc6Rn_6Q_4_2"/>
      <w:bookmarkStart w:id="1408" w:name="Tc_pJJmSjridE646kqHnrEkmA_3_10"/>
      <w:bookmarkStart w:id="1409" w:name="Tc_zSBaskgfvUyMYeNLptut7A_3_7"/>
      <w:bookmarkStart w:id="1410" w:name="Tc_AcDVWgjxo0mO9pHQ3AK7GA_3_4"/>
      <w:bookmarkStart w:id="1411" w:name="Tc_ABpSZqz6-0a4qVTP8Ozg9g_3_2"/>
      <w:bookmarkStart w:id="1412" w:name="Tc_IOmPF4n9oEKPNuCyZWUbXg_2_10"/>
      <w:bookmarkStart w:id="1413" w:name="Tc_-kwPh72M2kujSSWTMmERxw_2_7"/>
      <w:bookmarkStart w:id="1414" w:name="Tc_iuzCXibemUCdqdurNHAYPg_2_4"/>
      <w:bookmarkStart w:id="1415" w:name="Tc_3m-n8KIK60iIvvLnuKRQ8A_1_4"/>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r>
        <w:rPr>
          <w:rFonts w:ascii="Times New Roman;Times;serif" w:hAnsi="Times New Roman;Times;serif"/>
          <w:b/>
          <w:i w:val="false"/>
          <w:caps w:val="false"/>
          <w:smallCaps w:val="false"/>
          <w:sz w:val="20"/>
        </w:rPr>
        <w:t>18.</w:t>
      </w:r>
      <w:r>
        <w:rPr>
          <w:rFonts w:ascii="Times New Roman;Times;serif" w:hAnsi="Times New Roman;Times;serif"/>
          <w:b/>
          <w:sz w:val="20"/>
        </w:rPr>
        <w:t>Share-Based Compensation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2021 Incentive Equity Plan (the “Incentive Plan”) provides an aggregate number of common shares reserved for future issuance under the Incentive Plan. As at December 31, 2025, there were a total of 110,262,856 common shares reserved for issuance under the Incentive Plan. This amount includes 40,000,000 common shares added to the plan pursuant to the shareholder’s approval obtained at the special meeting of the Company’s shareholders held on August 28, 2025. With this increase, as of December 31, 2025, 11,690,432 common shares remained available for future issuance under the Incentive Plan, provided that 2,243,853 of the outstanding common shares shall only be available for awards made to non-employee directors of the Company. On the first day of each fiscal year from 2022 to 2031, the number of common shares that may be issued pursuant to the Incentive Plan is automatically increased by an amount equal to the lesser of 4% of the number of outstanding common shares or an amount determined by the board of directors.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Share-based awards consisting of RSUs and options under the Short-Term Incentives Plan (“STIP”) and Long-Term Incentives Plan (“LTIP”) have been issued under the 2021 Incentive Equity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Prior to the 2021 Incentive Plan, the Company had granted share-based awards under the 2018 Stock Option Plan (“2018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Following the special shareholders meeting, 6,500,000 options and 11,915,676 RSUs were granted on August 28, 2025.</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Outstanding under the Incentive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movements in the Company’s stock options under the Incentive Plan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65"/>
        <w:gridCol w:w="346"/>
        <w:gridCol w:w="1036"/>
        <w:gridCol w:w="346"/>
        <w:gridCol w:w="248"/>
        <w:gridCol w:w="548"/>
        <w:gridCol w:w="346"/>
        <w:gridCol w:w="258"/>
        <w:gridCol w:w="829"/>
        <w:gridCol w:w="346"/>
        <w:gridCol w:w="1237"/>
      </w:tblGrid>
      <w:tr>
        <w:trPr/>
        <w:tc>
          <w:tcPr>
            <w:tcW w:w="4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962275" cy="175260"/>
                      <wp:effectExtent l="0" t="0" r="0" b="0"/>
                      <wp:wrapNone/>
                      <wp:docPr id="307" name="Frame285"/>
                      <a:graphic xmlns:a="http://schemas.openxmlformats.org/drawingml/2006/main">
                        <a:graphicData uri="http://schemas.microsoft.com/office/word/2010/wordprocessingShape">
                          <wps:wsp>
                            <wps:cNvSpPr txBox="1"/>
                            <wps:spPr>
                              <a:xfrm>
                                <a:off x="0" y="0"/>
                                <a:ext cx="296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08"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57860" cy="175260"/>
                      <wp:effectExtent l="0" t="0" r="0" b="0"/>
                      <wp:wrapNone/>
                      <wp:docPr id="309" name="Frame2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0"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57480" cy="175260"/>
                      <wp:effectExtent l="0" t="0" r="0" b="0"/>
                      <wp:wrapNone/>
                      <wp:docPr id="311" name="Frame28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47980" cy="175260"/>
                      <wp:effectExtent l="0" t="0" r="0" b="0"/>
                      <wp:wrapNone/>
                      <wp:docPr id="312" name="Frame290"/>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3"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63830" cy="175260"/>
                      <wp:effectExtent l="0" t="0" r="0" b="0"/>
                      <wp:wrapNone/>
                      <wp:docPr id="314" name="Frame29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26415" cy="175260"/>
                      <wp:effectExtent l="0" t="0" r="0" b="0"/>
                      <wp:wrapNone/>
                      <wp:docPr id="315" name="Frame293"/>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16"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85495" cy="175260"/>
                      <wp:effectExtent l="0" t="0" r="0" b="0"/>
                      <wp:wrapNone/>
                      <wp:docPr id="317" name="Frame295"/>
                      <a:graphic xmlns:a="http://schemas.openxmlformats.org/drawingml/2006/main">
                        <a:graphicData uri="http://schemas.microsoft.com/office/word/2010/wordprocessingShape">
                          <wps:wsp>
                            <wps:cNvSpPr txBox="1"/>
                            <wps:spPr>
                              <a:xfrm>
                                <a:off x="0" y="0"/>
                                <a:ext cx="785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258" w:type="dxa"/>
            <w:tcBorders/>
            <w:vAlign w:val="center"/>
          </w:tcPr>
          <w:p>
            <w:pPr>
              <w:pStyle w:val="TableContents"/>
              <w:bidi w:val="0"/>
              <w:spacing w:before="0" w:after="1"/>
              <w:ind w:left="0" w:right="0" w:hanging="0"/>
              <w:jc w:val="center"/>
              <w:rPr/>
            </w:pPr>
            <w:r>
              <w:rPr/>
              <w:t>​</w:t>
            </w:r>
          </w:p>
        </w:tc>
        <w:tc>
          <w:tcPr>
            <w:tcW w:w="8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37" w:type="dxa"/>
            <w:tcBorders/>
            <w:vAlign w:val="center"/>
          </w:tcPr>
          <w:p>
            <w:pPr>
              <w:pStyle w:val="TableContents"/>
              <w:bidi w:val="0"/>
              <w:spacing w:before="0" w:after="1"/>
              <w:ind w:left="0" w:right="0" w:hanging="0"/>
              <w:jc w:val="center"/>
              <w:rPr/>
            </w:pPr>
            <w:r>
              <w:rPr/>
              <w:t>​</w:t>
            </w:r>
          </w:p>
        </w:tc>
      </w:tr>
      <w:tr>
        <w:trPr/>
        <w:tc>
          <w:tcPr>
            <w:tcW w:w="46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087"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Aggregate</w:t>
            </w:r>
          </w:p>
        </w:tc>
        <w:tc>
          <w:tcPr>
            <w:tcW w:w="346" w:type="dxa"/>
            <w:tcBorders/>
            <w:vAlign w:val="center"/>
          </w:tcPr>
          <w:p>
            <w:pPr>
              <w:pStyle w:val="TableContents"/>
              <w:bidi w:val="0"/>
              <w:spacing w:before="0" w:after="1"/>
              <w:ind w:left="0" w:right="0" w:hanging="0"/>
              <w:jc w:val="center"/>
              <w:rPr/>
            </w:pPr>
            <w:r>
              <w:rPr/>
              <w:t>​</w:t>
            </w:r>
          </w:p>
        </w:tc>
        <w:tc>
          <w:tcPr>
            <w:tcW w:w="1237"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Weighted</w:t>
            </w:r>
          </w:p>
        </w:tc>
      </w:tr>
      <w:tr>
        <w:trPr/>
        <w:tc>
          <w:tcPr>
            <w:tcW w:w="46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1087"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intrinsic</w:t>
            </w:r>
          </w:p>
        </w:tc>
        <w:tc>
          <w:tcPr>
            <w:tcW w:w="346" w:type="dxa"/>
            <w:tcBorders/>
            <w:vAlign w:val="center"/>
          </w:tcPr>
          <w:p>
            <w:pPr>
              <w:pStyle w:val="TableContents"/>
              <w:bidi w:val="0"/>
              <w:spacing w:before="0" w:after="1"/>
              <w:ind w:left="0" w:right="0" w:hanging="0"/>
              <w:jc w:val="center"/>
              <w:rPr/>
            </w:pPr>
            <w:r>
              <w:rPr/>
              <w:t>​</w:t>
            </w:r>
          </w:p>
        </w:tc>
        <w:tc>
          <w:tcPr>
            <w:tcW w:w="1237"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average</w:t>
            </w:r>
          </w:p>
        </w:tc>
      </w:tr>
      <w:tr>
        <w:trPr/>
        <w:tc>
          <w:tcPr>
            <w:tcW w:w="46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price per</w:t>
            </w:r>
          </w:p>
        </w:tc>
        <w:tc>
          <w:tcPr>
            <w:tcW w:w="346" w:type="dxa"/>
            <w:tcBorders/>
            <w:vAlign w:val="center"/>
          </w:tcPr>
          <w:p>
            <w:pPr>
              <w:pStyle w:val="TableContents"/>
              <w:bidi w:val="0"/>
              <w:spacing w:before="0" w:after="1"/>
              <w:ind w:left="0" w:right="0" w:hanging="0"/>
              <w:jc w:val="center"/>
              <w:rPr/>
            </w:pPr>
            <w:r>
              <w:rPr/>
              <w:t>​</w:t>
            </w:r>
          </w:p>
        </w:tc>
        <w:tc>
          <w:tcPr>
            <w:tcW w:w="1087"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value of stock</w:t>
            </w:r>
          </w:p>
        </w:tc>
        <w:tc>
          <w:tcPr>
            <w:tcW w:w="346" w:type="dxa"/>
            <w:tcBorders/>
            <w:vAlign w:val="center"/>
          </w:tcPr>
          <w:p>
            <w:pPr>
              <w:pStyle w:val="TableContents"/>
              <w:bidi w:val="0"/>
              <w:spacing w:before="0" w:after="1"/>
              <w:ind w:left="0" w:right="0" w:hanging="0"/>
              <w:jc w:val="center"/>
              <w:rPr/>
            </w:pPr>
            <w:r>
              <w:rPr/>
              <w:t>​</w:t>
            </w:r>
          </w:p>
        </w:tc>
        <w:tc>
          <w:tcPr>
            <w:tcW w:w="1237"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contractual life</w:t>
            </w:r>
          </w:p>
        </w:tc>
      </w:tr>
      <w:tr>
        <w:trPr/>
        <w:tc>
          <w:tcPr>
            <w:tcW w:w="46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center"/>
              <w:rPr/>
            </w:pPr>
            <w:r>
              <w:rPr/>
              <w:t>​</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center"/>
              <w:rPr/>
            </w:pPr>
            <w:r>
              <w:rPr/>
              <w:t>​</w:t>
            </w:r>
          </w:p>
        </w:tc>
        <w:tc>
          <w:tcPr>
            <w:tcW w:w="12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(years)</w:t>
            </w:r>
          </w:p>
        </w:tc>
      </w:tr>
      <w:tr>
        <w:trPr/>
        <w:tc>
          <w:tcPr>
            <w:tcW w:w="466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pPr>
            <w:r>
              <w:rPr/>
              <w:t>—</w:t>
            </w:r>
          </w:p>
        </w:tc>
      </w:tr>
      <w:tr>
        <w:trPr/>
        <w:tc>
          <w:tcPr>
            <w:tcW w:w="46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3,940,000</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6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3,940,000</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3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6.27</w:t>
            </w:r>
          </w:p>
        </w:tc>
      </w:tr>
      <w:tr>
        <w:trPr/>
        <w:tc>
          <w:tcPr>
            <w:tcW w:w="46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7,750,000</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4.19</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37" w:type="dxa"/>
            <w:tcBorders/>
            <w:vAlign w:val="center"/>
          </w:tcPr>
          <w:p>
            <w:pPr>
              <w:pStyle w:val="TableContents"/>
              <w:bidi w:val="0"/>
              <w:spacing w:before="0" w:after="1"/>
              <w:ind w:left="0" w:right="0" w:hanging="0"/>
              <w:jc w:val="right"/>
              <w:rPr/>
            </w:pPr>
            <w:r>
              <w:rPr/>
              <w:t>—</w:t>
            </w:r>
          </w:p>
        </w:tc>
      </w:tr>
      <w:tr>
        <w:trPr/>
        <w:tc>
          <w:tcPr>
            <w:tcW w:w="46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(500,000)</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66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December 31, 2025</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11,190,000</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3.43</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30,691</w:t>
            </w:r>
          </w:p>
        </w:tc>
        <w:tc>
          <w:tcPr>
            <w:tcW w:w="346" w:type="dxa"/>
            <w:tcBorders/>
            <w:vAlign w:val="center"/>
          </w:tcPr>
          <w:p>
            <w:pPr>
              <w:pStyle w:val="TableContents"/>
              <w:bidi w:val="0"/>
              <w:spacing w:before="0" w:after="1"/>
              <w:ind w:left="0" w:right="0" w:hanging="0"/>
              <w:jc w:val="left"/>
              <w:rPr/>
            </w:pPr>
            <w:r>
              <w:rPr/>
              <w:t> </w:t>
            </w:r>
          </w:p>
        </w:tc>
        <w:tc>
          <w:tcPr>
            <w:tcW w:w="12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4.63</w:t>
            </w:r>
          </w:p>
        </w:tc>
      </w:tr>
      <w:tr>
        <w:trPr/>
        <w:tc>
          <w:tcPr>
            <w:tcW w:w="466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December 31, 2025 - Vested and exercisable</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7,834,167</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4.16</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15,736</w:t>
            </w:r>
          </w:p>
        </w:tc>
        <w:tc>
          <w:tcPr>
            <w:tcW w:w="346" w:type="dxa"/>
            <w:tcBorders/>
            <w:shd w:fill="CCEEFF" w:val="clear"/>
            <w:vAlign w:val="center"/>
          </w:tcPr>
          <w:p>
            <w:pPr>
              <w:pStyle w:val="TableContents"/>
              <w:bidi w:val="0"/>
              <w:spacing w:before="0" w:after="1"/>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4.50</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summary of the Company’s stock options granted and outstanding under the Company’s Incentive Plan as at December 31, 2025 is as follows:</w:t>
      </w:r>
    </w:p>
    <w:p>
      <w:pPr>
        <w:pStyle w:val="TextBody"/>
        <w:bidi w:val="0"/>
        <w:spacing w:before="0" w:after="0"/>
        <w:ind w:left="0" w:right="0" w:hanging="0"/>
        <w:jc w:val="left"/>
        <w:rPr/>
      </w:pPr>
      <w:r>
        <w:rPr/>
        <w:t>​</w:t>
      </w:r>
    </w:p>
    <w:tbl>
      <w:tblPr>
        <w:tblW w:w="6591" w:type="dxa"/>
        <w:jc w:val="left"/>
        <w:tblInd w:w="0" w:type="dxa"/>
        <w:tblLayout w:type="fixed"/>
        <w:tblCellMar>
          <w:top w:w="0" w:type="dxa"/>
          <w:left w:w="0" w:type="dxa"/>
          <w:bottom w:w="0" w:type="dxa"/>
          <w:right w:w="0" w:type="dxa"/>
        </w:tblCellMar>
      </w:tblPr>
      <w:tblGrid>
        <w:gridCol w:w="1306"/>
        <w:gridCol w:w="346"/>
        <w:gridCol w:w="346"/>
        <w:gridCol w:w="764"/>
        <w:gridCol w:w="346"/>
        <w:gridCol w:w="1591"/>
        <w:gridCol w:w="346"/>
        <w:gridCol w:w="1546"/>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829310" cy="175260"/>
                      <wp:effectExtent l="0" t="0" r="0" b="0"/>
                      <wp:wrapNone/>
                      <wp:docPr id="318" name="Frame29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19"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0"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85140" cy="175260"/>
                      <wp:effectExtent l="0" t="0" r="0" b="0"/>
                      <wp:wrapNone/>
                      <wp:docPr id="321" name="Frame299"/>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2"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010285" cy="175260"/>
                      <wp:effectExtent l="0" t="0" r="0" b="0"/>
                      <wp:wrapNone/>
                      <wp:docPr id="323" name="Frame301"/>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4"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981710" cy="175260"/>
                      <wp:effectExtent l="0" t="0" r="0" b="0"/>
                      <wp:wrapNone/>
                      <wp:docPr id="325" name="Frame30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w:t>
            </w:r>
          </w:p>
        </w:tc>
        <w:tc>
          <w:tcPr>
            <w:tcW w:w="7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4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Options</w:t>
            </w:r>
          </w:p>
        </w:tc>
      </w:tr>
      <w:tr>
        <w:trPr/>
        <w:tc>
          <w:tcPr>
            <w:tcW w:w="13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1"/>
              <w:ind w:left="0" w:right="0" w:hanging="0"/>
              <w:jc w:val="center"/>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 and</w:t>
            </w:r>
          </w:p>
        </w:tc>
      </w:tr>
      <w:tr>
        <w:trPr/>
        <w:tc>
          <w:tcPr>
            <w:tcW w:w="13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Expiry Date</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center"/>
              <w:rPr/>
            </w:pPr>
            <w:r>
              <w:rPr/>
              <w:t>  ​ ​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life to expiry (years)</w:t>
            </w:r>
          </w:p>
        </w:tc>
        <w:tc>
          <w:tcPr>
            <w:tcW w:w="346" w:type="dxa"/>
            <w:tcBorders/>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Exercisable</w:t>
            </w:r>
          </w:p>
        </w:tc>
      </w:tr>
      <w:tr>
        <w:trPr/>
        <w:tc>
          <w:tcPr>
            <w:tcW w:w="1306"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 2028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750,000</w:t>
            </w:r>
          </w:p>
        </w:tc>
      </w:tr>
      <w:tr>
        <w:trPr/>
        <w:tc>
          <w:tcPr>
            <w:tcW w:w="1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4, 2030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6,500,000</w:t>
            </w:r>
          </w:p>
        </w:tc>
      </w:tr>
      <w:tr>
        <w:trPr/>
        <w:tc>
          <w:tcPr>
            <w:tcW w:w="1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9, 2031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3,440,000</w:t>
            </w:r>
          </w:p>
        </w:tc>
      </w:tr>
      <w:tr>
        <w:trPr/>
        <w:tc>
          <w:tcPr>
            <w:tcW w:w="1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4, 2032</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3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11,190,000</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As on December 31, 2025, 11,190,000 stock options were outstanding under the Incentive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1416" w:name="Tc_INTuBwuqtESVv2pFzsjgiQ_8_8"/>
      <w:bookmarkStart w:id="1417" w:name="Tc_EyVZb5Axk0KaowJa6_kPBg_8_6"/>
      <w:bookmarkStart w:id="1418" w:name="Tc_g8fgpXxbSUOmRkH2oX7aAQ_8_4"/>
      <w:bookmarkStart w:id="1419" w:name="Tc_Pk1kOC7fWkKb0atqISRR6A_8_0"/>
      <w:bookmarkStart w:id="1420" w:name="Tc_up_oY0Bp9kKUp8g0Gq06AA_7_8"/>
      <w:bookmarkStart w:id="1421" w:name="Tc_ePcez4J5lUmu7EIKRPFbig_7_6"/>
      <w:bookmarkStart w:id="1422" w:name="Tc_Eqi0PBgE_0mrUMLbU4YL2g_7_4"/>
      <w:bookmarkStart w:id="1423" w:name="Tc_W8RcrGuUpkepsKLbFYqkag_7_0"/>
      <w:bookmarkStart w:id="1424" w:name="Tc_IXD2yAba7Ua8PyJbWjCF6w_6_7"/>
      <w:bookmarkStart w:id="1425" w:name="Tc_TcAhkAMNuk2afyI8mdy7YA_6_5"/>
      <w:bookmarkStart w:id="1426" w:name="Tc_4e0iIrRXc06iFRnmxRCgnA_6_3"/>
      <w:bookmarkStart w:id="1427" w:name="Tc_qK57cuGKDUqN5QfMDv7gEQ_6_0"/>
      <w:bookmarkStart w:id="1428" w:name="Tc_-UX7sCgLuE6fXsxIDZDRxA_5_8"/>
      <w:bookmarkStart w:id="1429" w:name="Tc_lbPKIIkmH0SC_I2YwLTtVQ_5_6"/>
      <w:bookmarkStart w:id="1430" w:name="Tc_pOEnsMxXlkS5BzLUGQChHw_5_4"/>
      <w:bookmarkStart w:id="1431" w:name="Tc_OEqS98_cgEiaCHZK6lvvSw_5_0"/>
      <w:bookmarkStart w:id="1432" w:name="Tc_Cfjg7BXOXEqOTHddsj92vg_4_2"/>
      <w:bookmarkStart w:id="1433" w:name="Tc_0lSnxDOwxUOYsS4g6JjYng_4_0"/>
      <w:bookmarkStart w:id="1434" w:name="Tc_0INDsjKLu0K2sjHbPNN3bQ_3_2"/>
      <w:bookmarkStart w:id="1435" w:name="Tc_Y_BLo1avOEaiLs4NdhSgqA_3_0"/>
      <w:bookmarkStart w:id="1436" w:name="Tc_adXfBk1bDkmlOrcwNk7RMg_2_7"/>
      <w:bookmarkStart w:id="1437" w:name="Tc_FHnFKWT220mKs4r9wzTaAA_2_5"/>
      <w:bookmarkStart w:id="1438" w:name="Tc_mULVwAyhaEa2tOXRHDmC8A_2_2"/>
      <w:bookmarkStart w:id="1439" w:name="Tc_xgnB-veQwEWxDy6xkm3c9g_2_0"/>
      <w:bookmarkStart w:id="1440" w:name="Tc_Vuf27tvVSEufOJ_PWrvADQ_1_2"/>
      <w:bookmarkStart w:id="1441" w:name="Tc_t-b7L2jFyUGsJayScfGJ4Q_8_4"/>
      <w:bookmarkStart w:id="1442" w:name="Tc_MI4Z301DH0yN4dRURxbVGQ_8_0"/>
      <w:bookmarkStart w:id="1443" w:name="Tc_8kCeRsPhDk-BmcIF3RPBeA_7_4"/>
      <w:bookmarkStart w:id="1444" w:name="Tc_yctUPJv6aEin9VUQxM0gqw_7_0"/>
      <w:bookmarkStart w:id="1445" w:name="Tc_7F79mCTkXki9w9exb0wBdQ_6_3"/>
      <w:bookmarkStart w:id="1446" w:name="Tc_k-WrPxnSeE-HBo-DEl1wsA_6_0"/>
      <w:bookmarkStart w:id="1447" w:name="Tc_I7AeT2atW0-dqHwyf4hzOg_5_4"/>
      <w:bookmarkStart w:id="1448" w:name="Tc_3hUAN1EdLE671sINfX0i2w_5_0"/>
      <w:bookmarkStart w:id="1449" w:name="Tc_uy28skZub0OONw7N4W-pUQ_4_2"/>
      <w:bookmarkStart w:id="1450" w:name="Tc__wlVCQg-n0-gTA0I_9NNmQ_4_0"/>
      <w:bookmarkStart w:id="1451" w:name="Tc_8Qm8bDOJPkSQLapgtqf5Ew_3_2"/>
      <w:bookmarkStart w:id="1452" w:name="Tc_VW97NtP_o0u65vfOKb02vA_3_0"/>
      <w:bookmarkStart w:id="1453" w:name="Tc_7K2peMRo9U-ylWP5CiFLYw_2_2"/>
      <w:bookmarkStart w:id="1454" w:name="Tc_OXDvRZoCi0GU7RVmwCPI6w_1_2"/>
      <w:bookmarkStart w:id="1455" w:name="_a9d31814_2756_4c17_a6e1_165132dab1ce"/>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r>
        <w:rPr>
          <w:rFonts w:ascii="Times New Roman;Times;serif" w:hAnsi="Times New Roman;Times;serif"/>
          <w:sz w:val="20"/>
        </w:rPr>
        <w:t>During the first quarter of 2025, the Company granted 1,250,000 stock options out of which 500,000 stock options vest in thirds on each anniversary of the grant date. The fair value of the stock options vesting in thirds was estimated on the date of grant using the Black-Scholes method and the following assumptions:</w:t>
      </w:r>
    </w:p>
    <w:p>
      <w:pPr>
        <w:pStyle w:val="TextBody"/>
        <w:bidi w:val="0"/>
        <w:spacing w:before="0" w:after="0"/>
        <w:ind w:left="0" w:right="0" w:hanging="0"/>
        <w:jc w:val="left"/>
        <w:rPr/>
      </w:pPr>
      <w:r>
        <w:rPr/>
        <w:t>​</w:t>
      </w:r>
    </w:p>
    <w:tbl>
      <w:tblPr>
        <w:tblW w:w="3125" w:type="dxa"/>
        <w:jc w:val="left"/>
        <w:tblInd w:w="0" w:type="dxa"/>
        <w:tblLayout w:type="fixed"/>
        <w:tblCellMar>
          <w:top w:w="0" w:type="dxa"/>
          <w:left w:w="0" w:type="dxa"/>
          <w:bottom w:w="0" w:type="dxa"/>
          <w:right w:w="0" w:type="dxa"/>
        </w:tblCellMar>
      </w:tblPr>
      <w:tblGrid>
        <w:gridCol w:w="1351"/>
        <w:gridCol w:w="346"/>
        <w:gridCol w:w="211"/>
        <w:gridCol w:w="871"/>
        <w:gridCol w:w="34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857885" cy="175260"/>
                      <wp:effectExtent l="0" t="0" r="0" b="0"/>
                      <wp:wrapNone/>
                      <wp:docPr id="326" name="Frame30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27"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28"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53085" cy="175260"/>
                      <wp:effectExtent l="0" t="0" r="0" b="0"/>
                      <wp:wrapNone/>
                      <wp:docPr id="329" name="Frame30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0"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82"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4, </w:t>
            </w:r>
          </w:p>
        </w:tc>
        <w:tc>
          <w:tcPr>
            <w:tcW w:w="346" w:type="dxa"/>
            <w:tcBorders/>
            <w:vAlign w:val="center"/>
          </w:tcPr>
          <w:p>
            <w:pPr>
              <w:pStyle w:val="TableContents"/>
              <w:bidi w:val="0"/>
              <w:spacing w:before="0" w:after="1"/>
              <w:ind w:left="0" w:right="0" w:hanging="0"/>
              <w:jc w:val="left"/>
              <w:rPr/>
            </w:pPr>
            <w:r>
              <w:rPr/>
              <w:t> </w:t>
            </w:r>
          </w:p>
        </w:tc>
      </w:tr>
      <w:tr>
        <w:trPr/>
        <w:tc>
          <w:tcPr>
            <w:tcW w:w="1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w:t>
            </w:r>
          </w:p>
        </w:tc>
        <w:tc>
          <w:tcPr>
            <w:tcW w:w="34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103.85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Term</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b/>
                <w:sz w:val="20"/>
              </w:rPr>
              <w:t>4.5</w:t>
            </w:r>
            <w:r>
              <w:rPr>
                <w:rFonts w:ascii="Times New Roman;Times;serif" w:hAnsi="Times New Roman;Times;serif"/>
                <w:sz w:val="20"/>
              </w:rPr>
              <w:t xml:space="preserve"> </w:t>
            </w:r>
            <w:r>
              <w:rPr>
                <w:rFonts w:ascii="Times New Roman;Times;serif" w:hAnsi="Times New Roman;Times;serif"/>
                <w:b/>
                <w:sz w:val="20"/>
              </w:rPr>
              <w:t>years</w:t>
            </w:r>
          </w:p>
        </w:tc>
        <w:tc>
          <w:tcPr>
            <w:tcW w:w="34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there has been no exercise of options granted under the Incentive Plan, the expected term was estimated using the simplified method which is calculated as the average of the time to vest for each tranche from the grant date and the 7-year</w:t>
            </w:r>
            <w:r>
              <w:rPr>
                <w:caps w:val="false"/>
                <w:smallCaps w:val="false"/>
              </w:rPr>
              <w:t xml:space="preserve"> </w:t>
            </w:r>
            <w:r>
              <w:rPr>
                <w:rFonts w:ascii="Times New Roman;Times;serif" w:hAnsi="Times New Roman;Times;serif"/>
                <w:b w:val="false"/>
                <w:i w:val="false"/>
                <w:caps w:val="false"/>
                <w:smallCaps w:val="false"/>
                <w:sz w:val="20"/>
              </w:rPr>
              <w:t>contractual term.</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remaining 750,000 stock options vest as follows: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Tranche 1 - 25% when the Company’s market capitalization equals $3 billion;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Tranche 2 - 35% when the Company’s market capitalization equals $6 billion;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Tranche 3 – 20% upon the date that the ISA grants an exploitation contract to the Company; and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4 – 20% upon the commencement of the first commercial production following the grant of the exploitation contract.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1 and Tranche 2 vest based on market conditions of the Company’s market capitalization reaching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$1.09 per share and $0.90 per share and derived service periods of 1.40 years and 1.88 years, respectively. The Company will expense these awards rateably over the remaining service period. Tranche 3 and Tranche 4 of the stock options granted vest based on the date the ISA grants an exploitation contract and the commencement of commercial production. These options are determined to be performance-based awards. In 2025, Tranche 1 vested, and the Company recognized the entire fair value of the options under that tranche. The options included in Tranche 3 and Tranche 4 had a grant date fair value of $1.20 and $1.24 per share respectively. The Company will recognize compensation costs for the performance-based awards when the Company concludes that it is probable that the performance conditions will be achieved. As the achievement of performance of these conditions at December 31, 2025 was not probable, the Company has not recorded any compensation expense for the performance-based awards. The Company will reassess the probability of the vesting of the performance-based awards at each reporting period and adjust the compensation cost when the criteria is determined to be probable.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fair values of the options in Tranche 1 and Tranche 2 were estimated on the date of grant using the Monte Carlo method whereas the fair values of the options in Tranche 3 and Tranche 4 were determined using the Black-Scholes valuation and the following assumptions:</w:t>
      </w:r>
    </w:p>
    <w:p>
      <w:pPr>
        <w:pStyle w:val="TextBody"/>
        <w:bidi w:val="0"/>
        <w:spacing w:before="0" w:after="0"/>
        <w:ind w:left="0" w:right="0" w:hanging="0"/>
        <w:jc w:val="left"/>
        <w:rPr/>
      </w:pPr>
      <w:r>
        <w:rPr/>
        <w:t>​</w:t>
      </w:r>
    </w:p>
    <w:tbl>
      <w:tblPr>
        <w:tblW w:w="6127" w:type="dxa"/>
        <w:jc w:val="left"/>
        <w:tblInd w:w="0" w:type="dxa"/>
        <w:tblLayout w:type="fixed"/>
        <w:tblCellMar>
          <w:top w:w="0" w:type="dxa"/>
          <w:left w:w="0" w:type="dxa"/>
          <w:bottom w:w="0" w:type="dxa"/>
          <w:right w:w="0" w:type="dxa"/>
        </w:tblCellMar>
      </w:tblPr>
      <w:tblGrid>
        <w:gridCol w:w="1351"/>
        <w:gridCol w:w="346"/>
        <w:gridCol w:w="240"/>
        <w:gridCol w:w="1110"/>
        <w:gridCol w:w="391"/>
        <w:gridCol w:w="976"/>
        <w:gridCol w:w="391"/>
        <w:gridCol w:w="976"/>
        <w:gridCol w:w="34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857885" cy="175260"/>
                      <wp:effectExtent l="0" t="0" r="0" b="0"/>
                      <wp:wrapNone/>
                      <wp:docPr id="331" name="Frame309"/>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2"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52400" cy="175260"/>
                      <wp:effectExtent l="0" t="0" r="0" b="0"/>
                      <wp:wrapNone/>
                      <wp:docPr id="333" name="Frame31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704850" cy="175260"/>
                      <wp:effectExtent l="0" t="0" r="0" b="0"/>
                      <wp:wrapNone/>
                      <wp:docPr id="334" name="Frame312"/>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48285" cy="175260"/>
                      <wp:effectExtent l="0" t="0" r="0" b="0"/>
                      <wp:wrapNone/>
                      <wp:docPr id="335" name="Frame31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19760" cy="175260"/>
                      <wp:effectExtent l="0" t="0" r="0" b="0"/>
                      <wp:wrapNone/>
                      <wp:docPr id="336" name="Frame31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48285" cy="175260"/>
                      <wp:effectExtent l="0" t="0" r="0" b="0"/>
                      <wp:wrapNone/>
                      <wp:docPr id="337" name="Frame31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19760" cy="175260"/>
                      <wp:effectExtent l="0" t="0" r="0" b="0"/>
                      <wp:wrapNone/>
                      <wp:docPr id="338" name="Frame31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39"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08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14, 2025</w:t>
            </w:r>
          </w:p>
        </w:tc>
        <w:tc>
          <w:tcPr>
            <w:tcW w:w="346" w:type="dxa"/>
            <w:tcBorders/>
            <w:vAlign w:val="center"/>
          </w:tcPr>
          <w:p>
            <w:pPr>
              <w:pStyle w:val="TableContents"/>
              <w:bidi w:val="0"/>
              <w:spacing w:before="0" w:after="1"/>
              <w:ind w:left="0" w:right="0" w:hanging="0"/>
              <w:jc w:val="center"/>
              <w:rPr/>
            </w:pPr>
            <w:r>
              <w:rPr/>
              <w:t> </w:t>
            </w:r>
          </w:p>
        </w:tc>
      </w:tr>
      <w:tr>
        <w:trPr/>
        <w:tc>
          <w:tcPr>
            <w:tcW w:w="13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Tranche</w:t>
            </w:r>
          </w:p>
        </w:tc>
        <w:tc>
          <w:tcPr>
            <w:tcW w:w="346" w:type="dxa"/>
            <w:tcBorders/>
            <w:vAlign w:val="center"/>
          </w:tcPr>
          <w:p>
            <w:pPr>
              <w:pStyle w:val="TableContents"/>
              <w:bidi w:val="0"/>
              <w:spacing w:before="0" w:after="1"/>
              <w:ind w:left="0" w:right="0" w:hanging="0"/>
              <w:jc w:val="center"/>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Tranches 1 and 2</w:t>
            </w:r>
          </w:p>
        </w:tc>
        <w:tc>
          <w:tcPr>
            <w:tcW w:w="391" w:type="dxa"/>
            <w:tcBorders/>
            <w:vAlign w:val="center"/>
          </w:tcPr>
          <w:p>
            <w:pPr>
              <w:pStyle w:val="TableContents"/>
              <w:bidi w:val="0"/>
              <w:spacing w:before="0" w:after="1"/>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Tranche 3</w:t>
            </w:r>
          </w:p>
        </w:tc>
        <w:tc>
          <w:tcPr>
            <w:tcW w:w="391" w:type="dxa"/>
            <w:tcBorders/>
            <w:vAlign w:val="center"/>
          </w:tcPr>
          <w:p>
            <w:pPr>
              <w:pStyle w:val="TableContents"/>
              <w:bidi w:val="0"/>
              <w:spacing w:before="0" w:after="1"/>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Tranche 4</w:t>
            </w:r>
          </w:p>
        </w:tc>
        <w:tc>
          <w:tcPr>
            <w:tcW w:w="346" w:type="dxa"/>
            <w:tcBorders/>
            <w:vAlign w:val="center"/>
          </w:tcPr>
          <w:p>
            <w:pPr>
              <w:pStyle w:val="TableContents"/>
              <w:bidi w:val="0"/>
              <w:spacing w:before="0" w:after="1"/>
              <w:ind w:left="0" w:right="0" w:hanging="0"/>
              <w:jc w:val="center"/>
              <w:rPr/>
            </w:pPr>
            <w:r>
              <w:rPr/>
              <w:t> </w:t>
            </w:r>
          </w:p>
        </w:tc>
      </w:tr>
      <w:tr>
        <w:trPr/>
        <w:tc>
          <w:tcPr>
            <w:tcW w:w="135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w:t>
            </w:r>
          </w:p>
        </w:tc>
        <w:tc>
          <w:tcPr>
            <w:tcW w:w="39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w:t>
            </w:r>
          </w:p>
        </w:tc>
        <w:tc>
          <w:tcPr>
            <w:tcW w:w="39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0"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w:t>
            </w:r>
          </w:p>
        </w:tc>
        <w:tc>
          <w:tcPr>
            <w:tcW w:w="39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w:t>
            </w:r>
          </w:p>
        </w:tc>
        <w:tc>
          <w:tcPr>
            <w:tcW w:w="39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w:t>
            </w:r>
          </w:p>
        </w:tc>
        <w:tc>
          <w:tcPr>
            <w:tcW w:w="34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100.62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99.67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100.62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b/>
                <w:sz w:val="20"/>
              </w:rPr>
              <w:t>3.22</w:t>
            </w:r>
            <w:r>
              <w:rPr>
                <w:rFonts w:ascii="Times New Roman;Times;serif" w:hAnsi="Times New Roman;Times;serif"/>
                <w:sz w:val="20"/>
              </w:rPr>
              <w:t xml:space="preserve"> </w:t>
            </w:r>
            <w:r>
              <w:rPr>
                <w:rFonts w:ascii="Times New Roman;Times;serif" w:hAnsi="Times New Roman;Times;serif"/>
                <w:b/>
                <w:sz w:val="20"/>
              </w:rPr>
              <w:t>years</w:t>
            </w:r>
          </w:p>
        </w:tc>
        <w:tc>
          <w:tcPr>
            <w:tcW w:w="39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b/>
                <w:sz w:val="20"/>
              </w:rPr>
              <w:t>3.01</w:t>
            </w:r>
            <w:r>
              <w:rPr>
                <w:rFonts w:ascii="Times New Roman;Times;serif" w:hAnsi="Times New Roman;Times;serif"/>
                <w:sz w:val="20"/>
              </w:rPr>
              <w:t xml:space="preserve"> </w:t>
            </w:r>
            <w:r>
              <w:rPr>
                <w:rFonts w:ascii="Times New Roman;Times;serif" w:hAnsi="Times New Roman;Times;serif"/>
                <w:b/>
                <w:sz w:val="20"/>
              </w:rPr>
              <w:t>years</w:t>
            </w:r>
          </w:p>
        </w:tc>
        <w:tc>
          <w:tcPr>
            <w:tcW w:w="39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b/>
                <w:sz w:val="20"/>
              </w:rPr>
              <w:t>3.22</w:t>
            </w:r>
            <w:r>
              <w:rPr>
                <w:rFonts w:ascii="Times New Roman;Times;serif" w:hAnsi="Times New Roman;Times;serif"/>
                <w:sz w:val="20"/>
              </w:rPr>
              <w:t xml:space="preserve"> </w:t>
            </w:r>
            <w:r>
              <w:rPr>
                <w:rFonts w:ascii="Times New Roman;Times;serif" w:hAnsi="Times New Roman;Times;serif"/>
                <w:b/>
                <w:sz w:val="20"/>
              </w:rPr>
              <w:t>years</w:t>
            </w:r>
          </w:p>
        </w:tc>
        <w:tc>
          <w:tcPr>
            <w:tcW w:w="34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360" w:right="0" w:hanging="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1456" w:name="_5960488e_33b9_4611_9bed_e0ed5a5ccf48_3"/>
      <w:bookmarkStart w:id="1457" w:name="_5960488e_33b9_4611_9bed_e0ed5a5ccf48_2"/>
      <w:bookmarkStart w:id="1458" w:name="_5960488e_33b9_4611_9bed_e0ed5a5ccf48"/>
      <w:bookmarkStart w:id="1459" w:name="Tc_CFZEFd5sRU-TMinqzf8pZQ_8_4"/>
      <w:bookmarkStart w:id="1460" w:name="Tc_SsmMFo7JDEichOujln9QNg_8_0"/>
      <w:bookmarkStart w:id="1461" w:name="Tc_9Bv7TS4lsEerF7RcuJtakw_7_4"/>
      <w:bookmarkStart w:id="1462" w:name="Tc_J-w8yAzffEmpIg9HvTbW3w_7_0"/>
      <w:bookmarkStart w:id="1463" w:name="Tc_AZXsEuYL2USzVpOV0nlhnQ_6_3"/>
      <w:bookmarkStart w:id="1464" w:name="Tc_oFormxyZ30SMtWBMxrJTiA_6_0"/>
      <w:bookmarkStart w:id="1465" w:name="Tc_uaq1EeTMc0aWz_dW73CvzA_5_4"/>
      <w:bookmarkStart w:id="1466" w:name="Tc_ANtG2zs4Rkabs7ZmGTDdHg_5_0"/>
      <w:bookmarkStart w:id="1467" w:name="Tc_NSeO_GF440uoofjCuE7LGg_4_2"/>
      <w:bookmarkStart w:id="1468" w:name="Tc_u4hMZstIkkugaXWugXbQ2g_4_0"/>
      <w:bookmarkStart w:id="1469" w:name="Tc_lm937S8LJE67xZ3HLD8wxA_3_2"/>
      <w:bookmarkStart w:id="1470" w:name="Tc_eshoTqsAzk-kGEP4jvrU4Q_3_0"/>
      <w:bookmarkStart w:id="1471" w:name="Tc_rL4B32Cj8kWy6F_MQeiJPQ_2_3"/>
      <w:bookmarkStart w:id="1472" w:name="Tc_l8MNagduwUuRGTu9uSGDcA_1_2"/>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r>
        <w:rPr>
          <w:rFonts w:ascii="Times New Roman;Times;serif" w:hAnsi="Times New Roman;Times;serif"/>
          <w:sz w:val="20"/>
        </w:rPr>
        <w:t>On August 28, 2025, and in consideration for strategic consulting services rendered, the Company granted 6,500,000 options out of which 5,000,000 options were granted to a director of the Company. The 6,500,000 options vest as follows: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1:50% vest upon the Company’s share price trading above $5 for ten consecutive days, or the Company’s market capitalization reaches or exceeds $2.2 billion, for ten consecutive days.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2: 50% vest upon the Company’s share price trading above $7 for ten consecutive days, or the Company’s market capitalization reaches or exceeds $3 billion, for ten consecutive days.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options were determined to be market-based awards and the grant date fair value of both tranches was calculated at $4.10 per unit using Black-Scholes valuation and the following assumptions.</w:t>
      </w:r>
    </w:p>
    <w:p>
      <w:pPr>
        <w:pStyle w:val="TextBody"/>
        <w:bidi w:val="0"/>
        <w:spacing w:before="0" w:after="0"/>
        <w:ind w:left="0" w:right="0" w:hanging="0"/>
        <w:jc w:val="left"/>
        <w:rPr/>
      </w:pPr>
      <w:r>
        <w:rPr/>
        <w:t>​</w:t>
      </w:r>
    </w:p>
    <w:tbl>
      <w:tblPr>
        <w:tblW w:w="3230" w:type="dxa"/>
        <w:jc w:val="left"/>
        <w:tblInd w:w="0" w:type="dxa"/>
        <w:tblLayout w:type="fixed"/>
        <w:tblCellMar>
          <w:top w:w="0" w:type="dxa"/>
          <w:left w:w="0" w:type="dxa"/>
          <w:bottom w:w="0" w:type="dxa"/>
          <w:right w:w="0" w:type="dxa"/>
        </w:tblCellMar>
      </w:tblPr>
      <w:tblGrid>
        <w:gridCol w:w="1351"/>
        <w:gridCol w:w="346"/>
        <w:gridCol w:w="211"/>
        <w:gridCol w:w="976"/>
        <w:gridCol w:w="34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857885" cy="175260"/>
                      <wp:effectExtent l="0" t="0" r="0" b="0"/>
                      <wp:wrapNone/>
                      <wp:docPr id="340" name="Frame31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1"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2"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19760" cy="175260"/>
                      <wp:effectExtent l="0" t="0" r="0" b="0"/>
                      <wp:wrapNone/>
                      <wp:docPr id="343" name="Frame32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4"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August 28, </w:t>
            </w:r>
          </w:p>
        </w:tc>
        <w:tc>
          <w:tcPr>
            <w:tcW w:w="346"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4.66</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5.26</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4.77</w:t>
            </w:r>
            <w:r>
              <w:rPr>
                <w:rFonts w:ascii="Times New Roman;Times;serif" w:hAnsi="Times New Roman;Times;serif"/>
                <w:sz w:val="20"/>
              </w:rPr>
              <w:t xml:space="preserve"> </w:t>
            </w:r>
            <w:r>
              <w:rPr>
                <w:rFonts w:ascii="Times New Roman;Times;serif" w:hAnsi="Times New Roman;Times;serif"/>
                <w:b/>
                <w:sz w:val="20"/>
              </w:rPr>
              <w:t>years</w:t>
            </w:r>
          </w:p>
        </w:tc>
        <w:tc>
          <w:tcPr>
            <w:tcW w:w="34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the vesting conditions were met as of the date of the grant, the Company amortized the entire fair value of the options amounting to $26.7 million in the third quarter of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year, the Company recognized $28.8 million of share-based compensation expense (2024: $1.3 million) related to the amortization of stock options out of which $28.6 million was recorded under general and administrative expenses in the statement of loss and comprehensive loss (2024: $1.3 million) and $0.2 million was recorded under exploration and evaluation expenses (2024: $ nil).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intrinsic value of the outstanding stock options was $30.7 million (2024: $nil) and was calculated by considering the closing market price of the Company’s common shares as the fair value of the Company’s common share. The total unrecognized share-based compensation expense of $2.6 million (2024: $4 million) is expected to be recognized over a period of approximately two years.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Outstanding under the Company’s 2018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No new stock options were granted by the Company as STIPs or LTIPs under the 2018 Plan during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sz w:val="20"/>
        </w:rPr>
      </w:pPr>
      <w:bookmarkStart w:id="1473" w:name="Tc_GqfB8X0K5EG9f71jKMvdLw_8_2"/>
      <w:bookmarkStart w:id="1474" w:name="Tc_glptOSdUOk6egUKFX5sG_Q_7_3"/>
      <w:bookmarkStart w:id="1475" w:name="Tc_YBrYMQ_2Vke56ROu8F_47Q_7_2"/>
      <w:bookmarkStart w:id="1476" w:name="Tc_bIEY1hmIREKacmOCBT2K_Q_6_3"/>
      <w:bookmarkStart w:id="1477" w:name="Tc_eqQjNmh3ikGu9LHUuZuNQw_6_2"/>
      <w:bookmarkStart w:id="1478" w:name="Tc_Ffh8R4AwWUy2wZ_fcMkReg_5_2"/>
      <w:bookmarkStart w:id="1479" w:name="Tc_MD7SuyUIWkueq96WZJ8Tfg_4_3"/>
      <w:bookmarkStart w:id="1480" w:name="Tc_UKG-1s4XaE648AQ-Zf6BEg_4_2"/>
      <w:bookmarkStart w:id="1481" w:name="Tc_OcSU8GZffUeU-v9F9FOGfg_3_7"/>
      <w:bookmarkStart w:id="1482" w:name="Tc_UuejLFFgdEG3eF6hYu-b9A_3_5"/>
      <w:bookmarkStart w:id="1483" w:name="Tc_b-KLJZz3rkSYtHxyqP7YoA_3_2"/>
      <w:bookmarkStart w:id="1484" w:name="Tc_0N0Nx5fnekuuEKVbQelz2A_3_0"/>
      <w:bookmarkStart w:id="1485" w:name="Tc_677Y4nNZ4EeL7z3J8kVzoA_2_7"/>
      <w:bookmarkStart w:id="1486" w:name="Tc_C21eJJKrA0qNacCTokpkpg_2_5"/>
      <w:bookmarkStart w:id="1487" w:name="Tc_Gd0ViYPs6EiRiLAGNA8Iyw_1_7"/>
      <w:bookmarkStart w:id="1488" w:name="Tc_A3C202rT9kekUWbmtH0ZIg_1_5"/>
      <w:bookmarkStart w:id="1489" w:name="Tc_Bwa1MMSnbkydguWCij-psQ_12_7"/>
      <w:bookmarkStart w:id="1490" w:name="Tc_Ezme1FEZWkylD1xRaNIPLw_12_4"/>
      <w:bookmarkStart w:id="1491" w:name="Tc_mqECo05DsEmoYf9FcLfhxg_12_0"/>
      <w:bookmarkStart w:id="1492" w:name="Tc_fdDJxyXi-EKEC3LzZrT4Wg_11_10"/>
      <w:bookmarkStart w:id="1493" w:name="Tc_cq38nY3HLUyLhykSxJbtnA_11_8"/>
      <w:bookmarkStart w:id="1494" w:name="Tc_TLtpLZz_jkOoVGEWHzbOQA_11_0"/>
      <w:bookmarkStart w:id="1495" w:name="Tc_G9aBG4LwGkOzRr1u3wQz9A_10_10"/>
      <w:bookmarkStart w:id="1496" w:name="Tc_EWHuwFb2-0uPnH_U3TsUuA_10_8"/>
      <w:bookmarkStart w:id="1497" w:name="Tc_TSjV9imksU2ePB1oAFWI9Q_10_0"/>
      <w:bookmarkStart w:id="1498" w:name="Tc_z-owHrp9Z0CMKRZ2o9_2pg_9_7"/>
      <w:bookmarkStart w:id="1499" w:name="Tc_1-vyLtnn00WCwU3aeMzgVw_9_4"/>
      <w:bookmarkStart w:id="1500" w:name="Tc_0RrAxSJiKE6n_PWuyK6OdA_9_0"/>
      <w:bookmarkStart w:id="1501" w:name="Tc_nj6AZgitE0KHefq-Oy3rgg_8_10"/>
      <w:bookmarkStart w:id="1502" w:name="Tc_n4OS2DEzG0iH1V-toefUgQ_8_8"/>
      <w:bookmarkStart w:id="1503" w:name="Tc_Oq_SSoiIokeBZ5XNare4uA_8_0"/>
      <w:bookmarkStart w:id="1504" w:name="Tc_xMKJf7w5Z0-b1fTomv3sgg_7_10"/>
      <w:bookmarkStart w:id="1505" w:name="Tc_qoOdFoijdUSyR3rfl1uu9A_7_8"/>
      <w:bookmarkStart w:id="1506" w:name="Tc_UbkOqbmTZkaHe7bwvTP-EQ_7_0"/>
      <w:bookmarkStart w:id="1507" w:name="Tc_Gfo9VKxKLEO9KNp2PDrsVA_6_7"/>
      <w:bookmarkStart w:id="1508" w:name="Tc_RsRXbIJ8KUOMF1aa8gCDLQ_6_4"/>
      <w:bookmarkStart w:id="1509" w:name="Tc_QffyNags3EWE9XwU0AX4QQ_6_0"/>
      <w:bookmarkStart w:id="1510" w:name="Tc_DlVNI2fJ90u1-nQTq1Tu4g_5_10"/>
      <w:bookmarkStart w:id="1511" w:name="Tc_aAKNKZUFGkWYVKNYr7ulFQ_5_7"/>
      <w:bookmarkStart w:id="1512" w:name="Tc_T3CBlMSsJUyXA-6Z3BoA7Q_5_4"/>
      <w:bookmarkStart w:id="1513" w:name="Tc_M2xPXjk-0UeJ9oQtpFibPA_5_2"/>
      <w:bookmarkStart w:id="1514" w:name="Tc_x-zBmTo6jE2XmPXRSjLnxw_4_10"/>
      <w:bookmarkStart w:id="1515" w:name="Tc_2kAzzj-200un-hYTu69TRA_4_7"/>
      <w:bookmarkStart w:id="1516" w:name="Tc_f0T2cScxYU-sfPIW8vWf0Q_4_4"/>
      <w:bookmarkStart w:id="1517" w:name="Tc_0IH3bwv4S0KyjjUXMGCfiw_4_2"/>
      <w:bookmarkStart w:id="1518" w:name="Tc_mw9b74FH_0mHA1hDGyDGYQ_3_10"/>
      <w:bookmarkStart w:id="1519" w:name="Tc_H09HIzJeqEqnibzf3mFEQw_3_7"/>
      <w:bookmarkStart w:id="1520" w:name="Tc_ha6BO0sDj0aM0V31PYYcSw_3_4"/>
      <w:bookmarkStart w:id="1521" w:name="Tc_yMkc-ZAhBUy7lPWAWhiwzA_3_2"/>
      <w:bookmarkStart w:id="1522" w:name="Tc_W4gozYU2rUikRAyx18dP7w_2_10"/>
      <w:bookmarkStart w:id="1523" w:name="Tc_AFpSsQ6WgUaAQ1dKDTLAqA_2_7"/>
      <w:bookmarkStart w:id="1524" w:name="Tc_c3s2EbkhwEO-3R7NR9MN3g_2_4"/>
      <w:bookmarkStart w:id="1525" w:name="Tc_SwDJ0CK6LEumoy_rK7LnKA_1_10"/>
      <w:bookmarkStart w:id="1526" w:name="Tc_e5jSdFgjKUGnq4zLnaFSNQ_1_7"/>
      <w:bookmarkStart w:id="1527" w:name="Tc_tKbc0_KcykSKQYScXpayAg_1_4"/>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r>
        <w:rPr>
          <w:rFonts w:ascii="Times New Roman;Times;serif" w:hAnsi="Times New Roman;Times;serif"/>
          <w:b/>
          <w:sz w:val="20"/>
        </w:rPr>
        <w:t>Outstanding STIPs under the 2018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movements in the Company’s stock options under the STIP plan granted under the 2018 Plan is as follows:</w:t>
      </w:r>
    </w:p>
    <w:p>
      <w:pPr>
        <w:pStyle w:val="TextBody"/>
        <w:bidi w:val="0"/>
        <w:spacing w:before="0" w:after="0"/>
        <w:ind w:left="0" w:right="0" w:hanging="0"/>
        <w:jc w:val="left"/>
        <w:rPr/>
      </w:pPr>
      <w:r>
        <w:rPr/>
        <w:t>​</w:t>
      </w:r>
    </w:p>
    <w:tbl>
      <w:tblPr>
        <w:tblW w:w="10045" w:type="dxa"/>
        <w:jc w:val="left"/>
        <w:tblInd w:w="0" w:type="dxa"/>
        <w:tblLayout w:type="fixed"/>
        <w:tblCellMar>
          <w:top w:w="0" w:type="dxa"/>
          <w:left w:w="0" w:type="dxa"/>
          <w:bottom w:w="0" w:type="dxa"/>
          <w:right w:w="0" w:type="dxa"/>
        </w:tblCellMar>
      </w:tblPr>
      <w:tblGrid>
        <w:gridCol w:w="4936"/>
        <w:gridCol w:w="346"/>
        <w:gridCol w:w="1051"/>
        <w:gridCol w:w="346"/>
        <w:gridCol w:w="248"/>
        <w:gridCol w:w="548"/>
        <w:gridCol w:w="346"/>
        <w:gridCol w:w="211"/>
        <w:gridCol w:w="676"/>
        <w:gridCol w:w="346"/>
        <w:gridCol w:w="991"/>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134360" cy="175260"/>
                      <wp:effectExtent l="0" t="0" r="0" b="0"/>
                      <wp:wrapNone/>
                      <wp:docPr id="345" name="Frame323"/>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6"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67385" cy="175260"/>
                      <wp:effectExtent l="0" t="0" r="0" b="0"/>
                      <wp:wrapNone/>
                      <wp:docPr id="347" name="Frame32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48"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57480" cy="175260"/>
                      <wp:effectExtent l="0" t="0" r="0" b="0"/>
                      <wp:wrapNone/>
                      <wp:docPr id="349" name="Frame32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47980" cy="175260"/>
                      <wp:effectExtent l="0" t="0" r="0" b="0"/>
                      <wp:wrapNone/>
                      <wp:docPr id="350" name="Frame328"/>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1"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2"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29260" cy="175260"/>
                      <wp:effectExtent l="0" t="0" r="0" b="0"/>
                      <wp:wrapNone/>
                      <wp:docPr id="353" name="Frame3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4"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29285" cy="175260"/>
                      <wp:effectExtent l="0" t="0" r="0" b="0"/>
                      <wp:wrapNone/>
                      <wp:docPr id="355" name="Frame33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Aggregate</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Weighted</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intrinsic</w:t>
            </w:r>
          </w:p>
        </w:tc>
        <w:tc>
          <w:tcPr>
            <w:tcW w:w="346" w:type="dxa"/>
            <w:tcBorders/>
            <w:vAlign w:val="center"/>
          </w:tcPr>
          <w:p>
            <w:pPr>
              <w:pStyle w:val="TableContents"/>
              <w:bidi w:val="0"/>
              <w:spacing w:before="0" w:after="0"/>
              <w:ind w:left="0" w:right="0" w:hanging="0"/>
              <w:jc w:val="right"/>
              <w:rPr/>
            </w:pPr>
            <w:r>
              <w:rPr/>
              <w:t>  ​ ​ ​</w:t>
            </w:r>
          </w:p>
        </w:tc>
        <w:tc>
          <w:tcPr>
            <w:tcW w:w="9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average</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value of</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contractual</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price per</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life</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righ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(years)</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15,074,240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5,425</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4.18</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(715,772)</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(57,893)</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2024</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14,300,575</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5,321</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3.25</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(4,051,304)</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(11,578)</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2025 Vested and exercisable</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10,237,693</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47,037</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2.26</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summary of the Company’s stock options outstanding under the Company’s STIP under the 2018 Plan as at December 31, 2025 is as follows:</w:t>
      </w:r>
    </w:p>
    <w:p>
      <w:pPr>
        <w:pStyle w:val="TextBody"/>
        <w:bidi w:val="0"/>
        <w:spacing w:before="0" w:after="0"/>
        <w:ind w:left="0" w:right="0" w:hanging="0"/>
        <w:jc w:val="left"/>
        <w:rPr/>
      </w:pPr>
      <w:r>
        <w:rPr/>
        <w:t>​</w:t>
      </w:r>
    </w:p>
    <w:tbl>
      <w:tblPr>
        <w:tblW w:w="6953" w:type="dxa"/>
        <w:jc w:val="left"/>
        <w:tblInd w:w="0" w:type="dxa"/>
        <w:tblLayout w:type="fixed"/>
        <w:tblCellMar>
          <w:top w:w="0" w:type="dxa"/>
          <w:left w:w="0" w:type="dxa"/>
          <w:bottom w:w="0" w:type="dxa"/>
          <w:right w:w="0" w:type="dxa"/>
        </w:tblCellMar>
      </w:tblPr>
      <w:tblGrid>
        <w:gridCol w:w="1606"/>
        <w:gridCol w:w="346"/>
        <w:gridCol w:w="211"/>
        <w:gridCol w:w="1081"/>
        <w:gridCol w:w="346"/>
        <w:gridCol w:w="1426"/>
        <w:gridCol w:w="346"/>
        <w:gridCol w:w="1591"/>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019810" cy="175260"/>
                      <wp:effectExtent l="0" t="0" r="0" b="0"/>
                      <wp:wrapNone/>
                      <wp:docPr id="356" name="Frame33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57"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58"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86435" cy="175260"/>
                      <wp:effectExtent l="0" t="0" r="0" b="0"/>
                      <wp:wrapNone/>
                      <wp:docPr id="359" name="Frame33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0"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1"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4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  ​ ​ ​</w:t>
            </w:r>
          </w:p>
        </w:tc>
        <w:tc>
          <w:tcPr>
            <w:tcW w:w="15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Number of Options </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life to expiry</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Outstanding and </w:t>
            </w:r>
          </w:p>
        </w:tc>
      </w:tr>
      <w:tr>
        <w:trPr/>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Expiry Date</w:t>
            </w:r>
          </w:p>
        </w:tc>
        <w:tc>
          <w:tcPr>
            <w:tcW w:w="346" w:type="dxa"/>
            <w:tcBorders/>
            <w:vAlign w:val="center"/>
          </w:tcPr>
          <w:p>
            <w:pPr>
              <w:pStyle w:val="TableContents"/>
              <w:bidi w:val="0"/>
              <w:spacing w:before="0" w:after="0"/>
              <w:ind w:left="0" w:right="0" w:hanging="0"/>
              <w:jc w:val="left"/>
              <w:rPr/>
            </w:pPr>
            <w:r>
              <w:rPr/>
              <w:t>​</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Exercisable</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27,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0.52-$2.59</w:t>
            </w:r>
          </w:p>
        </w:tc>
        <w:tc>
          <w:tcPr>
            <w:tcW w:w="34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46"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590,509</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4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34,816</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17,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4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75,260</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2028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0.65 - $8.64</w:t>
            </w:r>
          </w:p>
        </w:tc>
        <w:tc>
          <w:tcPr>
            <w:tcW w:w="34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8,842,391</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 </w:t>
            </w:r>
          </w:p>
        </w:tc>
        <w:tc>
          <w:tcPr>
            <w:tcW w:w="1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694,717</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10,237,693</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As at December 31, 2025, all the options are vested and the total unrecognized share-based compensation expense was $nil.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closing market price of the Company’s common shares is considered to be the fair value of the Company’s common share to determine the intrinsic value of outstanding stock options. The aggregate intrinsic value of stock options exercised during the year ended December 31, 2025, was $22.6 million (2024: $0.7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did not recognize any share-based compensation expense related to STIP stock options in the statement of loss and comprehensive loss for the current period, as the full fair value of the STIP stock options was expensed by the end of 2024 (2024: Total $47 thousand of which $14 thousand related to exploration and evaluation activities and $33 thousand related to general and administrative matters).</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Outstanding LTIPs under the 2018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March 4, 2021, the Company granted 9,783,922 stock options as LTIP under the 2018 Plan. These stock options have an exercise price of $0.65 per option and expire on June 1, 2028.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LTIP awards vest as follows:</w:t>
      </w:r>
    </w:p>
    <w:tbl>
      <w:tblPr>
        <w:tblW w:w="6966" w:type="dxa"/>
        <w:jc w:val="left"/>
        <w:tblInd w:w="0" w:type="dxa"/>
        <w:tblLayout w:type="fixed"/>
        <w:tblCellMar>
          <w:top w:w="28" w:type="dxa"/>
          <w:left w:w="28" w:type="dxa"/>
          <w:bottom w:w="28" w:type="dxa"/>
          <w:right w:w="28" w:type="dxa"/>
        </w:tblCellMar>
      </w:tblPr>
      <w:tblGrid>
        <w:gridCol w:w="124"/>
        <w:gridCol w:w="331"/>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Tranche 1 - 25% when the Company’s market capitalization equals $3</w:t>
            </w:r>
            <w:r>
              <w:rPr>
                <w:caps w:val="false"/>
                <w:smallCaps w:val="false"/>
              </w:rPr>
              <w:t xml:space="preserve"> </w:t>
            </w:r>
            <w:r>
              <w:rPr>
                <w:rFonts w:ascii="Times New Roman;Times;serif" w:hAnsi="Times New Roman;Times;serif"/>
                <w:b w:val="false"/>
                <w:i w:val="false"/>
                <w:caps w:val="false"/>
                <w:smallCaps w:val="false"/>
                <w:sz w:val="20"/>
              </w:rPr>
              <w:t>billion;</w:t>
            </w:r>
          </w:p>
        </w:tc>
      </w:tr>
    </w:tbl>
    <w:tbl>
      <w:tblPr>
        <w:tblW w:w="6966" w:type="dxa"/>
        <w:jc w:val="left"/>
        <w:tblInd w:w="0" w:type="dxa"/>
        <w:tblLayout w:type="fixed"/>
        <w:tblCellMar>
          <w:top w:w="28" w:type="dxa"/>
          <w:left w:w="28" w:type="dxa"/>
          <w:bottom w:w="28" w:type="dxa"/>
          <w:right w:w="28" w:type="dxa"/>
        </w:tblCellMar>
      </w:tblPr>
      <w:tblGrid>
        <w:gridCol w:w="124"/>
        <w:gridCol w:w="331"/>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Tranche 2 - 35% when the Company’s market capitalization equals $6</w:t>
            </w:r>
            <w:r>
              <w:rPr>
                <w:caps w:val="false"/>
                <w:smallCaps w:val="false"/>
              </w:rPr>
              <w:t xml:space="preserve"> </w:t>
            </w:r>
            <w:r>
              <w:rPr>
                <w:rFonts w:ascii="Times New Roman;Times;serif" w:hAnsi="Times New Roman;Times;serif"/>
                <w:b w:val="false"/>
                <w:i w:val="false"/>
                <w:caps w:val="false"/>
                <w:smallCaps w:val="false"/>
                <w:sz w:val="20"/>
              </w:rPr>
              <w:t>billion;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28" w:name="Tc_1_bhobbDT0af0SgYKCZPDg_11_7"/>
      <w:bookmarkStart w:id="1529" w:name="Tc_q1XjLeIbfECOE7fR-bTC2A_11_4"/>
      <w:bookmarkStart w:id="1530" w:name="Tc_ab8Px9QgnU2-yK9zwF2Wlw_11_0"/>
      <w:bookmarkStart w:id="1531" w:name="Tc_Ea8nFfaOr0mDHJiOP7ge8w_10_7"/>
      <w:bookmarkStart w:id="1532" w:name="Tc_2SCCFpxmjEiSTptQojBocQ_10_4"/>
      <w:bookmarkStart w:id="1533" w:name="Tc_W7DD0uo9GUGk6LUP5yaBZQ_10_0"/>
      <w:bookmarkStart w:id="1534" w:name="Tc_DoIqzC--AUip-_utl0XpfQ_9_8"/>
      <w:bookmarkStart w:id="1535" w:name="Tc_tk7yLlxpoU2zbSKg3uDQIQ_9_5"/>
      <w:bookmarkStart w:id="1536" w:name="Tc_kRg31RfaTkOWTU61cKyVWQ_9_2"/>
      <w:bookmarkStart w:id="1537" w:name="Tc_Ao6XQmLMOUe83_90zhxUgA_9_0"/>
      <w:bookmarkStart w:id="1538" w:name="Tc_kxHcH8OBrkKChDG2NQkTdQ_8_8"/>
      <w:bookmarkStart w:id="1539" w:name="Tc_IECHd6-iE0iwAq717iaxEA_8_0"/>
      <w:bookmarkStart w:id="1540" w:name="Tc_DmjBcfoQk0qtRK3LUFLpyQ_7_7"/>
      <w:bookmarkStart w:id="1541" w:name="Tc_ga9f4ccZskqnLRW3pAE8ag_7_4"/>
      <w:bookmarkStart w:id="1542" w:name="Tc_Y-Cjmy4LsUCo1fK2qppI5A_7_0"/>
      <w:bookmarkStart w:id="1543" w:name="Tc_R8qvF1sGYk-ROnUsrZnaew_6_8"/>
      <w:bookmarkStart w:id="1544" w:name="Tc_o4j-tQykwUOCUr4OueTTIQ_6_0"/>
      <w:bookmarkStart w:id="1545" w:name="Tc_8oSWM89AEkGj7EGTYwRfmQ_5_7"/>
      <w:bookmarkStart w:id="1546" w:name="Tc_eagcOjiWpUeXgZjP-JxeQQ_5_4"/>
      <w:bookmarkStart w:id="1547" w:name="Tc_sn-__7T-VkG5R1uBE4pNCA_5_0"/>
      <w:bookmarkStart w:id="1548" w:name="Tc_0uyfDUaYz06K6m4vJ1HRgw_4_7"/>
      <w:bookmarkStart w:id="1549" w:name="Tc_m34V1M78Kka2InUYSe0Mjw_4_4"/>
      <w:bookmarkStart w:id="1550" w:name="Tc_IkdjZMe_hUeWbHueHYwq9A_4_2"/>
      <w:bookmarkStart w:id="1551" w:name="Tc__zpgY_DX1kqaAIGoxSfdjw_3_7"/>
      <w:bookmarkStart w:id="1552" w:name="Tc_v0MqXE34D0-ZgBbk0iu6GA_3_4"/>
      <w:bookmarkStart w:id="1553" w:name="Tc_8TDvqjcGK0SgRiiRi79Ncw_3_2"/>
      <w:bookmarkStart w:id="1554" w:name="Tc_L2OBZa_L_0iCJ-TZjtTEDg_2_7"/>
      <w:bookmarkStart w:id="1555" w:name="Tc_46btn7sTLU2VgjB076WE2w_2_4"/>
      <w:bookmarkStart w:id="1556" w:name="Tc_VnWMWHqK50C24cWBFUArIw_2_2"/>
      <w:bookmarkStart w:id="1557" w:name="Tc_A95X-WzQDkiL2QncWMTkLw_1_4"/>
      <w:bookmarkStart w:id="1558" w:name="_8df27468_8290_4181_ac64_b778b4b6f604"/>
      <w:bookmarkStart w:id="1559" w:name="Tc_1_bhobbDT0af0SgYKCZPDg_11_7"/>
      <w:bookmarkStart w:id="1560" w:name="Tc_q1XjLeIbfECOE7fR-bTC2A_11_4"/>
      <w:bookmarkStart w:id="1561" w:name="Tc_ab8Px9QgnU2-yK9zwF2Wlw_11_0"/>
      <w:bookmarkStart w:id="1562" w:name="Tc_Ea8nFfaOr0mDHJiOP7ge8w_10_7"/>
      <w:bookmarkStart w:id="1563" w:name="Tc_2SCCFpxmjEiSTptQojBocQ_10_4"/>
      <w:bookmarkStart w:id="1564" w:name="Tc_W7DD0uo9GUGk6LUP5yaBZQ_10_0"/>
      <w:bookmarkStart w:id="1565" w:name="Tc_DoIqzC--AUip-_utl0XpfQ_9_8"/>
      <w:bookmarkStart w:id="1566" w:name="Tc_tk7yLlxpoU2zbSKg3uDQIQ_9_5"/>
      <w:bookmarkStart w:id="1567" w:name="Tc_kRg31RfaTkOWTU61cKyVWQ_9_2"/>
      <w:bookmarkStart w:id="1568" w:name="Tc_Ao6XQmLMOUe83_90zhxUgA_9_0"/>
      <w:bookmarkStart w:id="1569" w:name="Tc_kxHcH8OBrkKChDG2NQkTdQ_8_8"/>
      <w:bookmarkStart w:id="1570" w:name="Tc_IECHd6-iE0iwAq717iaxEA_8_0"/>
      <w:bookmarkStart w:id="1571" w:name="Tc_DmjBcfoQk0qtRK3LUFLpyQ_7_7"/>
      <w:bookmarkStart w:id="1572" w:name="Tc_ga9f4ccZskqnLRW3pAE8ag_7_4"/>
      <w:bookmarkStart w:id="1573" w:name="Tc_Y-Cjmy4LsUCo1fK2qppI5A_7_0"/>
      <w:bookmarkStart w:id="1574" w:name="Tc_R8qvF1sGYk-ROnUsrZnaew_6_8"/>
      <w:bookmarkStart w:id="1575" w:name="Tc_o4j-tQykwUOCUr4OueTTIQ_6_0"/>
      <w:bookmarkStart w:id="1576" w:name="Tc_8oSWM89AEkGj7EGTYwRfmQ_5_7"/>
      <w:bookmarkStart w:id="1577" w:name="Tc_eagcOjiWpUeXgZjP-JxeQQ_5_4"/>
      <w:bookmarkStart w:id="1578" w:name="Tc_sn-__7T-VkG5R1uBE4pNCA_5_0"/>
      <w:bookmarkStart w:id="1579" w:name="Tc_0uyfDUaYz06K6m4vJ1HRgw_4_7"/>
      <w:bookmarkStart w:id="1580" w:name="Tc_m34V1M78Kka2InUYSe0Mjw_4_4"/>
      <w:bookmarkStart w:id="1581" w:name="Tc_IkdjZMe_hUeWbHueHYwq9A_4_2"/>
      <w:bookmarkStart w:id="1582" w:name="Tc__zpgY_DX1kqaAIGoxSfdjw_3_7"/>
      <w:bookmarkStart w:id="1583" w:name="Tc_v0MqXE34D0-ZgBbk0iu6GA_3_4"/>
      <w:bookmarkStart w:id="1584" w:name="Tc_8TDvqjcGK0SgRiiRi79Ncw_3_2"/>
      <w:bookmarkStart w:id="1585" w:name="Tc_L2OBZa_L_0iCJ-TZjtTEDg_2_7"/>
      <w:bookmarkStart w:id="1586" w:name="Tc_46btn7sTLU2VgjB076WE2w_2_4"/>
      <w:bookmarkStart w:id="1587" w:name="Tc_VnWMWHqK50C24cWBFUArIw_2_2"/>
      <w:bookmarkStart w:id="1588" w:name="Tc_A95X-WzQDkiL2QncWMTkLw_1_4"/>
      <w:bookmarkStart w:id="1589" w:name="_8df27468_8290_4181_ac64_b778b4b6f604"/>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p>
    <w:tbl>
      <w:tblPr>
        <w:tblW w:w="8391" w:type="dxa"/>
        <w:jc w:val="left"/>
        <w:tblInd w:w="0" w:type="dxa"/>
        <w:tblLayout w:type="fixed"/>
        <w:tblCellMar>
          <w:top w:w="28" w:type="dxa"/>
          <w:left w:w="28" w:type="dxa"/>
          <w:bottom w:w="28" w:type="dxa"/>
          <w:right w:w="28" w:type="dxa"/>
        </w:tblCellMar>
      </w:tblPr>
      <w:tblGrid>
        <w:gridCol w:w="124"/>
        <w:gridCol w:w="331"/>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3 - 20% upon the date that the ISA grants an exploitation contract to the Company; and</w:t>
            </w:r>
          </w:p>
        </w:tc>
      </w:tr>
    </w:tbl>
    <w:tbl>
      <w:tblPr>
        <w:tblW w:w="10205" w:type="dxa"/>
        <w:jc w:val="left"/>
        <w:tblInd w:w="0" w:type="dxa"/>
        <w:tblLayout w:type="fixed"/>
        <w:tblCellMar>
          <w:top w:w="28" w:type="dxa"/>
          <w:left w:w="28" w:type="dxa"/>
          <w:bottom w:w="28" w:type="dxa"/>
          <w:right w:w="28" w:type="dxa"/>
        </w:tblCellMar>
      </w:tblPr>
      <w:tblGrid>
        <w:gridCol w:w="124"/>
        <w:gridCol w:w="327"/>
        <w:gridCol w:w="9754"/>
      </w:tblGrid>
      <w:tr>
        <w:trPr/>
        <w:tc>
          <w:tcPr>
            <w:tcW w:w="124" w:type="dxa"/>
            <w:tcBorders/>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5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4 - 20% upon the commencement of the first commercial production following the grant of the exploitation contract.</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expensed these awards ratably over the remaining service period. The total fair value of Tranche 1 and Tranche 2 was expensed by the end of 2022. Tranche 1 vested during the second quarter of 2025 as the Company’s market capitalization exceeded $3 billion.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2025, no compensation expense related to the performance-based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movements in the Company’s stock options under the LTIP plan granted under the 2018 Plan is as follows:</w:t>
      </w:r>
    </w:p>
    <w:p>
      <w:pPr>
        <w:pStyle w:val="TextBody"/>
        <w:bidi w:val="0"/>
        <w:spacing w:before="0" w:after="0"/>
        <w:ind w:left="0" w:right="0" w:hanging="0"/>
        <w:jc w:val="left"/>
        <w:rPr/>
      </w:pPr>
      <w:r>
        <w:rPr/>
        <w:t>​</w:t>
      </w:r>
    </w:p>
    <w:tbl>
      <w:tblPr>
        <w:tblW w:w="9455" w:type="dxa"/>
        <w:jc w:val="left"/>
        <w:tblInd w:w="0" w:type="dxa"/>
        <w:tblLayout w:type="fixed"/>
        <w:tblCellMar>
          <w:top w:w="0" w:type="dxa"/>
          <w:left w:w="0" w:type="dxa"/>
          <w:bottom w:w="0" w:type="dxa"/>
          <w:right w:w="0" w:type="dxa"/>
        </w:tblCellMar>
      </w:tblPr>
      <w:tblGrid>
        <w:gridCol w:w="5041"/>
        <w:gridCol w:w="346"/>
        <w:gridCol w:w="1006"/>
        <w:gridCol w:w="346"/>
        <w:gridCol w:w="336"/>
        <w:gridCol w:w="744"/>
        <w:gridCol w:w="346"/>
        <w:gridCol w:w="292"/>
        <w:gridCol w:w="998"/>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201035" cy="175260"/>
                      <wp:effectExtent l="0" t="0" r="0" b="0"/>
                      <wp:wrapNone/>
                      <wp:docPr id="362" name="Frame340"/>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3"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38810" cy="175260"/>
                      <wp:effectExtent l="0" t="0" r="0" b="0"/>
                      <wp:wrapNone/>
                      <wp:docPr id="364" name="Frame34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5"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3360" cy="175260"/>
                      <wp:effectExtent l="0" t="0" r="0" b="0"/>
                      <wp:wrapNone/>
                      <wp:docPr id="366" name="Frame344"/>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72440" cy="175260"/>
                      <wp:effectExtent l="0" t="0" r="0" b="0"/>
                      <wp:wrapNone/>
                      <wp:docPr id="367" name="Frame345"/>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68"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85420" cy="175260"/>
                      <wp:effectExtent l="0" t="0" r="0" b="0"/>
                      <wp:wrapNone/>
                      <wp:docPr id="369" name="Frame347"/>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33730" cy="175260"/>
                      <wp:effectExtent l="0" t="0" r="0" b="0"/>
                      <wp:wrapNone/>
                      <wp:docPr id="370" name="Frame348"/>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8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  ​ ​ ​</w:t>
            </w:r>
          </w:p>
        </w:tc>
        <w:tc>
          <w:tcPr>
            <w:tcW w:w="292"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108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129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Aggregate</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108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center"/>
              <w:rPr/>
            </w:pPr>
            <w:r>
              <w:rPr/>
              <w:t>​</w:t>
            </w:r>
          </w:p>
        </w:tc>
        <w:tc>
          <w:tcPr>
            <w:tcW w:w="129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intrinsic value</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per option</w:t>
            </w:r>
          </w:p>
        </w:tc>
        <w:tc>
          <w:tcPr>
            <w:tcW w:w="346" w:type="dxa"/>
            <w:tcBorders/>
            <w:vAlign w:val="center"/>
          </w:tcPr>
          <w:p>
            <w:pPr>
              <w:pStyle w:val="TableContents"/>
              <w:bidi w:val="0"/>
              <w:spacing w:before="0" w:after="0"/>
              <w:ind w:left="0" w:right="0" w:hanging="0"/>
              <w:jc w:val="center"/>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of stock options</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2023</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9,783,922</w:t>
            </w:r>
          </w:p>
        </w:tc>
        <w:tc>
          <w:tcPr>
            <w:tcW w:w="346" w:type="dxa"/>
            <w:tcBorders/>
            <w:shd w:fill="CCEEFF" w:val="clear"/>
            <w:vAlign w:val="center"/>
          </w:tcPr>
          <w:p>
            <w:pPr>
              <w:pStyle w:val="TableContents"/>
              <w:bidi w:val="0"/>
              <w:spacing w:before="0" w:after="0"/>
              <w:ind w:left="0" w:right="0" w:hanging="0"/>
              <w:jc w:val="center"/>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0.65</w:t>
            </w:r>
          </w:p>
        </w:tc>
        <w:tc>
          <w:tcPr>
            <w:tcW w:w="346" w:type="dxa"/>
            <w:tcBorders/>
            <w:shd w:fill="CCEEFF" w:val="clear"/>
            <w:vAlign w:val="center"/>
          </w:tcPr>
          <w:p>
            <w:pPr>
              <w:pStyle w:val="TableContents"/>
              <w:bidi w:val="0"/>
              <w:spacing w:before="0" w:after="0"/>
              <w:ind w:left="0" w:right="0" w:hanging="0"/>
              <w:jc w:val="center"/>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4,403</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(139,048)</w:t>
            </w:r>
          </w:p>
        </w:tc>
        <w:tc>
          <w:tcPr>
            <w:tcW w:w="346" w:type="dxa"/>
            <w:tcBorders/>
            <w:vAlign w:val="center"/>
          </w:tcPr>
          <w:p>
            <w:pPr>
              <w:pStyle w:val="TableContents"/>
              <w:bidi w:val="0"/>
              <w:spacing w:before="0" w:after="0"/>
              <w:ind w:left="0" w:right="0" w:hanging="0"/>
              <w:jc w:val="left"/>
              <w:rPr/>
            </w:pPr>
            <w:r>
              <w:rPr/>
              <w:t> </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4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9,644,874</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0.65</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4,533</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(695,242)</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2025</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8,949,632</w:t>
            </w:r>
          </w:p>
        </w:tc>
        <w:tc>
          <w:tcPr>
            <w:tcW w:w="34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0.65</w:t>
            </w:r>
          </w:p>
        </w:tc>
        <w:tc>
          <w:tcPr>
            <w:tcW w:w="34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49,402</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2025 - Vested and exercisable</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1,668,575</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0.65</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9,211</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As at December 31, 2025, total unrecognized share-based compensation expense for the LTIP stock options was $23</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(2024: $23</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The aggregate intrinsic value of stock options exercised during the year ended December 31, 2025, was $4.4</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(2024: $nil).</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Restricted Share Units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may, from time to time, grant RSUs to directors, officers, employees, and consultants of the Company and its subsidiaries under the Incentive Plan. On each vesting date, RSU holders are issued common shares equivalent to the number of RSUs held provided the holder is providing service to the Company on such vesting 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bookmarkStart w:id="1590" w:name="Tc_sHWKxgMUC0-lMRX8XkWb0A_10_0"/>
      <w:bookmarkStart w:id="1591" w:name="Tc_1rF0CyDl_E2GFfp1w8faSg_9_0"/>
      <w:bookmarkStart w:id="1592" w:name="Tc_Wo8iqgaVQkuh5zUH9jE9bw_8_4"/>
      <w:bookmarkStart w:id="1593" w:name="Tc_oUSin8C6AkWHPdrXyKOlTA_8_0"/>
      <w:bookmarkStart w:id="1594" w:name="Tc_J2tg74h2Y0Wc6vZZseowbA_7_4"/>
      <w:bookmarkStart w:id="1595" w:name="Tc_ZGLhjZEJIEWpm0LypcKblg_7_0"/>
      <w:bookmarkStart w:id="1596" w:name="Tc_4wSZExCv4Uux1HNabyjGkg_6_4"/>
      <w:bookmarkStart w:id="1597" w:name="Tc_Vd5XhP8uGkSPwq0CrzP-Yw_6_0"/>
      <w:bookmarkStart w:id="1598" w:name="Tc_sNxuXZMNCECLe13cZCiSSg_5_0"/>
      <w:bookmarkStart w:id="1599" w:name="Tc_I6X19kCeFEW_gEUTvX3rsQ_4_0"/>
      <w:bookmarkStart w:id="1600" w:name="Tc_j3Qm5FC5HUewIypVHs5eBQ_3_0"/>
      <w:bookmarkStart w:id="1601" w:name="Tc_rYuizlCrlUSN5-9_uk-emQ_2_0"/>
      <w:bookmarkStart w:id="1602" w:name="Tc_q2OUv3gcHUeJOTnRX29I7w_1_4"/>
      <w:bookmarkStart w:id="1603" w:name="Tc_qSt6oBposk-dYtGFNzf1gw_1_2"/>
      <w:bookmarkStart w:id="1604" w:name="Tc_mt0-1FR0lkKpsutzOVo1xQ_1_0"/>
      <w:bookmarkStart w:id="1605" w:name="_3a8610ec_b54b_4ed9_baf5_3a1e0e4bc740"/>
      <w:bookmarkStart w:id="1606" w:name="Tc_tdY6379IakC20mLq3kXINA_12_4"/>
      <w:bookmarkStart w:id="1607" w:name="Tc_wSlF8Xitm06d29RvttaDGA_12_0"/>
      <w:bookmarkStart w:id="1608" w:name="Tc_KtS0cvuL3US28QtUHnyL0w_11_0"/>
      <w:bookmarkStart w:id="1609" w:name="Tc_329ebyg3NEqbpumZ0u_n1A_10_0"/>
      <w:bookmarkStart w:id="1610" w:name="Tc_7f7qV9Lvbki9lRX1JkGnfA_9_0"/>
      <w:bookmarkStart w:id="1611" w:name="Tc_T2UpWCv6_USYLgkizoRw2w_8_4"/>
      <w:bookmarkStart w:id="1612" w:name="Tc_PUpgkDTS2Eapjh5A1xex_w_8_0"/>
      <w:bookmarkStart w:id="1613" w:name="Tc_qFLPvw6B2kGWZ242uQurzA_7_0"/>
      <w:bookmarkStart w:id="1614" w:name="Tc_xUq9e_koNEaeMztpfLjIKQ_6_0"/>
      <w:bookmarkStart w:id="1615" w:name="Tc_ksYmkvY1bEiLY5C6cLHrhQ_5_0"/>
      <w:bookmarkStart w:id="1616" w:name="Tc_TMIrHCGiYkultAOVWhC17g_4_4"/>
      <w:bookmarkStart w:id="1617" w:name="Tc_t6YecJEVPkGazoFXoDobAQ_4_0"/>
      <w:bookmarkStart w:id="1618" w:name="Tc_suQ4n9LmXUqIpX1z269AWw_3_4"/>
      <w:bookmarkStart w:id="1619" w:name="Tc_RISea2eIL0yraFnYuLk1Lg_3_2"/>
      <w:bookmarkStart w:id="1620" w:name="Tc_8jRJIUjRQUmzlIBFQzS-Dg_2_4"/>
      <w:bookmarkStart w:id="1621" w:name="Tc_i0XxKo_iCUWjjTFiqxdJDw_2_2"/>
      <w:bookmarkStart w:id="1622" w:name="Tc_jhxK3RGjYEGAVCGLYcqFLw_1_4"/>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r>
        <w:rPr>
          <w:rFonts w:ascii="Times New Roman;Times;serif" w:hAnsi="Times New Roman;Times;serif"/>
          <w:sz w:val="20"/>
        </w:rPr>
        <w:t>A summary of the RSU activity in 2025 and 2024 is presented in the table below:</w:t>
      </w:r>
    </w:p>
    <w:p>
      <w:pPr>
        <w:pStyle w:val="TextBody"/>
        <w:bidi w:val="0"/>
        <w:spacing w:before="0" w:after="0"/>
        <w:ind w:left="360" w:right="0" w:hanging="0"/>
        <w:jc w:val="left"/>
        <w:rPr/>
      </w:pPr>
      <w:r>
        <w:rPr/>
        <w:t>​</w:t>
      </w:r>
    </w:p>
    <w:tbl>
      <w:tblPr>
        <w:tblW w:w="6274" w:type="dxa"/>
        <w:jc w:val="left"/>
        <w:tblInd w:w="0" w:type="dxa"/>
        <w:tblLayout w:type="fixed"/>
        <w:tblCellMar>
          <w:top w:w="0" w:type="dxa"/>
          <w:left w:w="0" w:type="dxa"/>
          <w:bottom w:w="0" w:type="dxa"/>
          <w:right w:w="0" w:type="dxa"/>
        </w:tblCellMar>
      </w:tblPr>
      <w:tblGrid>
        <w:gridCol w:w="2971"/>
        <w:gridCol w:w="346"/>
        <w:gridCol w:w="1366"/>
        <w:gridCol w:w="346"/>
        <w:gridCol w:w="335"/>
        <w:gridCol w:w="910"/>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886585" cy="175260"/>
                      <wp:effectExtent l="0" t="0" r="0" b="0"/>
                      <wp:wrapNone/>
                      <wp:docPr id="371" name="Frame349"/>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2"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867410" cy="175260"/>
                      <wp:effectExtent l="0" t="0" r="0" b="0"/>
                      <wp:wrapNone/>
                      <wp:docPr id="373" name="Frame351"/>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4"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2725" cy="175260"/>
                      <wp:effectExtent l="0" t="0" r="0" b="0"/>
                      <wp:wrapNone/>
                      <wp:docPr id="375" name="Frame35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77850" cy="175260"/>
                      <wp:effectExtent l="0" t="0" r="0" b="0"/>
                      <wp:wrapNone/>
                      <wp:docPr id="376" name="Frame354"/>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Weighted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Number of RSUs </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average grant-</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date fair value</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12,484,880</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33,079,041</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(516,685)</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(10,734,581)</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34,312,655</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35,381,992</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(1,076,371)</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(20,296,128)</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48,322,148</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2.85</w:t>
            </w:r>
          </w:p>
        </w:tc>
      </w:tr>
    </w:tbl>
    <w:p>
      <w:pPr>
        <w:pStyle w:val="TextBody"/>
        <w:bidi w:val="0"/>
        <w:spacing w:before="0" w:after="0"/>
        <w:ind w:left="360" w:right="0" w:hanging="0"/>
        <w:jc w:val="left"/>
        <w:rPr/>
      </w:pPr>
      <w: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details of RSUs granted by the Company during the year are as follows:</w:t>
      </w:r>
    </w:p>
    <w:p>
      <w:pPr>
        <w:pStyle w:val="TextBody"/>
        <w:bidi w:val="0"/>
        <w:spacing w:before="0" w:after="0"/>
        <w:ind w:left="0" w:right="0" w:hanging="0"/>
        <w:jc w:val="left"/>
        <w:rPr/>
      </w:pPr>
      <w:r>
        <w:rPr/>
        <w:t>​</w:t>
      </w:r>
    </w:p>
    <w:tbl>
      <w:tblPr>
        <w:tblW w:w="8405" w:type="dxa"/>
        <w:jc w:val="left"/>
        <w:tblInd w:w="0" w:type="dxa"/>
        <w:tblLayout w:type="fixed"/>
        <w:tblCellMar>
          <w:top w:w="0" w:type="dxa"/>
          <w:left w:w="0" w:type="dxa"/>
          <w:bottom w:w="0" w:type="dxa"/>
          <w:right w:w="0" w:type="dxa"/>
        </w:tblCellMar>
      </w:tblPr>
      <w:tblGrid>
        <w:gridCol w:w="5536"/>
        <w:gridCol w:w="346"/>
        <w:gridCol w:w="1036"/>
        <w:gridCol w:w="346"/>
        <w:gridCol w:w="114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515360" cy="175260"/>
                      <wp:effectExtent l="0" t="0" r="0" b="0"/>
                      <wp:wrapNone/>
                      <wp:docPr id="377" name="Frame355"/>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78"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57860" cy="175260"/>
                      <wp:effectExtent l="0" t="0" r="0" b="0"/>
                      <wp:wrapNone/>
                      <wp:docPr id="379" name="Frame3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0"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724535" cy="175260"/>
                      <wp:effectExtent l="0" t="0" r="0" b="0"/>
                      <wp:wrapNone/>
                      <wp:docPr id="381" name="Frame35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Vesting Period</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r>
      <w:tr>
        <w:trPr/>
        <w:tc>
          <w:tcPr>
            <w:tcW w:w="55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Vesting immediately</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3,432,724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4,538,922</w:t>
            </w:r>
          </w:p>
        </w:tc>
      </w:tr>
      <w:tr>
        <w:trPr/>
        <w:tc>
          <w:tcPr>
            <w:tcW w:w="5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Vesting fully within and on the first anniversary of the grant date</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282,878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493,430</w:t>
            </w:r>
          </w:p>
        </w:tc>
      </w:tr>
      <w:tr>
        <w:trPr/>
        <w:tc>
          <w:tcPr>
            <w:tcW w:w="55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Vesting in thirds on each anniversary of the grant date</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9,234,611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7,212,374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in fourths on each anniversary of the grant date</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176,302</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834,315</w:t>
            </w:r>
          </w:p>
        </w:tc>
      </w:tr>
      <w:tr>
        <w:trPr/>
        <w:tc>
          <w:tcPr>
            <w:tcW w:w="55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Vesting three years from grant date</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66,508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Vesting four years from grant date</w:t>
            </w:r>
            <w:r>
              <w:rPr>
                <w:rFonts w:ascii="Times New Roman;Times;serif" w:hAnsi="Times New Roman;Times;serif"/>
                <w:sz w:val="15"/>
              </w:rPr>
              <w:t>(5)</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1,750,000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Vesting based on performance conditions</w:t>
            </w:r>
            <w:r>
              <w:rPr>
                <w:rFonts w:ascii="Times New Roman;Times;serif" w:hAnsi="Times New Roman;Times;serif"/>
                <w:sz w:val="15"/>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688,969</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Vesting based on market conditions</w:t>
            </w:r>
            <w:r>
              <w:rPr>
                <w:rFonts w:ascii="Times New Roman;Times;serif" w:hAnsi="Times New Roman;Times;serif"/>
                <w:sz w:val="15"/>
              </w:rPr>
              <w:t>(7)</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19,750,000</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20,000,000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Units Granted</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35,381,992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33,079,041</w:t>
            </w:r>
          </w:p>
        </w:tc>
      </w:tr>
    </w:tbl>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 the 3,432,724</w:t>
            </w:r>
            <w:r>
              <w:rPr>
                <w:caps w:val="false"/>
                <w:smallCaps w:val="false"/>
              </w:rPr>
              <w:t xml:space="preserve"> </w:t>
            </w:r>
            <w:r>
              <w:rPr>
                <w:rFonts w:ascii="Times New Roman;Times;serif" w:hAnsi="Times New Roman;Times;serif"/>
                <w:b w:val="false"/>
                <w:i w:val="false"/>
                <w:caps w:val="false"/>
                <w:smallCaps w:val="false"/>
                <w:sz w:val="20"/>
              </w:rPr>
              <w:t>RSUs granted during 2025 and vesting immediately, 2,469,585</w:t>
            </w:r>
            <w:r>
              <w:rPr>
                <w:caps w:val="false"/>
                <w:smallCaps w:val="false"/>
              </w:rPr>
              <w:t xml:space="preserve"> </w:t>
            </w:r>
            <w:r>
              <w:rPr>
                <w:rFonts w:ascii="Times New Roman;Times;serif" w:hAnsi="Times New Roman;Times;serif"/>
                <w:b w:val="false"/>
                <w:i w:val="false"/>
                <w:caps w:val="false"/>
                <w:smallCaps w:val="false"/>
                <w:sz w:val="20"/>
              </w:rPr>
              <w:t>RSUs were issued to settle liabilities with a carrying amount of $4.1</w:t>
            </w:r>
            <w:r>
              <w:rPr>
                <w:caps w:val="false"/>
                <w:smallCaps w:val="false"/>
              </w:rPr>
              <w:t xml:space="preserve"> </w:t>
            </w:r>
            <w:r>
              <w:rPr>
                <w:rFonts w:ascii="Times New Roman;Times;serif" w:hAnsi="Times New Roman;Times;serif"/>
                <w:b w:val="false"/>
                <w:i w:val="false"/>
                <w:caps w:val="false"/>
                <w:smallCaps w:val="false"/>
                <w:sz w:val="20"/>
              </w:rPr>
              <w:t>million, at a weighted average grant date fair value of $1.68</w:t>
            </w:r>
            <w:r>
              <w:rPr>
                <w:caps w:val="false"/>
                <w:smallCaps w:val="false"/>
              </w:rPr>
              <w:t xml:space="preserve"> </w:t>
            </w:r>
            <w:r>
              <w:rPr>
                <w:rFonts w:ascii="Times New Roman;Times;serif" w:hAnsi="Times New Roman;Times;serif"/>
                <w:b w:val="false"/>
                <w:i w:val="false"/>
                <w:caps w:val="false"/>
                <w:smallCaps w:val="false"/>
                <w:sz w:val="20"/>
              </w:rPr>
              <w:t>per RSU (2024: 2,812,802</w:t>
            </w:r>
            <w:r>
              <w:rPr>
                <w:caps w:val="false"/>
                <w:smallCaps w:val="false"/>
              </w:rPr>
              <w:t xml:space="preserve"> </w:t>
            </w:r>
            <w:r>
              <w:rPr>
                <w:rFonts w:ascii="Times New Roman;Times;serif" w:hAnsi="Times New Roman;Times;serif"/>
                <w:b w:val="false"/>
                <w:i w:val="false"/>
                <w:caps w:val="false"/>
                <w:smallCaps w:val="false"/>
                <w:sz w:val="20"/>
              </w:rPr>
              <w:t>RSUs were issued to settle liabilities with a carrying amount of $4.1</w:t>
            </w:r>
            <w:r>
              <w:rPr>
                <w:caps w:val="false"/>
                <w:smallCaps w:val="false"/>
              </w:rPr>
              <w:t xml:space="preserve"> </w:t>
            </w:r>
            <w:r>
              <w:rPr>
                <w:rFonts w:ascii="Times New Roman;Times;serif" w:hAnsi="Times New Roman;Times;serif"/>
                <w:b w:val="false"/>
                <w:i w:val="false"/>
                <w:caps w:val="false"/>
                <w:smallCaps w:val="false"/>
                <w:sz w:val="20"/>
              </w:rPr>
              <w:t>million, at a weighted average grant date fair value of $1.44</w:t>
            </w:r>
            <w:r>
              <w:rPr>
                <w:caps w:val="false"/>
                <w:smallCaps w:val="false"/>
              </w:rPr>
              <w:t xml:space="preserve"> </w:t>
            </w:r>
            <w:r>
              <w:rPr>
                <w:rFonts w:ascii="Times New Roman;Times;serif" w:hAnsi="Times New Roman;Times;serif"/>
                <w:b w:val="false"/>
                <w:i w:val="false"/>
                <w:caps w:val="false"/>
                <w:smallCaps w:val="false"/>
                <w:sz w:val="20"/>
              </w:rPr>
              <w:t>per RSU). In addition, the Company granted 661,428</w:t>
            </w:r>
            <w:r>
              <w:rPr>
                <w:caps w:val="false"/>
                <w:smallCaps w:val="false"/>
              </w:rPr>
              <w:t xml:space="preserve"> </w:t>
            </w:r>
            <w:r>
              <w:rPr>
                <w:rFonts w:ascii="Times New Roman;Times;serif" w:hAnsi="Times New Roman;Times;serif"/>
                <w:b w:val="false"/>
                <w:i w:val="false"/>
                <w:caps w:val="false"/>
                <w:smallCaps w:val="false"/>
                <w:sz w:val="20"/>
              </w:rPr>
              <w:t>RSUs, to consultants (2024: 720,155</w:t>
            </w:r>
            <w:r>
              <w:rPr>
                <w:caps w:val="false"/>
                <w:smallCaps w:val="false"/>
              </w:rPr>
              <w:t xml:space="preserve"> </w:t>
            </w:r>
            <w:r>
              <w:rPr>
                <w:rFonts w:ascii="Times New Roman;Times;serif" w:hAnsi="Times New Roman;Times;serif"/>
                <w:b w:val="false"/>
                <w:i w:val="false"/>
                <w:caps w:val="false"/>
                <w:smallCaps w:val="false"/>
                <w:sz w:val="20"/>
              </w:rPr>
              <w:t>RSUs) resulting in $2.2</w:t>
            </w:r>
            <w:r>
              <w:rPr>
                <w:caps w:val="false"/>
                <w:smallCaps w:val="false"/>
              </w:rPr>
              <w:t xml:space="preserve"> </w:t>
            </w:r>
            <w:r>
              <w:rPr>
                <w:rFonts w:ascii="Times New Roman;Times;serif" w:hAnsi="Times New Roman;Times;serif"/>
                <w:b w:val="false"/>
                <w:i w:val="false"/>
                <w:caps w:val="false"/>
                <w:smallCaps w:val="false"/>
                <w:sz w:val="20"/>
              </w:rPr>
              <w:t>million, charged as general and administrative expenses and $0.1</w:t>
            </w:r>
            <w:r>
              <w:rPr>
                <w:caps w:val="false"/>
                <w:smallCaps w:val="false"/>
              </w:rPr>
              <w:t xml:space="preserve"> </w:t>
            </w:r>
            <w:r>
              <w:rPr>
                <w:rFonts w:ascii="Times New Roman;Times;serif" w:hAnsi="Times New Roman;Times;serif"/>
                <w:b w:val="false"/>
                <w:i w:val="false"/>
                <w:caps w:val="false"/>
                <w:smallCaps w:val="false"/>
                <w:sz w:val="20"/>
              </w:rPr>
              <w:t>million charged as exploration and evaluation expenses (2024: $1.1</w:t>
            </w:r>
            <w:r>
              <w:rPr>
                <w:caps w:val="false"/>
                <w:smallCaps w:val="false"/>
              </w:rPr>
              <w:t xml:space="preserve"> </w:t>
            </w:r>
            <w:r>
              <w:rPr>
                <w:rFonts w:ascii="Times New Roman;Times;serif" w:hAnsi="Times New Roman;Times;serif"/>
                <w:b w:val="false"/>
                <w:i w:val="false"/>
                <w:caps w:val="false"/>
                <w:smallCaps w:val="false"/>
                <w:sz w:val="20"/>
              </w:rPr>
              <w:t>million charged as general and administrative expenses). In the second quarter of 2025, the Company granted 91,512</w:t>
            </w:r>
            <w:r>
              <w:rPr>
                <w:caps w:val="false"/>
                <w:smallCaps w:val="false"/>
              </w:rPr>
              <w:t xml:space="preserve"> </w:t>
            </w:r>
            <w:r>
              <w:rPr>
                <w:rFonts w:ascii="Times New Roman;Times;serif" w:hAnsi="Times New Roman;Times;serif"/>
                <w:b w:val="false"/>
                <w:i w:val="false"/>
                <w:caps w:val="false"/>
                <w:smallCaps w:val="false"/>
                <w:sz w:val="20"/>
              </w:rPr>
              <w:t>RSUs to non-employee directors in lieu of cash compensation. The remaining 210,199</w:t>
            </w:r>
            <w:r>
              <w:rPr>
                <w:caps w:val="false"/>
                <w:smallCaps w:val="false"/>
              </w:rPr>
              <w:t xml:space="preserve"> </w:t>
            </w:r>
            <w:r>
              <w:rPr>
                <w:rFonts w:ascii="Times New Roman;Times;serif" w:hAnsi="Times New Roman;Times;serif"/>
                <w:b w:val="false"/>
                <w:i w:val="false"/>
                <w:caps w:val="false"/>
                <w:smallCaps w:val="false"/>
                <w:sz w:val="20"/>
              </w:rPr>
              <w:t>RSUs were granted to employees in 2025.</w:t>
            </w:r>
          </w:p>
        </w:tc>
      </w:tr>
    </w:tbl>
    <w:tbl>
      <w:tblPr>
        <w:tblW w:w="10205" w:type="dxa"/>
        <w:jc w:val="left"/>
        <w:tblInd w:w="0" w:type="dxa"/>
        <w:tblLayout w:type="fixed"/>
        <w:tblCellMar>
          <w:top w:w="28" w:type="dxa"/>
          <w:left w:w="28" w:type="dxa"/>
          <w:bottom w:w="28" w:type="dxa"/>
          <w:right w:w="28"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84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 the 282,878</w:t>
            </w:r>
            <w:r>
              <w:rPr>
                <w:caps w:val="false"/>
                <w:smallCaps w:val="false"/>
              </w:rPr>
              <w:t xml:space="preserve"> </w:t>
            </w:r>
            <w:r>
              <w:rPr>
                <w:rFonts w:ascii="Times New Roman;Times;serif" w:hAnsi="Times New Roman;Times;serif"/>
                <w:b w:val="false"/>
                <w:i w:val="false"/>
                <w:caps w:val="false"/>
                <w:smallCaps w:val="false"/>
                <w:sz w:val="20"/>
              </w:rPr>
              <w:t>RSUs, granted during 2025, an aggregate of 134,226</w:t>
            </w:r>
            <w:r>
              <w:rPr>
                <w:caps w:val="false"/>
                <w:smallCaps w:val="false"/>
              </w:rPr>
              <w:t xml:space="preserve"> </w:t>
            </w:r>
            <w:r>
              <w:rPr>
                <w:rFonts w:ascii="Times New Roman;Times;serif" w:hAnsi="Times New Roman;Times;serif"/>
                <w:b w:val="false"/>
                <w:i w:val="false"/>
                <w:caps w:val="false"/>
                <w:smallCaps w:val="false"/>
                <w:sz w:val="20"/>
              </w:rPr>
              <w:t>RSUs were granted to the Company’s non-employee directors under the Company’s Non-employee Director Compensation Policy, which will vest at the Company’s 2026 annual shareholders meeting (2024: 476,189</w:t>
            </w:r>
            <w:r>
              <w:rPr>
                <w:caps w:val="false"/>
                <w:smallCaps w:val="false"/>
              </w:rPr>
              <w:t xml:space="preserve"> </w:t>
            </w:r>
            <w:r>
              <w:rPr>
                <w:rFonts w:ascii="Times New Roman;Times;serif" w:hAnsi="Times New Roman;Times;serif"/>
                <w:b w:val="false"/>
                <w:i w:val="false"/>
                <w:caps w:val="false"/>
                <w:smallCaps w:val="false"/>
                <w:sz w:val="20"/>
              </w:rPr>
              <w:t>RSUs issued to Company’s non-employee directors). The total fair value of units granted as annual grants to non-employee directors amounted to $0.6</w:t>
            </w:r>
            <w:r>
              <w:rPr>
                <w:caps w:val="false"/>
                <w:smallCaps w:val="false"/>
              </w:rPr>
              <w:t xml:space="preserve"> </w:t>
            </w:r>
            <w:r>
              <w:rPr>
                <w:rFonts w:ascii="Times New Roman;Times;serif" w:hAnsi="Times New Roman;Times;serif"/>
                <w:b w:val="false"/>
                <w:i w:val="false"/>
                <w:caps w:val="false"/>
                <w:smallCaps w:val="false"/>
                <w:sz w:val="20"/>
              </w:rPr>
              <w:t>million (2024: $0.7</w:t>
            </w:r>
            <w:r>
              <w:rPr>
                <w:caps w:val="false"/>
                <w:smallCaps w:val="false"/>
              </w:rPr>
              <w:t xml:space="preserve"> </w:t>
            </w:r>
            <w:r>
              <w:rPr>
                <w:rFonts w:ascii="Times New Roman;Times;serif" w:hAnsi="Times New Roman;Times;serif"/>
                <w:b w:val="false"/>
                <w:i w:val="false"/>
                <w:caps w:val="false"/>
                <w:smallCaps w:val="false"/>
                <w:sz w:val="20"/>
              </w:rPr>
              <w:t>million). The remaining 148,652</w:t>
            </w:r>
            <w:r>
              <w:rPr>
                <w:caps w:val="false"/>
                <w:smallCaps w:val="false"/>
              </w:rPr>
              <w:t xml:space="preserve"> </w:t>
            </w:r>
            <w:r>
              <w:rPr>
                <w:rFonts w:ascii="Times New Roman;Times;serif" w:hAnsi="Times New Roman;Times;serif"/>
                <w:b w:val="false"/>
                <w:i w:val="false"/>
                <w:caps w:val="false"/>
                <w:smallCaps w:val="false"/>
                <w:sz w:val="20"/>
              </w:rPr>
              <w:t>units were granted to consultants resulting in $0.2</w:t>
            </w:r>
            <w:r>
              <w:rPr>
                <w:caps w:val="false"/>
                <w:smallCaps w:val="false"/>
              </w:rPr>
              <w:t xml:space="preserve"> </w:t>
            </w:r>
            <w:r>
              <w:rPr>
                <w:rFonts w:ascii="Times New Roman;Times;serif" w:hAnsi="Times New Roman;Times;serif"/>
                <w:b w:val="false"/>
                <w:i w:val="false"/>
                <w:caps w:val="false"/>
                <w:smallCaps w:val="false"/>
                <w:sz w:val="20"/>
              </w:rPr>
              <w:t>million charged to general and administrative expenses in 2025 (2024: the remaining 17,241</w:t>
            </w:r>
            <w:r>
              <w:rPr>
                <w:caps w:val="false"/>
                <w:smallCaps w:val="false"/>
              </w:rPr>
              <w:t xml:space="preserve"> </w:t>
            </w:r>
            <w:r>
              <w:rPr>
                <w:rFonts w:ascii="Times New Roman;Times;serif" w:hAnsi="Times New Roman;Times;serif"/>
                <w:b w:val="false"/>
                <w:i w:val="false"/>
                <w:caps w:val="false"/>
                <w:smallCaps w:val="false"/>
                <w:sz w:val="20"/>
              </w:rPr>
              <w:t>units were granted to a director as annual fees for consulting services to be provided, which were fair valued at $25</w:t>
            </w:r>
            <w:r>
              <w:rPr>
                <w:caps w:val="false"/>
                <w:smallCaps w:val="false"/>
              </w:rPr>
              <w:t xml:space="preserve"> </w:t>
            </w:r>
            <w:r>
              <w:rPr>
                <w:rFonts w:ascii="Times New Roman;Times;serif" w:hAnsi="Times New Roman;Times;serif"/>
                <w:b w:val="false"/>
                <w:i w:val="false"/>
                <w:caps w:val="false"/>
                <w:smallCaps w:val="false"/>
                <w:sz w:val="20"/>
              </w:rPr>
              <w:t>thousand).</w:t>
            </w:r>
          </w:p>
        </w:tc>
      </w:tr>
    </w:tbl>
    <w:tbl>
      <w:tblPr>
        <w:tblW w:w="10205" w:type="dxa"/>
        <w:jc w:val="left"/>
        <w:tblInd w:w="0" w:type="dxa"/>
        <w:tblLayout w:type="fixed"/>
        <w:tblCellMar>
          <w:top w:w="28" w:type="dxa"/>
          <w:left w:w="28" w:type="dxa"/>
          <w:bottom w:w="28" w:type="dxa"/>
          <w:right w:w="28" w:type="dxa"/>
        </w:tblCellMar>
      </w:tblPr>
      <w:tblGrid>
        <w:gridCol w:w="124"/>
        <w:gridCol w:w="233"/>
        <w:gridCol w:w="9848"/>
      </w:tblGrid>
      <w:tr>
        <w:trPr/>
        <w:tc>
          <w:tcPr>
            <w:tcW w:w="124"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84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granted 8,818,935</w:t>
            </w:r>
            <w:r>
              <w:rPr>
                <w:caps w:val="false"/>
                <w:smallCaps w:val="false"/>
              </w:rPr>
              <w:t xml:space="preserve"> </w:t>
            </w:r>
            <w:r>
              <w:rPr>
                <w:rFonts w:ascii="Times New Roman;Times;serif" w:hAnsi="Times New Roman;Times;serif"/>
                <w:b w:val="false"/>
                <w:i w:val="false"/>
                <w:caps w:val="false"/>
                <w:smallCaps w:val="false"/>
                <w:sz w:val="20"/>
              </w:rPr>
              <w:t>RSUs in the first quarter of 2025, as payment for the 2024 LTIP awards (2024: 7,144,347</w:t>
            </w:r>
            <w:r>
              <w:rPr>
                <w:caps w:val="false"/>
                <w:smallCaps w:val="false"/>
              </w:rPr>
              <w:t xml:space="preserve"> </w:t>
            </w:r>
            <w:r>
              <w:rPr>
                <w:rFonts w:ascii="Times New Roman;Times;serif" w:hAnsi="Times New Roman;Times;serif"/>
                <w:b w:val="false"/>
                <w:i w:val="false"/>
                <w:caps w:val="false"/>
                <w:smallCaps w:val="false"/>
                <w:sz w:val="20"/>
              </w:rPr>
              <w:t>RSUs were issued as payment for the 2023 LTIP awards). In the third quarter of 2025 415,676</w:t>
            </w:r>
            <w:r>
              <w:rPr>
                <w:caps w:val="false"/>
                <w:smallCaps w:val="false"/>
              </w:rPr>
              <w:t xml:space="preserve"> </w:t>
            </w:r>
            <w:r>
              <w:rPr>
                <w:rFonts w:ascii="Times New Roman;Times;serif" w:hAnsi="Times New Roman;Times;serif"/>
                <w:b w:val="false"/>
                <w:i w:val="false"/>
                <w:caps w:val="false"/>
                <w:smallCaps w:val="false"/>
                <w:sz w:val="20"/>
              </w:rPr>
              <w:t>RSUs were granted out of which 237,529</w:t>
            </w:r>
            <w:r>
              <w:rPr>
                <w:caps w:val="false"/>
                <w:smallCaps w:val="false"/>
              </w:rPr>
              <w:t xml:space="preserve"> </w:t>
            </w:r>
            <w:r>
              <w:rPr>
                <w:rFonts w:ascii="Times New Roman;Times;serif" w:hAnsi="Times New Roman;Times;serif"/>
                <w:b w:val="false"/>
                <w:i w:val="false"/>
                <w:caps w:val="false"/>
                <w:smallCaps w:val="false"/>
                <w:sz w:val="20"/>
              </w:rPr>
              <w:t>RSUs were granted to a director of the Company in exchange for consulting services and the remaining units were granted to a consultant resulting in an aggregate of $0.3</w:t>
            </w:r>
            <w:r>
              <w:rPr>
                <w:caps w:val="false"/>
                <w:smallCaps w:val="false"/>
              </w:rPr>
              <w:t xml:space="preserve"> </w:t>
            </w:r>
            <w:r>
              <w:rPr>
                <w:rFonts w:ascii="Times New Roman;Times;serif" w:hAnsi="Times New Roman;Times;serif"/>
                <w:b w:val="false"/>
                <w:i w:val="false"/>
                <w:caps w:val="false"/>
                <w:smallCaps w:val="false"/>
                <w:sz w:val="20"/>
              </w:rPr>
              <w:t>million charged to general and administrative expenses in 2025 (2024: 68,027</w:t>
            </w:r>
            <w:r>
              <w:rPr>
                <w:caps w:val="false"/>
                <w:smallCaps w:val="false"/>
              </w:rPr>
              <w:t xml:space="preserve"> </w:t>
            </w:r>
            <w:r>
              <w:rPr>
                <w:rFonts w:ascii="Times New Roman;Times;serif" w:hAnsi="Times New Roman;Times;serif"/>
                <w:b w:val="false"/>
                <w:i w:val="false"/>
                <w:caps w:val="false"/>
                <w:smallCaps w:val="false"/>
                <w:sz w:val="20"/>
              </w:rPr>
              <w:t>units were granted to a non-employee director of the Company as an initial grant, as prescribed under the Company’s Non-employee Director Compensation Policy).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23" w:name="Tc_0cZVbu21pEeFQPmR7zNryA_7_4"/>
      <w:bookmarkStart w:id="1624" w:name="Tc_9QX5ZAVwrkK9XQx1XRn1Fg_7_0"/>
      <w:bookmarkStart w:id="1625" w:name="Tc_p75kitKT3UqxbBQ3bkVlDA_6_4"/>
      <w:bookmarkStart w:id="1626" w:name="Tc_4vm_LH9Sy0SyHEsKy7ZH6A_6_0"/>
      <w:bookmarkStart w:id="1627" w:name="Tc_Kapr3DDsFUe0sLzanDFNeA_5_3"/>
      <w:bookmarkStart w:id="1628" w:name="Tc_u13O70Fu5kOOciBg2ujDqw_5_0"/>
      <w:bookmarkStart w:id="1629" w:name="Tc_iP1-jh3yG0K3JkrS-hHGGg_4_4"/>
      <w:bookmarkStart w:id="1630" w:name="Tc_eDpKoZ-Ke0qU9FCqiW6Cyw_4_0"/>
      <w:bookmarkStart w:id="1631" w:name="Tc_SvuZRIx-NkqBH1geS1vhqw_3_2"/>
      <w:bookmarkStart w:id="1632" w:name="Tc_GzqB-kJnjkCd-c-_7vVJGQ_3_0"/>
      <w:bookmarkStart w:id="1633" w:name="Tc_OUY83i00yUqQ4desutX6RQ_2_2"/>
      <w:bookmarkStart w:id="1634" w:name="Tc_91XqTLnYRkmw0oBGB1YWqQ_1_2"/>
      <w:bookmarkStart w:id="1635" w:name="Tc_3M8FvxYyrUqKk2G1nAmBFw_7_4"/>
      <w:bookmarkStart w:id="1636" w:name="Tc_gSyJ3TGLjEa5dEZ27p5vqA_7_0"/>
      <w:bookmarkStart w:id="1637" w:name="Tc_d61530vZmE67fGPz7PTQgA_6_4"/>
      <w:bookmarkStart w:id="1638" w:name="Tc_0grfEoS1MEWVxCM5mLx0xw_6_0"/>
      <w:bookmarkStart w:id="1639" w:name="Tc_es2OtykBDE2L9HXh0pzpjA_5_3"/>
      <w:bookmarkStart w:id="1640" w:name="Tc_XjH_AUnKGUeb90XK6WBCzA_5_0"/>
      <w:bookmarkStart w:id="1641" w:name="Tc_f1G3JFPEOkm-4dzFzobK8Q_4_4"/>
      <w:bookmarkStart w:id="1642" w:name="Tc_QRfpzEQ0r0-P_QqwMgKacw_4_0"/>
      <w:bookmarkStart w:id="1643" w:name="Tc_8CymevAr1EuDZBVkJXsOOw_3_2"/>
      <w:bookmarkStart w:id="1644" w:name="Tc_YE1uXA5UoESQNdyBNjLASQ_3_0"/>
      <w:bookmarkStart w:id="1645" w:name="Tc_7rJa0yuGbU-kKDkhYDEZfw_2_2"/>
      <w:bookmarkStart w:id="1646" w:name="Tc_TAOvQt4tc0igqFVVSZePIA_1_2"/>
      <w:bookmarkStart w:id="1647" w:name="Tc_0cZVbu21pEeFQPmR7zNryA_7_4"/>
      <w:bookmarkStart w:id="1648" w:name="Tc_9QX5ZAVwrkK9XQx1XRn1Fg_7_0"/>
      <w:bookmarkStart w:id="1649" w:name="Tc_p75kitKT3UqxbBQ3bkVlDA_6_4"/>
      <w:bookmarkStart w:id="1650" w:name="Tc_4vm_LH9Sy0SyHEsKy7ZH6A_6_0"/>
      <w:bookmarkStart w:id="1651" w:name="Tc_Kapr3DDsFUe0sLzanDFNeA_5_3"/>
      <w:bookmarkStart w:id="1652" w:name="Tc_u13O70Fu5kOOciBg2ujDqw_5_0"/>
      <w:bookmarkStart w:id="1653" w:name="Tc_iP1-jh3yG0K3JkrS-hHGGg_4_4"/>
      <w:bookmarkStart w:id="1654" w:name="Tc_eDpKoZ-Ke0qU9FCqiW6Cyw_4_0"/>
      <w:bookmarkStart w:id="1655" w:name="Tc_SvuZRIx-NkqBH1geS1vhqw_3_2"/>
      <w:bookmarkStart w:id="1656" w:name="Tc_GzqB-kJnjkCd-c-_7vVJGQ_3_0"/>
      <w:bookmarkStart w:id="1657" w:name="Tc_OUY83i00yUqQ4desutX6RQ_2_2"/>
      <w:bookmarkStart w:id="1658" w:name="Tc_91XqTLnYRkmw0oBGB1YWqQ_1_2"/>
      <w:bookmarkStart w:id="1659" w:name="Tc_3M8FvxYyrUqKk2G1nAmBFw_7_4"/>
      <w:bookmarkStart w:id="1660" w:name="Tc_gSyJ3TGLjEa5dEZ27p5vqA_7_0"/>
      <w:bookmarkStart w:id="1661" w:name="Tc_d61530vZmE67fGPz7PTQgA_6_4"/>
      <w:bookmarkStart w:id="1662" w:name="Tc_0grfEoS1MEWVxCM5mLx0xw_6_0"/>
      <w:bookmarkStart w:id="1663" w:name="Tc_es2OtykBDE2L9HXh0pzpjA_5_3"/>
      <w:bookmarkStart w:id="1664" w:name="Tc_XjH_AUnKGUeb90XK6WBCzA_5_0"/>
      <w:bookmarkStart w:id="1665" w:name="Tc_f1G3JFPEOkm-4dzFzobK8Q_4_4"/>
      <w:bookmarkStart w:id="1666" w:name="Tc_QRfpzEQ0r0-P_QqwMgKacw_4_0"/>
      <w:bookmarkStart w:id="1667" w:name="Tc_8CymevAr1EuDZBVkJXsOOw_3_2"/>
      <w:bookmarkStart w:id="1668" w:name="Tc_YE1uXA5UoESQNdyBNjLASQ_3_0"/>
      <w:bookmarkStart w:id="1669" w:name="Tc_7rJa0yuGbU-kKDkhYDEZfw_2_2"/>
      <w:bookmarkStart w:id="1670" w:name="Tc_TAOvQt4tc0igqFVVSZePIA_1_2"/>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p>
    <w:tbl>
      <w:tblPr>
        <w:tblW w:w="10205" w:type="dxa"/>
        <w:jc w:val="left"/>
        <w:tblInd w:w="0" w:type="dxa"/>
        <w:tblLayout w:type="fixed"/>
        <w:tblCellMar>
          <w:top w:w="28" w:type="dxa"/>
          <w:left w:w="28" w:type="dxa"/>
          <w:bottom w:w="28" w:type="dxa"/>
          <w:right w:w="28" w:type="dxa"/>
        </w:tblCellMar>
      </w:tblPr>
      <w:tblGrid>
        <w:gridCol w:w="124"/>
        <w:gridCol w:w="261"/>
        <w:gridCol w:w="9820"/>
      </w:tblGrid>
      <w:tr>
        <w:trPr/>
        <w:tc>
          <w:tcPr>
            <w:tcW w:w="124" w:type="dxa"/>
            <w:tcBorders/>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982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issued a special retention grant to one of the Company’s non-employee directors. The fair value of the grant amounted to $0.3</w:t>
            </w:r>
            <w:r>
              <w:rPr>
                <w:caps w:val="false"/>
                <w:smallCaps w:val="false"/>
              </w:rPr>
              <w:t xml:space="preserve"> </w:t>
            </w:r>
            <w:r>
              <w:rPr>
                <w:rFonts w:ascii="Times New Roman;Times;serif" w:hAnsi="Times New Roman;Times;serif"/>
                <w:b w:val="false"/>
                <w:i w:val="false"/>
                <w:caps w:val="false"/>
                <w:smallCaps w:val="false"/>
                <w:sz w:val="20"/>
              </w:rPr>
              <w:t>million.</w:t>
            </w:r>
          </w:p>
        </w:tc>
      </w:tr>
    </w:tbl>
    <w:tbl>
      <w:tblPr>
        <w:tblW w:w="10205" w:type="dxa"/>
        <w:jc w:val="left"/>
        <w:tblInd w:w="0" w:type="dxa"/>
        <w:tblLayout w:type="fixed"/>
        <w:tblCellMar>
          <w:top w:w="28" w:type="dxa"/>
          <w:left w:w="28" w:type="dxa"/>
          <w:bottom w:w="28" w:type="dxa"/>
          <w:right w:w="28" w:type="dxa"/>
        </w:tblCellMar>
      </w:tblPr>
      <w:tblGrid>
        <w:gridCol w:w="124"/>
        <w:gridCol w:w="251"/>
        <w:gridCol w:w="9830"/>
      </w:tblGrid>
      <w:tr>
        <w:trPr/>
        <w:tc>
          <w:tcPr>
            <w:tcW w:w="124" w:type="dxa"/>
            <w:tcBorders/>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(5)</w:t>
            </w:r>
          </w:p>
        </w:tc>
        <w:tc>
          <w:tcPr>
            <w:tcW w:w="983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1,750,000</w:t>
            </w:r>
            <w:r>
              <w:rPr>
                <w:caps w:val="false"/>
                <w:smallCaps w:val="false"/>
              </w:rPr>
              <w:t xml:space="preserve"> </w:t>
            </w:r>
            <w:r>
              <w:rPr>
                <w:rFonts w:ascii="Times New Roman;Times;serif" w:hAnsi="Times New Roman;Times;serif"/>
                <w:b w:val="false"/>
                <w:i w:val="false"/>
                <w:caps w:val="false"/>
                <w:smallCaps w:val="false"/>
                <w:sz w:val="20"/>
              </w:rPr>
              <w:t>RSUs were granted to a director of the Company in exchange for consulting services resulting in an aggregate of $0.8</w:t>
            </w:r>
            <w:r>
              <w:rPr>
                <w:caps w:val="false"/>
                <w:smallCaps w:val="false"/>
              </w:rPr>
              <w:t xml:space="preserve"> </w:t>
            </w:r>
            <w:r>
              <w:rPr>
                <w:rFonts w:ascii="Times New Roman;Times;serif" w:hAnsi="Times New Roman;Times;serif"/>
                <w:b w:val="false"/>
                <w:i w:val="false"/>
                <w:caps w:val="false"/>
                <w:smallCaps w:val="false"/>
                <w:sz w:val="20"/>
              </w:rPr>
              <w:t>million charged to general and administrative expenses in 2025 (Note 21).</w:t>
            </w:r>
          </w:p>
        </w:tc>
      </w:tr>
    </w:tbl>
    <w:tbl>
      <w:tblPr>
        <w:tblW w:w="10205" w:type="dxa"/>
        <w:jc w:val="left"/>
        <w:tblInd w:w="0" w:type="dxa"/>
        <w:tblLayout w:type="fixed"/>
        <w:tblCellMar>
          <w:top w:w="28" w:type="dxa"/>
          <w:left w:w="28" w:type="dxa"/>
          <w:bottom w:w="28" w:type="dxa"/>
          <w:right w:w="28" w:type="dxa"/>
        </w:tblCellMar>
      </w:tblPr>
      <w:tblGrid>
        <w:gridCol w:w="124"/>
        <w:gridCol w:w="244"/>
        <w:gridCol w:w="98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(6)</w:t>
            </w:r>
          </w:p>
        </w:tc>
        <w:tc>
          <w:tcPr>
            <w:tcW w:w="983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688,969</w:t>
            </w:r>
            <w:r>
              <w:rPr>
                <w:caps w:val="false"/>
                <w:smallCaps w:val="false"/>
              </w:rPr>
              <w:t xml:space="preserve"> </w:t>
            </w:r>
            <w:r>
              <w:rPr>
                <w:rFonts w:ascii="Times New Roman;Times;serif" w:hAnsi="Times New Roman;Times;serif"/>
                <w:b w:val="false"/>
                <w:i w:val="false"/>
                <w:caps w:val="false"/>
                <w:smallCaps w:val="false"/>
                <w:sz w:val="20"/>
              </w:rPr>
              <w:t>units issued based on performance conditions. In 2025, all these RSUs were vested as the performance conditions were achieved resulting in $2.7</w:t>
            </w:r>
            <w:r>
              <w:rPr>
                <w:caps w:val="false"/>
                <w:smallCaps w:val="false"/>
              </w:rPr>
              <w:t xml:space="preserve"> </w:t>
            </w:r>
            <w:r>
              <w:rPr>
                <w:rFonts w:ascii="Times New Roman;Times;serif" w:hAnsi="Times New Roman;Times;serif"/>
                <w:b w:val="false"/>
                <w:i w:val="false"/>
                <w:caps w:val="false"/>
                <w:smallCaps w:val="false"/>
                <w:sz w:val="20"/>
              </w:rPr>
              <w:t>million charged to general and administrative expenses and $0.1</w:t>
            </w:r>
            <w:r>
              <w:rPr>
                <w:caps w:val="false"/>
                <w:smallCaps w:val="false"/>
              </w:rPr>
              <w:t xml:space="preserve"> </w:t>
            </w:r>
            <w:r>
              <w:rPr>
                <w:rFonts w:ascii="Times New Roman;Times;serif" w:hAnsi="Times New Roman;Times;serif"/>
                <w:b w:val="false"/>
                <w:i w:val="false"/>
                <w:caps w:val="false"/>
                <w:smallCaps w:val="false"/>
                <w:sz w:val="20"/>
              </w:rPr>
              <w:t>million charged to exploration and evaluation expenses.</w:t>
            </w:r>
          </w:p>
        </w:tc>
      </w:tr>
    </w:tbl>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(7)</w:t>
            </w:r>
          </w:p>
        </w:tc>
        <w:tc>
          <w:tcPr>
            <w:tcW w:w="984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From the 19,750,000</w:t>
            </w:r>
            <w:r>
              <w:rPr>
                <w:caps w:val="false"/>
                <w:smallCaps w:val="false"/>
              </w:rPr>
              <w:t xml:space="preserve"> </w:t>
            </w:r>
            <w:r>
              <w:rPr>
                <w:rFonts w:ascii="Times New Roman;Times;serif" w:hAnsi="Times New Roman;Times;serif"/>
                <w:b w:val="false"/>
                <w:i w:val="false"/>
                <w:caps w:val="false"/>
                <w:smallCaps w:val="false"/>
                <w:sz w:val="20"/>
              </w:rPr>
              <w:t>RSUs granted in 2025, 18,750,000</w:t>
            </w:r>
            <w:r>
              <w:rPr>
                <w:caps w:val="false"/>
                <w:smallCaps w:val="false"/>
              </w:rPr>
              <w:t xml:space="preserve"> </w:t>
            </w:r>
            <w:r>
              <w:rPr>
                <w:rFonts w:ascii="Times New Roman;Times;serif" w:hAnsi="Times New Roman;Times;serif"/>
                <w:b w:val="false"/>
                <w:i w:val="false"/>
                <w:caps w:val="false"/>
                <w:smallCaps w:val="false"/>
                <w:sz w:val="20"/>
              </w:rPr>
              <w:t>RSUs were issued in the third quarter of 2025 and the remaining 1,000,000</w:t>
            </w:r>
            <w:r>
              <w:rPr>
                <w:caps w:val="false"/>
                <w:smallCaps w:val="false"/>
              </w:rPr>
              <w:t xml:space="preserve"> </w:t>
            </w:r>
            <w:r>
              <w:rPr>
                <w:rFonts w:ascii="Times New Roman;Times;serif" w:hAnsi="Times New Roman;Times;serif"/>
                <w:b w:val="false"/>
                <w:i w:val="false"/>
                <w:caps w:val="false"/>
                <w:smallCaps w:val="false"/>
                <w:sz w:val="20"/>
              </w:rPr>
              <w:t>RSUs were granted in the last quarter of 2025. Out of 18,750,000</w:t>
            </w:r>
            <w:r>
              <w:rPr>
                <w:caps w:val="false"/>
                <w:smallCaps w:val="false"/>
              </w:rPr>
              <w:t xml:space="preserve"> </w:t>
            </w:r>
            <w:r>
              <w:rPr>
                <w:rFonts w:ascii="Times New Roman;Times;serif" w:hAnsi="Times New Roman;Times;serif"/>
                <w:b w:val="false"/>
                <w:i w:val="false"/>
                <w:caps w:val="false"/>
                <w:smallCaps w:val="false"/>
                <w:sz w:val="20"/>
              </w:rPr>
              <w:t>RSUs issued in the third quarter of 2025, 9,000,000</w:t>
            </w:r>
            <w:r>
              <w:rPr>
                <w:caps w:val="false"/>
                <w:smallCaps w:val="false"/>
              </w:rPr>
              <w:t xml:space="preserve"> </w:t>
            </w:r>
            <w:r>
              <w:rPr>
                <w:rFonts w:ascii="Times New Roman;Times;serif" w:hAnsi="Times New Roman;Times;serif"/>
                <w:b w:val="false"/>
                <w:i w:val="false"/>
                <w:caps w:val="false"/>
                <w:smallCaps w:val="false"/>
                <w:sz w:val="20"/>
              </w:rPr>
              <w:t>RSUs were granted to certain employees (“Retention Grants”), vesting in two equal tranches based on market and service conditions: Tranche 1: 50%</w:t>
            </w:r>
            <w:r>
              <w:rPr>
                <w:caps w:val="false"/>
                <w:smallCaps w:val="false"/>
              </w:rPr>
              <w:t xml:space="preserve"> </w:t>
            </w:r>
            <w:r>
              <w:rPr>
                <w:rFonts w:ascii="Times New Roman;Times;serif" w:hAnsi="Times New Roman;Times;serif"/>
                <w:b w:val="false"/>
                <w:i w:val="false"/>
                <w:caps w:val="false"/>
                <w:smallCaps w:val="false"/>
                <w:sz w:val="20"/>
              </w:rPr>
              <w:t>upon the 30-day average share price reaching $10</w:t>
            </w:r>
            <w:r>
              <w:rPr>
                <w:caps w:val="false"/>
                <w:smallCaps w:val="false"/>
              </w:rPr>
              <w:t xml:space="preserve"> </w:t>
            </w:r>
            <w:r>
              <w:rPr>
                <w:rFonts w:ascii="Times New Roman;Times;serif" w:hAnsi="Times New Roman;Times;serif"/>
                <w:b w:val="false"/>
                <w:i w:val="false"/>
                <w:caps w:val="false"/>
                <w:smallCaps w:val="false"/>
                <w:sz w:val="20"/>
              </w:rPr>
              <w:t>and Tranche 2: 50%</w:t>
            </w:r>
            <w:r>
              <w:rPr>
                <w:caps w:val="false"/>
                <w:smallCaps w:val="false"/>
              </w:rPr>
              <w:t xml:space="preserve"> </w:t>
            </w:r>
            <w:r>
              <w:rPr>
                <w:rFonts w:ascii="Times New Roman;Times;serif" w:hAnsi="Times New Roman;Times;serif"/>
                <w:b w:val="false"/>
                <w:i w:val="false"/>
                <w:caps w:val="false"/>
                <w:smallCaps w:val="false"/>
                <w:sz w:val="20"/>
              </w:rPr>
              <w:t>upon the 30-day average share price reaching $12.50, subject to continued employment through specific target dates per the grant terms.</w:t>
            </w:r>
          </w:p>
        </w:tc>
      </w:tr>
    </w:tbl>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 calculated the fair value of the Retention Grants using Monte Carlo simulation and below assumptions. The fair value of Tranche 1 and Tranche 2 was calculated as $5.82 per unit and $5.58 per unit respectively.</w:t>
      </w:r>
    </w:p>
    <w:p>
      <w:pPr>
        <w:pStyle w:val="TextBody"/>
        <w:bidi w:val="0"/>
        <w:spacing w:before="0" w:after="0"/>
        <w:ind w:left="360" w:right="0" w:hanging="0"/>
        <w:jc w:val="both"/>
        <w:rPr/>
      </w:pPr>
      <w:r>
        <w:rPr/>
        <w:t>​</w:t>
      </w:r>
    </w:p>
    <w:tbl>
      <w:tblPr>
        <w:tblW w:w="8180" w:type="dxa"/>
        <w:jc w:val="left"/>
        <w:tblInd w:w="0" w:type="dxa"/>
        <w:tblLayout w:type="fixed"/>
        <w:tblCellMar>
          <w:top w:w="0" w:type="dxa"/>
          <w:left w:w="0" w:type="dxa"/>
          <w:bottom w:w="0" w:type="dxa"/>
          <w:right w:w="0" w:type="dxa"/>
        </w:tblCellMar>
      </w:tblPr>
      <w:tblGrid>
        <w:gridCol w:w="4096"/>
        <w:gridCol w:w="346"/>
        <w:gridCol w:w="211"/>
        <w:gridCol w:w="3181"/>
        <w:gridCol w:w="34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600960" cy="175260"/>
                      <wp:effectExtent l="0" t="0" r="0" b="0"/>
                      <wp:wrapNone/>
                      <wp:docPr id="382" name="Frame360"/>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3"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4"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19935" cy="175260"/>
                      <wp:effectExtent l="0" t="0" r="0" b="0"/>
                      <wp:wrapNone/>
                      <wp:docPr id="385" name="Frame363"/>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86"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9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23, </w:t>
            </w:r>
          </w:p>
        </w:tc>
        <w:tc>
          <w:tcPr>
            <w:tcW w:w="346" w:type="dxa"/>
            <w:tcBorders/>
            <w:vAlign w:val="center"/>
          </w:tcPr>
          <w:p>
            <w:pPr>
              <w:pStyle w:val="TableContents"/>
              <w:bidi w:val="0"/>
              <w:spacing w:before="0" w:after="0"/>
              <w:ind w:left="0" w:right="0" w:hanging="0"/>
              <w:jc w:val="center"/>
              <w:rPr/>
            </w:pPr>
            <w:r>
              <w:rPr/>
              <w:t> </w: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6.32</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1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100.60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Period to achieve market conditions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September 23, 2025 – April 16, 2029</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1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remaining 9,750,000 RSUs were considered as granted on August 28, 2025, out of which 7,500,000 were granted to a director of the Company (Note 21) in return for consulting services and the remaining 2,250,000 were granted to a consultant. The RSUs vest in three equal tranches as described below:</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Tranche 1: Vesting upon share price reaching or exceeding $10 for 10 consecutive trading days, or the Company’s market capitalization reaching or exceeding $3.3 billion, for ten consecutive days.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Tranche 2: Vesting upon share price reaching or exceeding $12.50 for 10 consecutive trading days, or the Company’s market capitalization reaching or exceeding $4 billion, for ten consecutive days.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Tranche 3: Vesting upon share price reaching or exceeding $15 for 10 consecutive trading days, or the Company’s market capitalization reaching or exceeding $5 billion, for ten consecutive days.</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 determined the fair value of the 9,750,000 RSUs using a Monte-Carlo valuation method and below assumptions.</w:t>
      </w:r>
    </w:p>
    <w:p>
      <w:pPr>
        <w:pStyle w:val="TextBody"/>
        <w:bidi w:val="0"/>
        <w:spacing w:before="0" w:after="0"/>
        <w:ind w:left="360" w:right="0" w:hanging="0"/>
        <w:jc w:val="both"/>
        <w:rPr>
          <w:shd w:fill="FFFF00" w:val="clear"/>
        </w:rPr>
      </w:pPr>
      <w:r>
        <w:rPr>
          <w:shd w:fill="FFFF00" w:val="clear"/>
        </w:rPr>
        <w:t>​</w:t>
      </w:r>
    </w:p>
    <w:tbl>
      <w:tblPr>
        <w:tblW w:w="5030" w:type="dxa"/>
        <w:jc w:val="left"/>
        <w:tblInd w:w="0" w:type="dxa"/>
        <w:tblLayout w:type="fixed"/>
        <w:tblCellMar>
          <w:top w:w="0" w:type="dxa"/>
          <w:left w:w="0" w:type="dxa"/>
          <w:bottom w:w="0" w:type="dxa"/>
          <w:right w:w="0" w:type="dxa"/>
        </w:tblCellMar>
      </w:tblPr>
      <w:tblGrid>
        <w:gridCol w:w="1696"/>
        <w:gridCol w:w="346"/>
        <w:gridCol w:w="211"/>
        <w:gridCol w:w="2431"/>
        <w:gridCol w:w="34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076960" cy="175260"/>
                      <wp:effectExtent l="0" t="0" r="0" b="0"/>
                      <wp:wrapNone/>
                      <wp:docPr id="387" name="Frame365"/>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88"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89"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543685" cy="175260"/>
                      <wp:effectExtent l="0" t="0" r="0" b="0"/>
                      <wp:wrapNone/>
                      <wp:docPr id="390" name="Frame368"/>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1"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4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August 28,</w:t>
            </w:r>
          </w:p>
        </w:tc>
        <w:tc>
          <w:tcPr>
            <w:tcW w:w="346" w:type="dxa"/>
            <w:tcBorders/>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4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4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5.26</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102.16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24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June 4, 2025 – June 4, 2029</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3.57</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24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360" w:right="0" w:hanging="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bookmarkStart w:id="1671" w:name="Tc_FxrrgQ6rnEaH5urAhisaAQ_6_4"/>
      <w:bookmarkStart w:id="1672" w:name="Tc_Gs_d4lald0WKCJiYNnmXEg_6_0"/>
      <w:bookmarkStart w:id="1673" w:name="Tc_f75IncgskUaa1dJ2nsRliA_5_4"/>
      <w:bookmarkStart w:id="1674" w:name="Tc_DqNHW6rtB0ag-r8awD8Nmg_5_0"/>
      <w:bookmarkStart w:id="1675" w:name="Tc_nu8FrZ3Q_0i7JhQ0sugc-Q_4_3"/>
      <w:bookmarkStart w:id="1676" w:name="Tc_w-akpv_jakas89-MH9ksiw_4_0"/>
      <w:bookmarkStart w:id="1677" w:name="Tc_2R0AsyqNv0y_PpGnoMW02A_3_4"/>
      <w:bookmarkStart w:id="1678" w:name="Tc_NyShfOJnXkyPUqBW5CBN9Q_3_0"/>
      <w:bookmarkStart w:id="1679" w:name="Tc_2QjtkKO7sUqvd8Fr2P4qdQ_2_2"/>
      <w:bookmarkStart w:id="1680" w:name="Tc_c3fWbZexR0qtYP4MtLf1vQ_2_0"/>
      <w:bookmarkStart w:id="1681" w:name="Tc_28ZDiFYTO0Oxw0gHqAGvJw_1_2"/>
      <w:bookmarkStart w:id="1682" w:name="Tc_bcS09Ca7GkqaEllyJKM0Cw_4_5"/>
      <w:bookmarkStart w:id="1683" w:name="Tc_OLPXTGvqdU-sntHiyqFtVg_4_2"/>
      <w:bookmarkStart w:id="1684" w:name="Tc_X16wJvz_PUKuaQ11IetSfA_4_0"/>
      <w:bookmarkStart w:id="1685" w:name="Tc__jjz7uFw_EaiMQVw1wle8A_3_5"/>
      <w:bookmarkStart w:id="1686" w:name="Tc_zIXMX62Wi0Cv9aK3P3S0KQ_3_2"/>
      <w:bookmarkStart w:id="1687" w:name="Tc_vc4Ox3WMhUW1-ybmchGVcA_3_0"/>
      <w:bookmarkStart w:id="1688" w:name="Tc_769NipCIPUmwBcP85jc6sg_2_5"/>
      <w:bookmarkStart w:id="1689" w:name="Tc_IsDlWmYZXUibmAsInFpi3A_2_2"/>
      <w:bookmarkStart w:id="1690" w:name="Tc_gE8cuYCaG0O9XLzkQGIlWA_2_0"/>
      <w:bookmarkStart w:id="1691" w:name="Tc_fcJJSsaKAk2rRk9It_9adg_1_5"/>
      <w:bookmarkStart w:id="1692" w:name="Tc_kw4WlpjDDEKwPSZ5H8mLQQ_1_2"/>
      <w:bookmarkStart w:id="1693" w:name="Tc_MukjFwab5Ey-r7lY7aljRQ_1_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r>
        <w:rPr>
          <w:rFonts w:ascii="Times New Roman;Times;serif" w:hAnsi="Times New Roman;Times;serif"/>
          <w:sz w:val="20"/>
        </w:rPr>
        <w:t>The fair value of each tranche and the derived service period are as follows:</w:t>
      </w:r>
    </w:p>
    <w:p>
      <w:pPr>
        <w:pStyle w:val="TextBody"/>
        <w:bidi w:val="0"/>
        <w:spacing w:before="0" w:after="0"/>
        <w:ind w:left="360" w:right="0" w:hanging="0"/>
        <w:jc w:val="both"/>
        <w:rPr>
          <w:shd w:fill="FFFF00" w:val="clear"/>
        </w:rPr>
      </w:pPr>
      <w:r>
        <w:rPr>
          <w:shd w:fill="FFFF00" w:val="clear"/>
        </w:rPr>
        <w:t>​</w:t>
      </w:r>
    </w:p>
    <w:tbl>
      <w:tblPr>
        <w:tblW w:w="4774" w:type="dxa"/>
        <w:jc w:val="left"/>
        <w:tblInd w:w="0" w:type="dxa"/>
        <w:tblLayout w:type="fixed"/>
        <w:tblCellMar>
          <w:top w:w="0" w:type="dxa"/>
          <w:left w:w="0" w:type="dxa"/>
          <w:bottom w:w="0" w:type="dxa"/>
          <w:right w:w="0" w:type="dxa"/>
        </w:tblCellMar>
      </w:tblPr>
      <w:tblGrid>
        <w:gridCol w:w="721"/>
        <w:gridCol w:w="346"/>
        <w:gridCol w:w="481"/>
        <w:gridCol w:w="1064"/>
        <w:gridCol w:w="346"/>
        <w:gridCol w:w="1816"/>
      </w:tblGrid>
      <w:tr>
        <w:trPr/>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57835" cy="175260"/>
                      <wp:effectExtent l="0" t="0" r="0" b="0"/>
                      <wp:wrapNone/>
                      <wp:docPr id="392" name="Frame3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3"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305435" cy="175260"/>
                      <wp:effectExtent l="0" t="0" r="0" b="0"/>
                      <wp:wrapNone/>
                      <wp:docPr id="394" name="Frame37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75640" cy="175260"/>
                      <wp:effectExtent l="0" t="0" r="0" b="0"/>
                      <wp:wrapNone/>
                      <wp:docPr id="395" name="Frame373"/>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96"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153160" cy="175260"/>
                      <wp:effectExtent l="0" t="0" r="0" b="0"/>
                      <wp:wrapNone/>
                      <wp:docPr id="397" name="Frame375"/>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Tranche</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Fair Value per RSU</w:t>
            </w:r>
          </w:p>
        </w:tc>
        <w:tc>
          <w:tcPr>
            <w:tcW w:w="346" w:type="dxa"/>
            <w:tcBorders/>
            <w:vAlign w:val="center"/>
          </w:tcPr>
          <w:p>
            <w:pPr>
              <w:pStyle w:val="TableContents"/>
              <w:bidi w:val="0"/>
              <w:spacing w:before="0" w:after="0"/>
              <w:ind w:left="0" w:right="0" w:hanging="0"/>
              <w:jc w:val="left"/>
              <w:rPr/>
            </w:pPr>
            <w:r>
              <w:rPr/>
              <w:t>  ​ ​ ​</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Derived Service Period</w:t>
            </w:r>
          </w:p>
        </w:tc>
      </w:tr>
      <w:tr>
        <w:trPr/>
        <w:tc>
          <w:tcPr>
            <w:tcW w:w="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46" w:type="dxa"/>
            <w:tcBorders/>
            <w:shd w:fill="CCEEFF" w:val="clear"/>
            <w:vAlign w:val="center"/>
          </w:tcPr>
          <w:p>
            <w:pPr>
              <w:pStyle w:val="TableContents"/>
              <w:bidi w:val="0"/>
              <w:spacing w:before="0" w:after="0"/>
              <w:ind w:left="0" w:right="0" w:hanging="0"/>
              <w:jc w:val="left"/>
              <w:rPr/>
            </w:pPr>
            <w:r>
              <w:rPr/>
              <w:t> </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 years</w:t>
            </w:r>
          </w:p>
        </w:tc>
      </w:tr>
      <w:tr>
        <w:trPr/>
        <w:tc>
          <w:tcPr>
            <w:tcW w:w="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 years</w:t>
            </w:r>
          </w:p>
        </w:tc>
      </w:tr>
      <w:tr>
        <w:trPr/>
        <w:tc>
          <w:tcPr>
            <w:tcW w:w="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46" w:type="dxa"/>
            <w:tcBorders/>
            <w:shd w:fill="CCEEFF" w:val="clear"/>
            <w:vAlign w:val="center"/>
          </w:tcPr>
          <w:p>
            <w:pPr>
              <w:pStyle w:val="TableContents"/>
              <w:bidi w:val="0"/>
              <w:spacing w:before="0" w:after="0"/>
              <w:ind w:left="0" w:right="0" w:hanging="0"/>
              <w:jc w:val="left"/>
              <w:rPr/>
            </w:pPr>
            <w:r>
              <w:rPr/>
              <w:t> </w:t>
            </w:r>
          </w:p>
        </w:tc>
        <w:tc>
          <w:tcPr>
            <w:tcW w:w="181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0.85 years</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In the last quarter of 2025, the Company granted 1,000,000 RSUs to an employee with the same conditions as the Retention Grants granted in the third quarter of 2025. The Company calculated the fair value of the grant issued in the last quarter of 2025 using a Monte Carlo simulation and below assumptions. The fair value of Tranche 1 and Tranche 2 was calculated as $5.84 per unit and $5.62 per unit respectively.</w:t>
      </w:r>
    </w:p>
    <w:p>
      <w:pPr>
        <w:pStyle w:val="TextBody"/>
        <w:bidi w:val="0"/>
        <w:spacing w:before="0" w:after="0"/>
        <w:ind w:left="360" w:right="0" w:hanging="0"/>
        <w:jc w:val="both"/>
        <w:rPr/>
      </w:pPr>
      <w:r>
        <w:rPr/>
        <w:t>​</w:t>
      </w:r>
    </w:p>
    <w:tbl>
      <w:tblPr>
        <w:tblW w:w="8135" w:type="dxa"/>
        <w:jc w:val="left"/>
        <w:tblInd w:w="0" w:type="dxa"/>
        <w:tblLayout w:type="fixed"/>
        <w:tblCellMar>
          <w:top w:w="0" w:type="dxa"/>
          <w:left w:w="0" w:type="dxa"/>
          <w:bottom w:w="0" w:type="dxa"/>
          <w:right w:w="0" w:type="dxa"/>
        </w:tblCellMar>
      </w:tblPr>
      <w:tblGrid>
        <w:gridCol w:w="4096"/>
        <w:gridCol w:w="346"/>
        <w:gridCol w:w="211"/>
        <w:gridCol w:w="3136"/>
        <w:gridCol w:w="34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600960" cy="175260"/>
                      <wp:effectExtent l="0" t="0" r="0" b="0"/>
                      <wp:wrapNone/>
                      <wp:docPr id="398" name="Frame376"/>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399"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0"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991360" cy="175260"/>
                      <wp:effectExtent l="0" t="0" r="0" b="0"/>
                      <wp:wrapNone/>
                      <wp:docPr id="401" name="Frame379"/>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2"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34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30, 2025</w:t>
            </w:r>
          </w:p>
        </w:tc>
        <w:tc>
          <w:tcPr>
            <w:tcW w:w="346" w:type="dxa"/>
            <w:tcBorders/>
            <w:vAlign w:val="center"/>
          </w:tcPr>
          <w:p>
            <w:pPr>
              <w:pStyle w:val="TableContents"/>
              <w:bidi w:val="0"/>
              <w:spacing w:before="0" w:after="1"/>
              <w:ind w:left="0" w:right="0" w:hanging="0"/>
              <w:jc w:val="left"/>
              <w:rPr/>
            </w:pPr>
            <w:r>
              <w:rPr/>
              <w:t> </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1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6.15</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1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112.74</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Performance Period to achieve market conditions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1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December 30, 2025 – April 16, 2029</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1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3.47</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1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360" w:right="0" w:hanging="0"/>
        <w:jc w:val="center"/>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2024, the Company entered into a new employment agreement with Gerard Barron, the Company’s Chief Executive Officer and Chairman as per which a one-time signing bonus award of 20,000,000 market-based restricted stock units were granted.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grant date fair value of all RSUs, apart from the ones mentioned in footnote 7 in the table above, is equivalent to the closing share price of the Company’s common shares on the date of grant. During 2025, a total of $60.1 million was charged to the statement of loss and comprehensive loss as share-based compensation expense for RSUs (2024: $19.5 million) of which share-based compensation expense related to exploration and evaluation activities amounted to $15.1 million (2024 - $10.7 million) and share-based compensation expense related to general and administration matters amounted to $45 million (2024 - $8.8 million). As at December 31, 2025, total unrecognized share-based compensation expense for RSUs was $91.5 million (December 31, 2024 - $20.5 million) which is expected to be recognized over 2.4 years. The fair value of shares vested during the year ended December 31, 2025, amounted to $24.6 million (2024 - $14.1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an aggregate of 81,198 vested RSUs were being processed and due to be converted into common shares (December 31, 2024: 128,642 units).</w:t>
      </w:r>
    </w:p>
    <w:p>
      <w:pPr>
        <w:pStyle w:val="TextBody"/>
        <w:pBdr/>
        <w:bidi w:val="0"/>
        <w:spacing w:before="0" w:after="240"/>
        <w:ind w:left="360" w:right="0" w:hanging="36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31, 2022, TMC’s 2021 Employee Stock Purchase Plan (“ESPP”) was approved at the Company’s 2022 annual shareholders meeting. As of December 31, 2025, there were a total of 14,395,117 common shares reserved for issuance under the ESPP out of which 14,016,582 common shares remained available for future issuance under the ESPP.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Participation in the ESPP is available to all full-time and certain part-time employees, subject to certain conditions.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ESPP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ESPP includes the following limitations: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employee’s contribution is limited to 15%</w:t>
            </w:r>
            <w:r>
              <w:rPr>
                <w:caps w:val="false"/>
                <w:smallCaps w:val="false"/>
              </w:rPr>
              <w:t xml:space="preserve"> </w:t>
            </w:r>
            <w:r>
              <w:rPr>
                <w:rFonts w:ascii="Times New Roman;Times;serif" w:hAnsi="Times New Roman;Times;serif"/>
                <w:b w:val="false"/>
                <w:i w:val="false"/>
                <w:caps w:val="false"/>
                <w:smallCaps w:val="false"/>
                <w:sz w:val="20"/>
              </w:rPr>
              <w:t>of the employee’s annual gross earnings, not exceeding the $25,000</w:t>
            </w:r>
            <w:r>
              <w:rPr>
                <w:caps w:val="false"/>
                <w:smallCaps w:val="false"/>
              </w:rPr>
              <w:t xml:space="preserve"> </w:t>
            </w:r>
            <w:r>
              <w:rPr>
                <w:rFonts w:ascii="Times New Roman;Times;serif" w:hAnsi="Times New Roman;Times;serif"/>
                <w:b w:val="false"/>
                <w:i w:val="false"/>
                <w:caps w:val="false"/>
                <w:smallCaps w:val="false"/>
                <w:sz w:val="20"/>
              </w:rPr>
              <w:t>annual limit set under the Internal Revenue Code (IRC) established by the Internal Revenue Service (IRS).</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employee’s purchases in any offering period cannot exceed 15,000</w:t>
            </w:r>
            <w:r>
              <w:rPr>
                <w:caps w:val="false"/>
                <w:smallCaps w:val="false"/>
              </w:rPr>
              <w:t xml:space="preserve"> </w:t>
            </w:r>
            <w:r>
              <w:rPr>
                <w:rFonts w:ascii="Times New Roman;Times;serif" w:hAnsi="Times New Roman;Times;serif"/>
                <w:b w:val="false"/>
                <w:i w:val="false"/>
                <w:caps w:val="false"/>
                <w:smallCaps w:val="false"/>
                <w:sz w:val="20"/>
              </w:rPr>
              <w:t>common shares, and</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employee’s purchases are capped, not to exceed 5%</w:t>
            </w:r>
            <w:r>
              <w:rPr>
                <w:caps w:val="false"/>
                <w:smallCaps w:val="false"/>
              </w:rPr>
              <w:t xml:space="preserve"> </w:t>
            </w:r>
            <w:r>
              <w:rPr>
                <w:rFonts w:ascii="Times New Roman;Times;serif" w:hAnsi="Times New Roman;Times;serif"/>
                <w:b w:val="false"/>
                <w:i w:val="false"/>
                <w:caps w:val="false"/>
                <w:smallCaps w:val="false"/>
                <w:sz w:val="20"/>
              </w:rPr>
              <w:t>of the Company’s total outstanding common shares.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2025, the Company issued 39,128 common shares (2024: 47,809 common shares) to its employees as part of its ESPP program. The Company recognizes share-based compensation for its ESPP based on the purchase discount, which is amortized on a straight-line basis over the purchase period. A total of $27 thousand was charged to the statement of loss and comprehensive loss as share-based compensation expense for the year ended December 31, 2025, representing the share price purchase discount offered by the Company (2024: $37 thousand). From the amount charged in 2025, $16 thousand was recorded in exploration and evaluation expenses (2024: $19 thousand) and $11 thousand was recorded in general and administrative expenses (2024: $18 thousand).</w:t>
      </w:r>
    </w:p>
    <w:p>
      <w:pPr>
        <w:pStyle w:val="TextBody"/>
        <w:bidi w:val="0"/>
        <w:spacing w:before="0" w:after="240"/>
        <w:ind w:left="0" w:right="0" w:hanging="0"/>
        <w:jc w:val="left"/>
        <w:rPr>
          <w:rFonts w:ascii="Times New Roman;Times;serif" w:hAnsi="Times New Roman;Times;serif"/>
          <w:b/>
          <w:sz w:val="20"/>
        </w:rPr>
      </w:pPr>
      <w:bookmarkStart w:id="1694" w:name="Tc_EGHD_BzwekCiS-Qj4N0M4A_9_0"/>
      <w:bookmarkStart w:id="1695" w:name="Tc_-crTzuZjE0GUCf63yv5oJA_8_0"/>
      <w:bookmarkStart w:id="1696" w:name="Tc_8h4H5Mdw1kqjl4mzTm40Wg_7_0"/>
      <w:bookmarkStart w:id="1697" w:name="Tc_Ur1YbyExkkyMIsTYiZwEZQ_6_0"/>
      <w:bookmarkStart w:id="1698" w:name="Tc_uyEyuoRPDka1jxm4qELm8g_5_0"/>
      <w:bookmarkStart w:id="1699" w:name="Tc_V-xyQgWM9UicwH4SpIBDlA_4_0"/>
      <w:bookmarkStart w:id="1700" w:name="Tc_IY2BLsW9xk2L0hzEAEMzVg_3_4"/>
      <w:bookmarkStart w:id="1701" w:name="Tc__Rqx2_juuUOxIe-SFjtzFw_3_2"/>
      <w:bookmarkStart w:id="1702" w:name="Tc_hlJBRvJ9xEy4FmD3VnXYgg_2_4"/>
      <w:bookmarkStart w:id="1703" w:name="Tc_ReS3UN3zWU2Ep-cwpZ4Zrw_2_2"/>
      <w:bookmarkStart w:id="1704" w:name="Tc_HORHm2GRM0el2kX1I-DlDA_1_4"/>
      <w:bookmarkStart w:id="1705" w:name="Tc_gVVKYEmAZE-cKpfhwL2meg_1_2"/>
      <w:bookmarkEnd w:id="1694"/>
      <w:bookmarkEnd w:id="1695"/>
      <w:bookmarkEnd w:id="1696"/>
      <w:bookmarkEnd w:id="1697"/>
      <w:bookmarkEnd w:id="1698"/>
      <w:bookmarkEnd w:id="1699"/>
      <w:bookmarkEnd w:id="1700"/>
      <w:bookmarkEnd w:id="1701"/>
      <w:bookmarkEnd w:id="1702"/>
      <w:bookmarkEnd w:id="1703"/>
      <w:bookmarkEnd w:id="1704"/>
      <w:bookmarkEnd w:id="1705"/>
      <w:r>
        <w:rPr>
          <w:rFonts w:ascii="Times New Roman;Times;serif" w:hAnsi="Times New Roman;Times;serif"/>
          <w:b/>
          <w:i w:val="false"/>
          <w:caps w:val="false"/>
          <w:smallCaps w:val="false"/>
          <w:sz w:val="20"/>
        </w:rPr>
        <w:t>19.</w:t>
      </w:r>
      <w:r>
        <w:rPr>
          <w:rFonts w:ascii="Times New Roman;Times;serif" w:hAnsi="Times New Roman;Times;serif"/>
          <w:b/>
          <w:sz w:val="20"/>
        </w:rPr>
        <w:t>Loss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Basic loss per share is computed by dividing the loss by the weighted-average number of common shares of the Company outstanding during the year.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year presented as the inclusion of all common share equivalents would have been anti-dilutive.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Anti-dilutive equivalent common shares were as follows:</w:t>
      </w:r>
    </w:p>
    <w:p>
      <w:pPr>
        <w:pStyle w:val="TextBody"/>
        <w:bidi w:val="0"/>
        <w:spacing w:before="0" w:after="0"/>
        <w:ind w:left="0" w:right="0" w:hanging="0"/>
        <w:jc w:val="left"/>
        <w:rPr/>
      </w:pPr>
      <w:r>
        <w:rPr/>
        <w:t>​</w:t>
      </w:r>
    </w:p>
    <w:tbl>
      <w:tblPr>
        <w:tblW w:w="9245" w:type="dxa"/>
        <w:jc w:val="left"/>
        <w:tblInd w:w="0" w:type="dxa"/>
        <w:tblLayout w:type="fixed"/>
        <w:tblCellMar>
          <w:top w:w="0" w:type="dxa"/>
          <w:left w:w="0" w:type="dxa"/>
          <w:bottom w:w="0" w:type="dxa"/>
          <w:right w:w="0" w:type="dxa"/>
        </w:tblCellMar>
      </w:tblPr>
      <w:tblGrid>
        <w:gridCol w:w="5536"/>
        <w:gridCol w:w="346"/>
        <w:gridCol w:w="1486"/>
        <w:gridCol w:w="346"/>
        <w:gridCol w:w="153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515360" cy="175260"/>
                      <wp:effectExtent l="0" t="0" r="0" b="0"/>
                      <wp:wrapNone/>
                      <wp:docPr id="403" name="Frame381"/>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4"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943610" cy="175260"/>
                      <wp:effectExtent l="0" t="0" r="0" b="0"/>
                      <wp:wrapNone/>
                      <wp:docPr id="405" name="Frame38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06"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972185" cy="175260"/>
                      <wp:effectExtent l="0" t="0" r="0" b="0"/>
                      <wp:wrapNone/>
                      <wp:docPr id="407" name="Frame385"/>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For the year ended</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For the year ended</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30,377,325</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27,885,450</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RSUs</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48,322,148</w:t>
            </w:r>
          </w:p>
        </w:tc>
        <w:tc>
          <w:tcPr>
            <w:tcW w:w="34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34,312,655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shares under ESPP</w:t>
            </w:r>
          </w:p>
        </w:tc>
        <w:tc>
          <w:tcPr>
            <w:tcW w:w="346"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793</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warrants</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55,850,282</w:t>
            </w:r>
          </w:p>
        </w:tc>
        <w:tc>
          <w:tcPr>
            <w:tcW w:w="34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38,180,770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Special Shares and options to purchase Special Shares</w:t>
            </w:r>
          </w:p>
        </w:tc>
        <w:tc>
          <w:tcPr>
            <w:tcW w:w="346" w:type="dxa"/>
            <w:tcBorders/>
            <w:shd w:fill="CCEEFF" w:val="clear"/>
            <w:vAlign w:val="center"/>
          </w:tcPr>
          <w:p>
            <w:pPr>
              <w:pStyle w:val="TableContents"/>
              <w:bidi w:val="0"/>
              <w:spacing w:before="0" w:after="0"/>
              <w:ind w:left="0" w:right="0" w:hanging="0"/>
              <w:jc w:val="left"/>
              <w:rPr/>
            </w:pPr>
            <w:r>
              <w:rPr/>
              <w:t> </w:t>
            </w:r>
          </w:p>
        </w:tc>
        <w:tc>
          <w:tcPr>
            <w:tcW w:w="14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136,004,597</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136,239,964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anti-dilutive common equivalent shares</w:t>
            </w:r>
          </w:p>
        </w:tc>
        <w:tc>
          <w:tcPr>
            <w:tcW w:w="346" w:type="dxa"/>
            <w:tcBorders/>
            <w:vAlign w:val="center"/>
          </w:tcPr>
          <w:p>
            <w:pPr>
              <w:pStyle w:val="TableContents"/>
              <w:bidi w:val="0"/>
              <w:spacing w:before="0" w:after="0"/>
              <w:ind w:left="0" w:right="0" w:hanging="0"/>
              <w:jc w:val="left"/>
              <w:rPr/>
            </w:pPr>
            <w:r>
              <w:rPr/>
              <w:t> </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270,555,145</w:t>
            </w:r>
          </w:p>
        </w:tc>
        <w:tc>
          <w:tcPr>
            <w:tcW w:w="346" w:type="dxa"/>
            <w:tcBorders/>
            <w:vAlign w:val="center"/>
          </w:tcPr>
          <w:p>
            <w:pPr>
              <w:pStyle w:val="TableContents"/>
              <w:bidi w:val="0"/>
              <w:spacing w:before="0" w:after="0"/>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236,620,721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06" w:name="Tc_E-QfPmNrhUixCU-27mil6A_16_7"/>
      <w:bookmarkStart w:id="1707" w:name="Tc_5ekyOx0Npk-I0xdfyKVwig_16_4"/>
      <w:bookmarkStart w:id="1708" w:name="Tc_w5BbqaYhj02N31HWreDRxQ_15_2"/>
      <w:bookmarkStart w:id="1709" w:name="Tc_sOWg7jDv0EO6YdHEvva5BQ_15_0"/>
      <w:bookmarkStart w:id="1710" w:name="Tc_Xr9kXvLRtUi4PW9dChY9Gg_14_2"/>
      <w:bookmarkStart w:id="1711" w:name="Tc_86PFNKnPR0-RFzoDQHnOaA_14_0"/>
      <w:bookmarkStart w:id="1712" w:name="Tc_BVLRtiNZTUObJnuwyhZpOA_13_0"/>
      <w:bookmarkStart w:id="1713" w:name="Tc_YHhhjfbyREGWrkgpyMfQIw_12_5"/>
      <w:bookmarkStart w:id="1714" w:name="Tc_MELJF3qVGEu8HksjJghepg_12_2"/>
      <w:bookmarkStart w:id="1715" w:name="Tc_i3vC3FPesECf3ePP5uIOpw_12_0"/>
      <w:bookmarkStart w:id="1716" w:name="Tc_7R_N7CwA_Ua6xedWRa4TdQ_11_7"/>
      <w:bookmarkStart w:id="1717" w:name="Tc_rsc0A8JViESy6xAPQdvJbA_11_4"/>
      <w:bookmarkStart w:id="1718" w:name="Tc_K6hLWBSD7EWz4c-APpTabg_11_2"/>
      <w:bookmarkStart w:id="1719" w:name="Tc_--CylEA3gUO0ICrO4UWCDw_11_0"/>
      <w:bookmarkStart w:id="1720" w:name="Tc_YphMMwdAFEiR6svd_2kuRw_10_0"/>
      <w:bookmarkStart w:id="1721" w:name="Tc_V2b5ZVXJKke4k8KpWag7Xg_9_0"/>
      <w:bookmarkStart w:id="1722" w:name="Tc_6HIVtETtaE-fiUkPU0s77Q_7_7"/>
      <w:bookmarkStart w:id="1723" w:name="Tc_Q2CDi7j8VkKy-f5I4iBHOA_7_4"/>
      <w:bookmarkStart w:id="1724" w:name="Tc_cW_DG77jsU6dowtsC0eBWA_6_2"/>
      <w:bookmarkStart w:id="1725" w:name="Tc_b8B2GC9VhUqT5SGgeujFTQ_6_0"/>
      <w:bookmarkStart w:id="1726" w:name="Tc_QqT29Gh4DEu_jex0rvJekA_5_7"/>
      <w:bookmarkStart w:id="1727" w:name="Tc_-K1LAZNuLkybgTMmpIXayQ_5_4"/>
      <w:bookmarkStart w:id="1728" w:name="Tc_HdFjrHLac0O4MAq0cBLbBg_5_2"/>
      <w:bookmarkStart w:id="1729" w:name="Tc_RRAy2ngxs0yg2tfGg_nzuQ_5_0"/>
      <w:bookmarkStart w:id="1730" w:name="Tc_AjbszrvlIEuy_AsZ8fbVgA_4_0"/>
      <w:bookmarkStart w:id="1731" w:name="Tc_0Zojy_iVLkSAy7jv0EL0Mg_3_0"/>
      <w:bookmarkStart w:id="1732" w:name="Tc_9GVoMcWsAUKNeJYiHjP_4A_2_7"/>
      <w:bookmarkStart w:id="1733" w:name="Tc_dmuNgvok3E6Ylx9WwH3naQ_2_4"/>
      <w:bookmarkStart w:id="1734" w:name="Tc_tJqMaSuAhUWTmgeniNjNaA_2_2"/>
      <w:bookmarkStart w:id="1735" w:name="Tc_FgOWOD6Bz0CkvKrpLcMc3w_2_0"/>
      <w:bookmarkStart w:id="1736" w:name="Tc_Oe40RNdO2kKm1J_tF26ebA_1_2"/>
      <w:bookmarkStart w:id="1737" w:name="Tc_E-QfPmNrhUixCU-27mil6A_16_7"/>
      <w:bookmarkStart w:id="1738" w:name="Tc_5ekyOx0Npk-I0xdfyKVwig_16_4"/>
      <w:bookmarkStart w:id="1739" w:name="Tc_w5BbqaYhj02N31HWreDRxQ_15_2"/>
      <w:bookmarkStart w:id="1740" w:name="Tc_sOWg7jDv0EO6YdHEvva5BQ_15_0"/>
      <w:bookmarkStart w:id="1741" w:name="Tc_Xr9kXvLRtUi4PW9dChY9Gg_14_2"/>
      <w:bookmarkStart w:id="1742" w:name="Tc_86PFNKnPR0-RFzoDQHnOaA_14_0"/>
      <w:bookmarkStart w:id="1743" w:name="Tc_BVLRtiNZTUObJnuwyhZpOA_13_0"/>
      <w:bookmarkStart w:id="1744" w:name="Tc_YHhhjfbyREGWrkgpyMfQIw_12_5"/>
      <w:bookmarkStart w:id="1745" w:name="Tc_MELJF3qVGEu8HksjJghepg_12_2"/>
      <w:bookmarkStart w:id="1746" w:name="Tc_i3vC3FPesECf3ePP5uIOpw_12_0"/>
      <w:bookmarkStart w:id="1747" w:name="Tc_7R_N7CwA_Ua6xedWRa4TdQ_11_7"/>
      <w:bookmarkStart w:id="1748" w:name="Tc_rsc0A8JViESy6xAPQdvJbA_11_4"/>
      <w:bookmarkStart w:id="1749" w:name="Tc_K6hLWBSD7EWz4c-APpTabg_11_2"/>
      <w:bookmarkStart w:id="1750" w:name="Tc_--CylEA3gUO0ICrO4UWCDw_11_0"/>
      <w:bookmarkStart w:id="1751" w:name="Tc_YphMMwdAFEiR6svd_2kuRw_10_0"/>
      <w:bookmarkStart w:id="1752" w:name="Tc_V2b5ZVXJKke4k8KpWag7Xg_9_0"/>
      <w:bookmarkStart w:id="1753" w:name="Tc_6HIVtETtaE-fiUkPU0s77Q_7_7"/>
      <w:bookmarkStart w:id="1754" w:name="Tc_Q2CDi7j8VkKy-f5I4iBHOA_7_4"/>
      <w:bookmarkStart w:id="1755" w:name="Tc_cW_DG77jsU6dowtsC0eBWA_6_2"/>
      <w:bookmarkStart w:id="1756" w:name="Tc_b8B2GC9VhUqT5SGgeujFTQ_6_0"/>
      <w:bookmarkStart w:id="1757" w:name="Tc_QqT29Gh4DEu_jex0rvJekA_5_7"/>
      <w:bookmarkStart w:id="1758" w:name="Tc_-K1LAZNuLkybgTMmpIXayQ_5_4"/>
      <w:bookmarkStart w:id="1759" w:name="Tc_HdFjrHLac0O4MAq0cBLbBg_5_2"/>
      <w:bookmarkStart w:id="1760" w:name="Tc_RRAy2ngxs0yg2tfGg_nzuQ_5_0"/>
      <w:bookmarkStart w:id="1761" w:name="Tc_AjbszrvlIEuy_AsZ8fbVgA_4_0"/>
      <w:bookmarkStart w:id="1762" w:name="Tc_0Zojy_iVLkSAy7jv0EL0Mg_3_0"/>
      <w:bookmarkStart w:id="1763" w:name="Tc_9GVoMcWsAUKNeJYiHjP_4A_2_7"/>
      <w:bookmarkStart w:id="1764" w:name="Tc_dmuNgvok3E6Ylx9WwH3naQ_2_4"/>
      <w:bookmarkStart w:id="1765" w:name="Tc_tJqMaSuAhUWTmgeniNjNaA_2_2"/>
      <w:bookmarkStart w:id="1766" w:name="Tc_FgOWOD6Bz0CkvKrpLcMc3w_2_0"/>
      <w:bookmarkStart w:id="1767" w:name="Tc_Oe40RNdO2kKm1J_tF26ebA_1_2"/>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p>
    <w:tbl>
      <w:tblPr>
        <w:tblW w:w="2387" w:type="dxa"/>
        <w:jc w:val="left"/>
        <w:tblInd w:w="0" w:type="dxa"/>
        <w:tblLayout w:type="fixed"/>
        <w:tblCellMar>
          <w:top w:w="0" w:type="dxa"/>
          <w:left w:w="0" w:type="dxa"/>
          <w:bottom w:w="0" w:type="dxa"/>
          <w:right w:w="0" w:type="dxa"/>
        </w:tblCellMar>
      </w:tblPr>
      <w:tblGrid>
        <w:gridCol w:w="376"/>
        <w:gridCol w:w="2011"/>
      </w:tblGrid>
      <w:tr>
        <w:trPr/>
        <w:tc>
          <w:tcPr>
            <w:tcW w:w="37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20.</w:t>
            </w:r>
          </w:p>
        </w:tc>
        <w:tc>
          <w:tcPr>
            <w:tcW w:w="201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Financial Instruments</w:t>
            </w:r>
          </w:p>
        </w:tc>
      </w:tr>
    </w:tbl>
    <w:p>
      <w:pPr>
        <w:pStyle w:val="TextBody"/>
        <w:bidi w:val="0"/>
        <w:spacing w:before="0" w:after="240"/>
        <w:ind w:left="36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table presents the Company’s financial instruments, including those measured at fair value on a recurring basis and their classification within the fair value hierarchy.</w:t>
      </w:r>
    </w:p>
    <w:p>
      <w:pPr>
        <w:pStyle w:val="TextBody"/>
        <w:bidi w:val="0"/>
        <w:spacing w:before="0" w:after="240"/>
        <w:ind w:left="0" w:right="0" w:firstLine="360"/>
        <w:jc w:val="both"/>
        <w:rPr/>
      </w:pPr>
      <w:r>
        <w:rPr/>
        <w:t>​</w:t>
      </w:r>
    </w:p>
    <w:tbl>
      <w:tblPr>
        <w:tblW w:w="9247" w:type="dxa"/>
        <w:jc w:val="left"/>
        <w:tblInd w:w="0" w:type="dxa"/>
        <w:tblLayout w:type="fixed"/>
        <w:tblCellMar>
          <w:top w:w="0" w:type="dxa"/>
          <w:left w:w="0" w:type="dxa"/>
          <w:bottom w:w="0" w:type="dxa"/>
          <w:right w:w="0" w:type="dxa"/>
        </w:tblCellMar>
      </w:tblPr>
      <w:tblGrid>
        <w:gridCol w:w="4231"/>
        <w:gridCol w:w="346"/>
        <w:gridCol w:w="931"/>
        <w:gridCol w:w="346"/>
        <w:gridCol w:w="319"/>
        <w:gridCol w:w="1182"/>
        <w:gridCol w:w="346"/>
        <w:gridCol w:w="328"/>
        <w:gridCol w:w="1218"/>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686685" cy="175260"/>
                      <wp:effectExtent l="0" t="0" r="0" b="0"/>
                      <wp:wrapNone/>
                      <wp:docPr id="408" name="Frame386"/>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09"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91185" cy="175260"/>
                      <wp:effectExtent l="0" t="0" r="0" b="0"/>
                      <wp:wrapNone/>
                      <wp:docPr id="410" name="Frame3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1"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2565" cy="175260"/>
                      <wp:effectExtent l="0" t="0" r="0" b="0"/>
                      <wp:wrapNone/>
                      <wp:docPr id="412" name="Frame39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750570" cy="175260"/>
                      <wp:effectExtent l="0" t="0" r="0" b="0"/>
                      <wp:wrapNone/>
                      <wp:docPr id="413" name="Frame391"/>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4"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8280" cy="175260"/>
                      <wp:effectExtent l="0" t="0" r="0" b="0"/>
                      <wp:wrapNone/>
                      <wp:docPr id="415" name="Frame393"/>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773430" cy="175260"/>
                      <wp:effectExtent l="0" t="0" r="0" b="0"/>
                      <wp:wrapNone/>
                      <wp:docPr id="416" name="Frame394"/>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r>
      <w:tr>
        <w:trPr/>
        <w:tc>
          <w:tcPr>
            <w:tcW w:w="4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Categories of Financial Instruments</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Hierarchy</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righ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Amortized cost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  ​</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117,633</w:t>
            </w:r>
          </w:p>
        </w:tc>
        <w:tc>
          <w:tcPr>
            <w:tcW w:w="34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taxes and other receivables (Note 6)</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664</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118,297</w:t>
            </w:r>
          </w:p>
        </w:tc>
        <w:tc>
          <w:tcPr>
            <w:tcW w:w="346" w:type="dxa"/>
            <w:tcBorders/>
            <w:shd w:fill="CCEEFF" w:val="clear"/>
            <w:vAlign w:val="center"/>
          </w:tcPr>
          <w:p>
            <w:pPr>
              <w:pStyle w:val="TableContents"/>
              <w:bidi w:val="0"/>
              <w:spacing w:before="0" w:after="0"/>
              <w:ind w:left="0" w:right="0" w:hanging="0"/>
              <w:jc w:val="left"/>
              <w:rPr/>
            </w:pPr>
            <w:r>
              <w:rPr/>
              <w:t> </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Amortized cost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  ​</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 (Note 13)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46,048</w:t>
            </w:r>
          </w:p>
        </w:tc>
        <w:tc>
          <w:tcPr>
            <w:tcW w:w="34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through profit or loss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liability (Note 10)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Level 3</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145,000</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liability (Note 16)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Level 3</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13,351</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204,399</w:t>
            </w:r>
          </w:p>
        </w:tc>
        <w:tc>
          <w:tcPr>
            <w:tcW w:w="346" w:type="dxa"/>
            <w:tcBorders/>
            <w:vAlign w:val="center"/>
          </w:tcPr>
          <w:p>
            <w:pPr>
              <w:pStyle w:val="TableContents"/>
              <w:bidi w:val="0"/>
              <w:spacing w:before="0" w:after="0"/>
              <w:ind w:left="0" w:right="0" w:hanging="0"/>
              <w:jc w:val="left"/>
              <w:rPr/>
            </w:pPr>
            <w:r>
              <w:rPr/>
              <w:t> </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69,441</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Related Party Transactions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On March 22, 2024, the Company entered into an Unsecured Credit Facility (the “2024 Credit Facility”) with Gerard Barron, the Company’s Chief Executive Officer and Chairman, and ERAS Capital LLC, the family fund of one of the Company’s directors, (collectively, the “2024 Lenders”), pursuant to which, the Company may borrow from the 2024 Lenders up to $20 million in the aggregate ($10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The Company will pay an underutilization fee equal to 4.0% per annum payable semi-annually for any amounts that remain undrawn under the 2024 Credit Facility. The 2024 Credit Facility also contains customary events of default. On August 13, 2024, the Company entered into the First Amendment to the 2024 Credit Facility with the 2024 Lenders, to increase the borrowing limit of the 2024 Credit Facility to $25 million in the aggregate ($12.5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On November 14, 2024, the Company entered into the Second Amendment to the 2024 Credit Facility with the 2024 Lenders, to increase the borrowing limit to $38 million in the aggregate ($19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and to extend the maturity of the 2024 Credit Facility to December 31, 2025. As per the Second Amendment, the rate of underutilization fee was retroactively increased from March 22, 2024, to 6.5% on any undrawn amounts under the 2024 Credit Facility. On March 26, 2025, the Company entered into the Third Amendment to the 2024 Credit Facility with the 2024 Lenders, to, among other things, increase the borrowing limit to $44 million in the aggregate ($22 million from each of the 2024 Lenders) and extend the maturity of the 2024 Credit Facility to June 30, 2026 with the 2024 Lenders having an option to extend the maturity date by up to two additional one year periods. As per the Third Amendment to the 2024 Credit Facility, the underutilization fees are to be paid quarterly in cash or shares at the 2024 Lenders election and the 2024 Lenders have an option to terminate the credit facility upon certain financing events.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repaid $4.3 million respectively of the drawn amount and did not draw from the 2024 Credit Facility any further (December 31, 2024: The Company drew $4.3 million from the 2024 Credit Facility and made no repayments). For the year ended December 31, 2025, the Company incurred $0.1 million as interest expense, and $2.6 million as underutilization fees (December 31, 2024, the interest incurred amounted to $0.2 million and underutilization fees incurred amounted to $1.1 million). In 2025, the Company repaid interest amounting to $0.4 million (December 31, 2024: $25 thousand), and underutilization fees amounting to $2.8 million (December 31, 2024: $0.1 million). As of December 31, 2025, the amount payable as underutilization fees was $0.7 million and was recorded as accounts payable (Note 13).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2025 Registered Direct Offering included $20 million from the participation of parties related with one of the Company’s directors appointed in the Annual General Meeting held in the second quarter of 2025.</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During the second quarter of 2025, the Company entered into consulting agreements with two individuals who subsequently became directors to provide strategic advisory services to the Company. The consideration for the consulting services provided by the directors was in the form of RSUs and stock options (Note 18).</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incurred consulting fees of $0.3 million paid to immediate family members of management, which are included in general and administrative expenses (2024: $0.1 million). As at December 31, 2025, consulting fees payable to immediate family members of management was $57 thousand (2024: $14 thousand).</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One of the Company’s directors is the Chairman of Robertsbridge Consultants Limited, which provides the Company with consulting services. During the year ended December 31, 2025, Robertsbridge Consultants Limited provided consulting services amounting to $5 thousand, recorded in general and administrative expenses (2024: $26 thousand). As at </w:t>
      </w:r>
      <w:r>
        <w:rPr>
          <w:rFonts w:ascii="Times New Roman;Times;serif" w:hAnsi="Times New Roman;Times;serif"/>
          <w:b w:val="false"/>
          <w:i w:val="false"/>
          <w:caps w:val="false"/>
          <w:smallCaps w:val="false"/>
          <w:sz w:val="20"/>
        </w:rPr>
        <w:t>December 31, 2025</w:t>
      </w:r>
      <w:r>
        <w:rPr>
          <w:rFonts w:ascii="Times New Roman;Times;serif" w:hAnsi="Times New Roman;Times;serif"/>
          <w:sz w:val="20"/>
        </w:rPr>
        <w:t>, the amount payable to Robertsbridge Consultants Limited was $nil.</w:t>
      </w:r>
    </w:p>
    <w:p>
      <w:pPr>
        <w:pStyle w:val="TextBody"/>
        <w:bidi w:val="0"/>
        <w:spacing w:before="0" w:after="0"/>
        <w:ind w:left="360" w:right="0" w:hanging="0"/>
        <w:jc w:val="both"/>
        <w:rPr>
          <w:rFonts w:ascii="Times New Roman;Times;serif" w:hAnsi="Times New Roman;Times;serif"/>
          <w:b w:val="false"/>
          <w:sz w:val="20"/>
        </w:rPr>
      </w:pPr>
      <w:r>
        <w:rPr>
          <w:rFonts w:ascii="Times New Roman;Times;serif" w:hAnsi="Times New Roman;Times;serif"/>
          <w:b w:val="false"/>
          <w:sz w:val="20"/>
        </w:rPr>
        <w:t>Apart from the above-mentioned transactions, the Company had transactions with Allseas which are detailed in Note 8 and issued share-based grants to the Company’s directors which are detailed in Note 18 and received proceeds from investees which are detailed in Note 9.</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Commitments and Contingent Liabilities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part of the NORI Exploration Contract with the ISA, NORI submitted a periodic review report to the ISA which included a five-year plan covering 2022 to 2026: NORI is currently implementing its approved five-year plan. NORI’s exploration contract expires on July 21, 2026. NORI submitted an application for a five-year extension that is currently under review. The cost of the proposed five-year plan of work included in NORI’s extension application is dependent on the ISA’s approval of the NORI extension. Work plans are reviewed annually by NORI, agreed with the ISA and may be subject to change depending on NORI’s progress to date.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part of the TOML Exploration Contract with the ISA, TOML submitted a periodic review report to the ISA which included a five-year plan covering 2022 to 2026: TOML is currently implementing its approved plan, which included an estimated five-year expenditure of up to $44 million. The five-year estimated expenditure is indicative and subject to change, TOML will review the program regularly and TOML will inform the ISA of any changes through its annual reports. TOML’s exploration contract expires on January 10, 2027. TOML is required to submit an application for extension no later than six months before the expiration of the contract. TOML intends to submit an application for a five-year extension in 2026.</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Offtake Agreements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Sponsorship Agreements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July 5, 2017, the Republic of Nauru, the Nauru Seabed Minerals Authority and NORI entered into a sponsorship agreement (the “NORI Sponsorship Agreement”) formalizing certain obligations of the parties in relation to NORI’s exploration and potential collection of nodules within the NORI Contract Area of the CCZ. On May 29, 2025 the Republic of Nauru and NORI signed a revised Sponsorship Agreement, updating the terms of the Agreement signed between the parties in 2017.</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revised Sponsorship Agreement will remain in force unless terminated by mutual agreement of the parties or earlier terminated in accordance with its terms, including in the event of a material breach by either party or upon the assignment of NORI’s rights and the transfer of sponsorship to another sponsoring State. Under the agreement, NORI will pay the Republic of Nauru a seabed mineral recovery payment of $2 per tonne of polymetallic nodules recovered under an ISA contract, subject to annual inflation adjustment. In addition, NORI will pay an annual administration fee, initially capped at $500,000, to support the Republic’s administration of its sponsorship and regulatory oversight. The agreement also provides for potential continuity payments to the Republic with the applicable payment amounts and schedule to be determined in accordance with the terms of the agreement. During any period in which such continuity payments are made, NORI has agreed to maintain an office in Nauru and make annual investments in local presence, community initiatives and training and capacity-building programs for Nauruan nationals. In connection with the revised Sponsorship Agreement, the Company issued to the Republic of Nauru warrants to purchase common shares of the Company on terms previously disclosed.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and again on August 4,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revised Sponsorship Agreement between the Government of the Kingdom of Tonga, and TOML will remain in force unless terminated by mutual agreement of the parties or earlier terminated in accordance with its terms, including in the event of a material breach by either party. Under the agreement, the Kingdom of Tonga will continue to sponsor TOML’s seabed mineral activities in the ISA contract area. Upon commencement of commercial recovery of polymetallic nodules under an ISA contract, TOML will pay the Tonga Seabed Minerals Authority a commercial recovery payment of $2 per tonne of polymetallic nodules recovered from the contract area, subject to annual inflation adjustment. In addition, TOML will pay an annual administration fee of $90,000, which may increase by up to 5% annually, to support the administration of Tonga’s sponsorship and regulatory oversight. The agreement also provides for potential continuity benefit payments to Tonga. The applicable payment amounts and schedule will be determined in accordance with the terms of the agreement. During any period in which such continuity benefits are provided, TOML has agreed to maintain an office in Tonga and make annual investments in local presence, community initiatives and training and capacity-building programs for Tongan nationals.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Contingent Liability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January 23, 2023,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the Company’s motion to dismiss the breach of the Subscription Agreement claim. The appeal was heard on November 8, 2024. The NY Appellate Division upheld the lower court’s ruling in December 2024, moving the case into the discovery phase, which is currently ongoing. At this time no further court proceedings or trial date have been set. There is no assurance that the Company will be successful in its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8, 2024, a shareholder filed a putative class action against the Company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Securities Exchange Act of 1934, as amended (the “Exchange Act”) by making false and/or misleading statements and/or failing to disclose information regarding the classification of the non-financial asset received from the Company’s partnership with Low Carbon Royalties Inc. and the derecognition of the capitalized exploration contract related to NORI. The alleged misstatements and omissions pertain to our initial classification of this non-financial asset as a gain on disposition (being a sale of future revenue) and subsequent reclassification thereof as a royalty liability (and re-capitalization of the exploration contract) and the restatement of the Company’s previously issued financial statements as a result thereof for the three months ended March 31, 2023, the six months ended June 30, 2023 and the nine months ended September 30, 2023 in March 2024. The complaint purports to represent a class of shareholders who acquired the Company’s securities between May 12, 2023, and March 25, 2024, and seeks to recover compensable damages caused by the alleged wrongdoings. On February 6, 2025, the Court appointed a lead plaintiff. An amended complaint was filed on March 6, 2025. Pursuant to court-approved scheduling, the Company filed a motion to dismiss on April 10, 2025. The lead plaintiff filed an opposition on May 15, 2025, and the Company filed its reply on June 5, 2025. On June 18, 2025, the Court granted the Company’s motion to dismiss in full but granted plaintiffs leave to amend. The plaintiffs filed a Second Amended Complaint on July 2, 2025. The Company’s motion to dismiss the Second Amended Complaint was filed on August 6, 2025, the plaintiff’s opposition was filed on September 9, 2025, and the Company’s reply was filed by September 23, 2025. On January 20, 2026, the Court granted the Company’s motion to dismiss with prejudice, and the case was dismissed in its entirety. No appeal was filed, and the matter is now considered closed.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On January 16, 2026, American Metal Inc. and American Metal Resources LLC filed a civil claim against TMC The Metals Company Inc. and The Metals Company USA LLC in the Supreme Court of British Columbia, Vancouver Registry, captioned American Metal Inc. and American Metal Resources LLC v. TMC The Metals Company Inc. and The Metals Company USA LLC, No. S260335. The complaint alleges, among other things, breach of contract, breach of confidence and related claims arising from discussions between the parties regarding potential collaboration and the submission of applications for deep seabed mineral exploration licenses to the NOAA. On March 3, 2026, the Company filed a response denying the material allegations and asserting a counterclaim against Robert Heydon and the plaintiffs alleging, among other things, breach of contract, breach of confidence and breach of fiduciary duty in connection with the alleged misuse of the Company’s confidential information. The litigation is in its early stages and no trial date has been set. The Company intends to vigorously defend against the claims and pursue our counterclaim. At this time, the Company is unable to estimate the potential loss, if any, associated with this matter.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68" w:name="Tc_P3OclGOWak-53Ti4R9dGzw_4_5"/>
      <w:bookmarkStart w:id="1769" w:name="Tc_nGU_GouZFEyTPi0vYSjwxg_4_2"/>
      <w:bookmarkStart w:id="1770" w:name="Tc_9CepDYA2i06tivzBA1dHcQ_4_0"/>
      <w:bookmarkStart w:id="1771" w:name="Tc_Dwrygup2AUi7gaKIDJTYrg_3_0"/>
      <w:bookmarkStart w:id="1772" w:name="Tc_G8gQ5gR_oEyr_Ez8OtUE9A_2_5"/>
      <w:bookmarkStart w:id="1773" w:name="Tc_KyYMsIx7Cku9UTylHpBKig_2_2"/>
      <w:bookmarkStart w:id="1774" w:name="Tc_M4i-4p8ugU2BBcbKsCgFMQ_2_0"/>
      <w:bookmarkStart w:id="1775" w:name="Tc_zd9z4LTctU6BkVUGuYwagg_1_5"/>
      <w:bookmarkStart w:id="1776" w:name="Tc_yXIb620hpUWIubO9JWPZNw_1_2"/>
      <w:bookmarkStart w:id="1777" w:name="_5f21dc51_1cde_4736_a55e_a5afd3e8693f"/>
      <w:bookmarkStart w:id="1778" w:name="Tc_w_JvcGTqdEqlI4WD5eUFJQ_3_5"/>
      <w:bookmarkStart w:id="1779" w:name="Tc_himdLsqbvEeUmZ_5LVEZrw_3_2"/>
      <w:bookmarkStart w:id="1780" w:name="Tc_3geA1EQ3s0GdyS4ck-VJzg_3_0"/>
      <w:bookmarkStart w:id="1781" w:name="Tc_y-21K-S8D0OLGGp1ILlgbQ_2_5"/>
      <w:bookmarkStart w:id="1782" w:name="Tc_cK9CuTuXEU6fbT56UGxvHQ_2_2"/>
      <w:bookmarkStart w:id="1783" w:name="Tc_4STlOqMyBUa99obWLyNeGw_2_0"/>
      <w:bookmarkStart w:id="1784" w:name="Tc_wgWTzDEPM0KiqE1DjY02SQ_1_5"/>
      <w:bookmarkStart w:id="1785" w:name="Tc_ahpxCVPNkU6NTW5ECFUMeg_1_2"/>
      <w:bookmarkStart w:id="1786" w:name="Tc_OVeVKdaPS0upVrS2Aw4Zbg_1_0"/>
      <w:bookmarkStart w:id="1787" w:name="_966bf815_2358_4641_ab8e_b8c4c3b15924"/>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r>
        <w:rPr>
          <w:rFonts w:ascii="Times New Roman;Times;serif" w:hAnsi="Times New Roman;Times;serif"/>
          <w:b/>
          <w:i w:val="false"/>
          <w:caps w:val="false"/>
          <w:smallCaps w:val="false"/>
          <w:sz w:val="20"/>
        </w:rPr>
        <w:t>23.</w:t>
      </w:r>
      <w:r>
        <w:rPr>
          <w:rFonts w:ascii="Times New Roman;Times;serif" w:hAnsi="Times New Roman;Times;serif"/>
          <w:b/>
          <w:sz w:val="20"/>
        </w:rPr>
        <w:t>Segmented Information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Company’s Chief Executive Officer is the chief operating decision maker (“CODM”) and reviews financial information on a consolidated basis to allocate resources and assess performance. Accordingly, the Company operates as a single operating and reportable segment, namely exploration of seafloor polymetallic nodules, which includes the development of a metallurgical process to treat such seafloor polymetallic nodules. Details on the geographical segmentation of the Company’s long-lived assets based on where each legal entity is domiciled are as follows:</w:t>
      </w:r>
    </w:p>
    <w:p>
      <w:pPr>
        <w:pStyle w:val="TextBody"/>
        <w:bidi w:val="0"/>
        <w:spacing w:before="0" w:after="240"/>
        <w:ind w:left="360" w:right="0" w:hanging="0"/>
        <w:jc w:val="both"/>
        <w:rPr/>
      </w:pPr>
      <w:r>
        <w:rPr/>
        <w:t>​</w:t>
      </w:r>
    </w:p>
    <w:tbl>
      <w:tblPr>
        <w:tblW w:w="4640" w:type="dxa"/>
        <w:jc w:val="left"/>
        <w:tblInd w:w="0" w:type="dxa"/>
        <w:tblLayout w:type="fixed"/>
        <w:tblCellMar>
          <w:top w:w="0" w:type="dxa"/>
          <w:left w:w="0" w:type="dxa"/>
          <w:bottom w:w="0" w:type="dxa"/>
          <w:right w:w="0" w:type="dxa"/>
        </w:tblCellMar>
      </w:tblPr>
      <w:tblGrid>
        <w:gridCol w:w="901"/>
        <w:gridCol w:w="346"/>
        <w:gridCol w:w="501"/>
        <w:gridCol w:w="1000"/>
        <w:gridCol w:w="346"/>
        <w:gridCol w:w="442"/>
        <w:gridCol w:w="1104"/>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72135" cy="175260"/>
                      <wp:effectExtent l="0" t="0" r="0" b="0"/>
                      <wp:wrapNone/>
                      <wp:docPr id="417" name="Frame39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18"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318135" cy="175260"/>
                      <wp:effectExtent l="0" t="0" r="0" b="0"/>
                      <wp:wrapNone/>
                      <wp:docPr id="419" name="Frame397"/>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35000" cy="175260"/>
                      <wp:effectExtent l="0" t="0" r="0" b="0"/>
                      <wp:wrapNone/>
                      <wp:docPr id="420" name="Frame398"/>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1"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80670" cy="175260"/>
                      <wp:effectExtent l="0" t="0" r="0" b="0"/>
                      <wp:wrapNone/>
                      <wp:docPr id="422" name="Frame40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701040" cy="175260"/>
                      <wp:effectExtent l="0" t="0" r="0" b="0"/>
                      <wp:wrapNone/>
                      <wp:docPr id="423" name="Frame401"/>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2024</w:t>
            </w:r>
          </w:p>
        </w:tc>
      </w:tr>
      <w:tr>
        <w:trPr/>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Nauru</w:t>
            </w:r>
          </w:p>
        </w:tc>
        <w:tc>
          <w:tcPr>
            <w:tcW w:w="346" w:type="dxa"/>
            <w:tcBorders/>
            <w:shd w:fill="CCEEFF" w:val="clear"/>
            <w:vAlign w:val="center"/>
          </w:tcPr>
          <w:p>
            <w:pPr>
              <w:pStyle w:val="TableContents"/>
              <w:bidi w:val="0"/>
              <w:spacing w:before="0" w:after="0"/>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519</w:t>
            </w:r>
          </w:p>
        </w:tc>
        <w:tc>
          <w:tcPr>
            <w:tcW w:w="346" w:type="dxa"/>
            <w:tcBorders/>
            <w:shd w:fill="CCEEFF" w:val="cle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50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519</w:t>
            </w:r>
          </w:p>
        </w:tc>
        <w:tc>
          <w:tcPr>
            <w:tcW w:w="346" w:type="dxa"/>
            <w:tcBorders/>
            <w:vAlign w:val="center"/>
          </w:tcPr>
          <w:p>
            <w:pPr>
              <w:pStyle w:val="TableContents"/>
              <w:bidi w:val="0"/>
              <w:spacing w:before="0" w:after="0"/>
              <w:ind w:left="0" w:right="0" w:hanging="0"/>
              <w:jc w:val="left"/>
              <w:rPr/>
            </w:pPr>
            <w:r>
              <w:rPr/>
              <w:t> </w:t>
            </w:r>
          </w:p>
        </w:tc>
        <w:tc>
          <w:tcPr>
            <w:tcW w:w="44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771</w:t>
            </w:r>
          </w:p>
        </w:tc>
      </w:tr>
    </w:tbl>
    <w:p>
      <w:pPr>
        <w:pStyle w:val="TextBody"/>
        <w:bidi w:val="0"/>
        <w:spacing w:before="0" w:after="0"/>
        <w:ind w:left="0" w:right="0" w:hanging="0"/>
        <w:jc w:val="left"/>
        <w:rPr/>
      </w:pPr>
      <w:r>
        <w:rPr/>
        <w:t>​</w:t>
      </w:r>
    </w:p>
    <w:tbl>
      <w:tblPr>
        <w:tblW w:w="3963" w:type="dxa"/>
        <w:jc w:val="left"/>
        <w:tblInd w:w="0" w:type="dxa"/>
        <w:tblLayout w:type="fixed"/>
        <w:tblCellMar>
          <w:top w:w="0" w:type="dxa"/>
          <w:left w:w="0" w:type="dxa"/>
          <w:bottom w:w="0" w:type="dxa"/>
          <w:right w:w="0" w:type="dxa"/>
        </w:tblCellMar>
      </w:tblPr>
      <w:tblGrid>
        <w:gridCol w:w="946"/>
        <w:gridCol w:w="346"/>
        <w:gridCol w:w="307"/>
        <w:gridCol w:w="833"/>
        <w:gridCol w:w="346"/>
        <w:gridCol w:w="281"/>
        <w:gridCol w:w="904"/>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00710" cy="175260"/>
                      <wp:effectExtent l="0" t="0" r="0" b="0"/>
                      <wp:wrapNone/>
                      <wp:docPr id="424" name="Frame40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5"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94945" cy="175260"/>
                      <wp:effectExtent l="0" t="0" r="0" b="0"/>
                      <wp:wrapNone/>
                      <wp:docPr id="426" name="Frame40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28955" cy="175260"/>
                      <wp:effectExtent l="0" t="0" r="0" b="0"/>
                      <wp:wrapNone/>
                      <wp:docPr id="427" name="Frame405"/>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28"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78435" cy="175260"/>
                      <wp:effectExtent l="0" t="0" r="0" b="0"/>
                      <wp:wrapNone/>
                      <wp:docPr id="429" name="Frame40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74040" cy="175260"/>
                      <wp:effectExtent l="0" t="0" r="0" b="0"/>
                      <wp:wrapNone/>
                      <wp:docPr id="430" name="Frame40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46" w:type="dxa"/>
            <w:tcBorders/>
            <w:shd w:fill="CCEEFF" w:val="clear"/>
            <w:vAlign w:val="center"/>
          </w:tcPr>
          <w:p>
            <w:pPr>
              <w:pStyle w:val="TableContents"/>
              <w:bidi w:val="0"/>
              <w:spacing w:before="0" w:after="0"/>
              <w:ind w:left="0" w:right="0" w:hanging="0"/>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2,125</w:t>
            </w:r>
          </w:p>
        </w:tc>
        <w:tc>
          <w:tcPr>
            <w:tcW w:w="346" w:type="dxa"/>
            <w:tcBorders/>
            <w:shd w:fill="CCEEFF" w:val="clear"/>
            <w:vAlign w:val="center"/>
          </w:tcPr>
          <w:p>
            <w:pPr>
              <w:pStyle w:val="TableContents"/>
              <w:bidi w:val="0"/>
              <w:spacing w:before="0" w:after="0"/>
              <w:ind w:left="0" w:right="0" w:hanging="0"/>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2,125</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Income Taxes</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Reconciliation of Effective Tax Rate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subject to Canadian federal statutory tax for the estimated assessable profit for the years ended December 31, 2025 at a rate of 25%. The Company has made no assessable profit during the abovementioned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1788" w:name="Tc_siaxroD33kuByRdEfKribA_27_11"/>
      <w:bookmarkStart w:id="1789" w:name="Tc_btyQRmtyCUagDo5qIIsU-g_27_7"/>
      <w:bookmarkStart w:id="1790" w:name="Tc_St0y__w95k20DB6dSyXrtg_27_2"/>
      <w:bookmarkStart w:id="1791" w:name="Tc_lSuDX4MfS0-a-r34jtnXuA_26_11"/>
      <w:bookmarkStart w:id="1792" w:name="Tc_TrSuZS3dsUq1jbcZrFlNWw_26_8"/>
      <w:bookmarkStart w:id="1793" w:name="Tc_CvugoAeqgEWVB7Y_lHXOEg_26_6"/>
      <w:bookmarkStart w:id="1794" w:name="Tc_1fOOhovNl06-IYicvDweEQ_25_11"/>
      <w:bookmarkStart w:id="1795" w:name="Tc_G_kIK0aGJUCBf_8h503hRw_25_6"/>
      <w:bookmarkStart w:id="1796" w:name="Tc_knRznz-inkC0R1f5uMhSOQ_25_0"/>
      <w:bookmarkStart w:id="1797" w:name="Tc_QYwqzTtymkeRzLCJCzwS0Q_24_10"/>
      <w:bookmarkStart w:id="1798" w:name="Tc_N2Wr37IqDUeWAmU8Quel6w_24_8"/>
      <w:bookmarkStart w:id="1799" w:name="Tc_jW2QfXvLkEiAeEUPdC_W0Q_24_6"/>
      <w:bookmarkStart w:id="1800" w:name="Tc_U3HR9coCPUmq8TEzKdfPig_24_0"/>
      <w:bookmarkStart w:id="1801" w:name="Tc_2OPqj5SE80iIBG31aTEZ9A_22_11"/>
      <w:bookmarkStart w:id="1802" w:name="Tc_ExuLHM0UWEWZUfTmoPDwXQ_22_7"/>
      <w:bookmarkStart w:id="1803" w:name="Tc_IHG32E2uukGzGtAB3LYHFg_22_6"/>
      <w:bookmarkStart w:id="1804" w:name="Tc_LZ9b-edLiU-vXsZUUstGGQ_22_2"/>
      <w:bookmarkStart w:id="1805" w:name="Tc__WFoum1pfE6CVOlCKs3hCA_22_0"/>
      <w:bookmarkStart w:id="1806" w:name="Tc_FJWTGcwqkk-ni-ZHfJPCRw_21_10"/>
      <w:bookmarkStart w:id="1807" w:name="Tc_Bi8RybYOx0y3Eyq8-EuDPg_21_8"/>
      <w:bookmarkStart w:id="1808" w:name="Tc_9rSDVnBXRkeFxCVe5yoPmQ_21_6"/>
      <w:bookmarkStart w:id="1809" w:name="Tc_U2nAVNY-rUe_8AvO2ogkKw_21_0"/>
      <w:bookmarkStart w:id="1810" w:name="Tc_LN1JmzZNp0-QssC79UD2yw_20_10"/>
      <w:bookmarkStart w:id="1811" w:name="Tc_kZdN0TYYB0GGCYNtiVt29Q_20_8"/>
      <w:bookmarkStart w:id="1812" w:name="Tc_SigfDqlnlUqpzq1x3Ji29g_20_6"/>
      <w:bookmarkStart w:id="1813" w:name="Tc_7bDw-vCHCUCQyy7It2Jf6g_20_0"/>
      <w:bookmarkStart w:id="1814" w:name="Tc_SpNN4TR7R0eW0xLBKwtXGQ_19_10"/>
      <w:bookmarkStart w:id="1815" w:name="Tc_RHumetGvlUqPkbcg3fFbvA_19_8"/>
      <w:bookmarkStart w:id="1816" w:name="Tc_-7XUadr7vUSQW4QDKCkEig_19_6"/>
      <w:bookmarkStart w:id="1817" w:name="Tc_MFBRFOx5a0iPlcVtSOLF0w_19_0"/>
      <w:bookmarkStart w:id="1818" w:name="Tc_s-2Z-nedmkKBOgrxVoEc4g_18_10"/>
      <w:bookmarkStart w:id="1819" w:name="Tc_0qPfqncY5EiW9j8I-ILWeA_18_8"/>
      <w:bookmarkStart w:id="1820" w:name="Tc_enFtZ31JhEiqphx4S0tTHQ_18_6"/>
      <w:bookmarkStart w:id="1821" w:name="Tc_kxxB1D3Uuk2_uTEv4971yw_18_2"/>
      <w:bookmarkStart w:id="1822" w:name="Tc_Mw-F16nWHkGsjjma9tyIfw_18_0"/>
      <w:bookmarkStart w:id="1823" w:name="Tc_WU7Xr9WzEU2V5rtX856FbA_17_0"/>
      <w:bookmarkStart w:id="1824" w:name="Tc_VQwWUZIuH0iQYBR4cQurZA_15_0"/>
      <w:bookmarkStart w:id="1825" w:name="Tc_EBxMS5KGrEOpOGg0ZM_hrg_13_11"/>
      <w:bookmarkStart w:id="1826" w:name="Tc_ZuLQMKmFb0GCcQWS-uBPZg_13_7"/>
      <w:bookmarkStart w:id="1827" w:name="Tc_KDufVceELUaManDt2dS2cg_13_6"/>
      <w:bookmarkStart w:id="1828" w:name="Tc_uqi1qye8ukWqJBO7S-rDfw_13_2"/>
      <w:bookmarkStart w:id="1829" w:name="Tc_DWGMhBQIo0ydgyybIdLPOw_13_0"/>
      <w:bookmarkStart w:id="1830" w:name="Tc_NfPLu09GgEWXDKCkDfUrYA_12_10"/>
      <w:bookmarkStart w:id="1831" w:name="Tc_x3EApKVr0Ea0kqmdc27EQQ_12_8"/>
      <w:bookmarkStart w:id="1832" w:name="Tc_Keh1217Fi0a3sukvnhBjHA_12_5"/>
      <w:bookmarkStart w:id="1833" w:name="Tc_jgO-bhz38UyVMUbKOTZpwg_12_0"/>
      <w:bookmarkStart w:id="1834" w:name="Tc_iWMu6eHQAkibz7icmq7Vbw_11_0"/>
      <w:bookmarkStart w:id="1835" w:name="Tc_u3OjVF2uR0iARMDo-QoyQA_10_10"/>
      <w:bookmarkStart w:id="1836" w:name="Tc_ltlVSHkh0Uy6cTDkynPoTA_10_8"/>
      <w:bookmarkStart w:id="1837" w:name="Tc_SwevjEvgDk-Xg7ImS197bQ_10_6"/>
      <w:bookmarkStart w:id="1838" w:name="Tc_IMLwUtW5jUiuGwavFGQ9RA_10_2"/>
      <w:bookmarkStart w:id="1839" w:name="Tc_5fQ0kM0rEkCCiWMDvGVLYA_10_0"/>
      <w:bookmarkStart w:id="1840" w:name="Tc_YAdXWxLcoESYIlXwbI8kUg_9_0"/>
      <w:bookmarkStart w:id="1841" w:name="Tc_xgDiC1ClckqDEHYmPv397Q_8_0"/>
      <w:bookmarkStart w:id="1842" w:name="Tc_Cr5zqxOTv06Ut2PA_y3KmA_7_11"/>
      <w:bookmarkStart w:id="1843" w:name="Tc_1YKAPv4M6U6335I2bpBXoA_7_6"/>
      <w:bookmarkStart w:id="1844" w:name="Tc_yuszEQmWn0-U-jZ51B-jHQ_7_0"/>
      <w:bookmarkStart w:id="1845" w:name="Tc_ZAwAgZhzQEC987dFGvUo7w_6_10"/>
      <w:bookmarkStart w:id="1846" w:name="Tc_kqo2NqpdmEuYFHUjkZvjWA_6_8"/>
      <w:bookmarkStart w:id="1847" w:name="Tc_Owt_VGR3p0ya0fjNc4iiIA_6_6"/>
      <w:bookmarkStart w:id="1848" w:name="Tc_Ln6UF12U40Soq0kQ6nYk7A_6_0"/>
      <w:bookmarkStart w:id="1849" w:name="Tc_x7MWNsiAPU2XgGZHmJkveg_5_0"/>
      <w:bookmarkStart w:id="1850" w:name="Tc_N0DKsXXJxkm-DOQhCGbthw_4_10"/>
      <w:bookmarkStart w:id="1851" w:name="Tc_1AZke63Zl06_JLMq9cNc-g_4_8"/>
      <w:bookmarkStart w:id="1852" w:name="Tc_piTF18AbTUOhQRIu6vbv-Q_4_6"/>
      <w:bookmarkStart w:id="1853" w:name="Tc_7omEfgNJO0KkEkOrC7NBEA_4_2"/>
      <w:bookmarkStart w:id="1854" w:name="Tc_DjuxWrnWuE-SvsUmCHiraw_4_0"/>
      <w:bookmarkStart w:id="1855" w:name="Tc_688pIlVpu0-lErScjKOBww_3_10"/>
      <w:bookmarkStart w:id="1856" w:name="Tc_VCS08MdlNkWqffQ7oRyIEw_3_7"/>
      <w:bookmarkStart w:id="1857" w:name="Tc_YJJrAwetsk6sbQy3GaS0Sw_3_5"/>
      <w:bookmarkStart w:id="1858" w:name="Tc_BBIVkn_op0OWMCaGdM0D_A_3_2"/>
      <w:bookmarkStart w:id="1859" w:name="Tc_3dL9vg7E8kiOWb02cBhbQw_3_0"/>
      <w:bookmarkStart w:id="1860" w:name="Tc_CAia8xMyR0GbbwZwrQYgOA_2_10"/>
      <w:bookmarkStart w:id="1861" w:name="Tc_gI7gLp_TNUOK_QjWShayEA_2_7"/>
      <w:bookmarkStart w:id="1862" w:name="Tc_ZkszWQI6WkClqCRpBgIXaQ_2_5"/>
      <w:bookmarkStart w:id="1863" w:name="Tc_pP0o-c2nfk6D9Py4jOhawA_2_2"/>
      <w:bookmarkStart w:id="1864" w:name="Tc_T-tWAk6F7UiZJov8gJ_dvg_1_7"/>
      <w:bookmarkStart w:id="1865" w:name="Tc_f7nOr4LNMkuxz6rtO6CbBA_1_2"/>
      <w:bookmarkStart w:id="1866" w:name="_5d186e5d_0153_4c00_949b_9de5ac0638c6"/>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r>
        <w:rPr>
          <w:rFonts w:ascii="Times New Roman;Times;serif" w:hAnsi="Times New Roman;Times;serif"/>
          <w:sz w:val="20"/>
        </w:rPr>
        <w:t>The tax expense at statutory rates for the Company can be reconciled to the reported loss for the years 2025 and 2024 per the statement of loss and comprehensive loss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80"/>
        <w:gridCol w:w="346"/>
        <w:gridCol w:w="211"/>
        <w:gridCol w:w="892"/>
        <w:gridCol w:w="346"/>
        <w:gridCol w:w="661"/>
        <w:gridCol w:w="346"/>
        <w:gridCol w:w="211"/>
        <w:gridCol w:w="787"/>
        <w:gridCol w:w="346"/>
        <w:gridCol w:w="661"/>
        <w:gridCol w:w="318"/>
      </w:tblGrid>
      <w:tr>
        <w:trPr/>
        <w:tc>
          <w:tcPr>
            <w:tcW w:w="5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3225800" cy="175260"/>
                      <wp:effectExtent l="0" t="0" r="0" b="0"/>
                      <wp:wrapNone/>
                      <wp:docPr id="431" name="Frame409"/>
                      <a:graphic xmlns:a="http://schemas.openxmlformats.org/drawingml/2006/main">
                        <a:graphicData uri="http://schemas.microsoft.com/office/word/2010/wordprocessingShape">
                          <wps:wsp>
                            <wps:cNvSpPr txBox="1"/>
                            <wps:spPr>
                              <a:xfrm>
                                <a:off x="0" y="0"/>
                                <a:ext cx="3225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2"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66420" cy="175260"/>
                      <wp:effectExtent l="0" t="0" r="0" b="0"/>
                      <wp:wrapNone/>
                      <wp:docPr id="433" name="Frame411"/>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19735" cy="175260"/>
                      <wp:effectExtent l="0" t="0" r="0" b="0"/>
                      <wp:wrapNone/>
                      <wp:docPr id="434" name="Frame41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5"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99745" cy="175260"/>
                      <wp:effectExtent l="0" t="0" r="0" b="0"/>
                      <wp:wrapNone/>
                      <wp:docPr id="436" name="Frame41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19735" cy="175260"/>
                      <wp:effectExtent l="0" t="0" r="0" b="0"/>
                      <wp:wrapNone/>
                      <wp:docPr id="437" name="Frame41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1930" cy="175260"/>
                      <wp:effectExtent l="0" t="0" r="0" b="0"/>
                      <wp:wrapNone/>
                      <wp:docPr id="438" name="Frame41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8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w:t>
            </w:r>
          </w:p>
        </w:tc>
        <w:tc>
          <w:tcPr>
            <w:tcW w:w="2005" w:type="dxa"/>
            <w:gridSpan w:val="4"/>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December 31, 2024 </w:t>
            </w:r>
            <w:r>
              <w:rPr>
                <w:rFonts w:ascii="Times New Roman;Times;serif" w:hAnsi="Times New Roman;Times;serif"/>
                <w:b/>
                <w:sz w:val="12"/>
              </w:rPr>
              <w:t>(1)</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  ​ ​ ​</w:t>
            </w:r>
          </w:p>
        </w:tc>
        <w:tc>
          <w:tcPr>
            <w:tcW w:w="1103"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righ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Percent</w:t>
            </w:r>
          </w:p>
        </w:tc>
        <w:tc>
          <w:tcPr>
            <w:tcW w:w="346" w:type="dxa"/>
            <w:tcBorders/>
            <w:vAlign w:val="center"/>
          </w:tcPr>
          <w:p>
            <w:pPr>
              <w:pStyle w:val="TableContents"/>
              <w:bidi w:val="0"/>
              <w:spacing w:before="0" w:after="1"/>
              <w:ind w:left="0" w:right="0" w:hanging="0"/>
              <w:jc w:val="righ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righ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Percent</w:t>
            </w:r>
          </w:p>
        </w:tc>
        <w:tc>
          <w:tcPr>
            <w:tcW w:w="318" w:type="dxa"/>
            <w:tcBorders/>
            <w:vAlign w:val="center"/>
          </w:tcPr>
          <w:p>
            <w:pPr>
              <w:pStyle w:val="TableContents"/>
              <w:bidi w:val="0"/>
              <w:spacing w:before="0" w:after="1"/>
              <w:ind w:left="0" w:right="0" w:hanging="0"/>
              <w:jc w:val="left"/>
              <w:rPr/>
            </w:pPr>
            <w:r>
              <w:rPr/>
              <w:t> </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 before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(319,700)</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(81,895)</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508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Canadian federal statutory tax rates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(79,925)</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State and local income taxes, net of federal income tax effect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508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Provincial and local rates (net of federal income tax effects)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(2,271)</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federal, state and local income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(82,196)</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(21,882)</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8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Foreign tax effects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508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tax rate difference between United States and Canada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foreign jurisdictions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508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tax rate difference between other jurisdictions and Canada</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foreign tax effects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1,210</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14,424</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8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Effect of changes in tax laws or rates enacted in the current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508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Non-taxable or Non-deductible Items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508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21,819</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13,487</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508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royalty liability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32,750</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508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Non-taxable or non-deductible items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68,958</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2,502</w:t>
            </w:r>
          </w:p>
        </w:tc>
        <w:tc>
          <w:tcPr>
            <w:tcW w:w="346"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8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508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Prior year’s adjustments relating to tax provision and tax returns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Change in unrecognized 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14,699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8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(2,557)</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0.8</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80" w:type="dxa"/>
            <w:tcBorders/>
            <w:shd w:fill="CCEEFF" w:val="clear"/>
            <w:vAlign w:val="center"/>
          </w:tcPr>
          <w:p>
            <w:pPr>
              <w:pStyle w:val="TableContents"/>
              <w:pBdr/>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1"/>
              <w:ind w:left="0" w:right="0" w:hanging="0"/>
              <w:jc w:val="right"/>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24"/>
        <w:gridCol w:w="251"/>
        <w:gridCol w:w="9830"/>
      </w:tblGrid>
      <w:tr>
        <w:trPr/>
        <w:tc>
          <w:tcPr>
            <w:tcW w:w="1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lineRule="auto" w:line="240" w:before="0" w:after="240"/>
              <w:jc w:val="both"/>
              <w:rPr>
                <w:rFonts w:ascii="Times New Roman;Times;serif" w:hAnsi="Times New Roman;Times;serif"/>
                <w:sz w:val="15"/>
              </w:rPr>
            </w:pPr>
            <w:r>
              <w:rPr>
                <w:rFonts w:ascii="Times New Roman;Times;serif" w:hAnsi="Times New Roman;Times;serif"/>
                <w:sz w:val="15"/>
              </w:rPr>
              <w:t>(1)</w:t>
            </w:r>
          </w:p>
        </w:tc>
        <w:tc>
          <w:tcPr>
            <w:tcW w:w="98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 adopted ASU 2023-09 prospectively in 2025, as permitted by the standard. Accordingly, the prior period comparative information has not been recast to conform to the current presentation.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1867" w:name="Tc_BriFc_tKSEmzIZKFcG8l_w_7_8"/>
      <w:bookmarkStart w:id="1868" w:name="Tc_rjJPRuhKREiOqxTX6qxnFw_7_5"/>
      <w:bookmarkStart w:id="1869" w:name="Tc_arBQvc-ZpEunqr5s9QIQLA_7_2"/>
      <w:bookmarkStart w:id="1870" w:name="Tc_712PztvesU-g9x6rR9fknA_7_0"/>
      <w:bookmarkStart w:id="1871" w:name="Tc_MlvUjrHl1kihB1Nwpl8yjw_6_8"/>
      <w:bookmarkStart w:id="1872" w:name="Tc_N_btOTtQ40aRblHTeAoqYg_6_5"/>
      <w:bookmarkStart w:id="1873" w:name="Tc_7FCVh0nrJ0-mvibKX65zRg_6_2"/>
      <w:bookmarkStart w:id="1874" w:name="Tc_zlndzltpL0GI1fobZZ8_LQ_6_0"/>
      <w:bookmarkStart w:id="1875" w:name="Tc_xdFL6YnLc0GdZ634PJL84Q_5_8"/>
      <w:bookmarkStart w:id="1876" w:name="Tc_n5E6J9bm5Eq9GJ8jk4YXHQ_5_5"/>
      <w:bookmarkStart w:id="1877" w:name="Tc__1PLUAsuEUy_ckNXD0YMJA_5_2"/>
      <w:bookmarkStart w:id="1878" w:name="Tc_Dw40nzYeYkWMzyENHQDZkQ_5_0"/>
      <w:bookmarkStart w:id="1879" w:name="Tc_Gq1y6kmSvUW40quY38YPsA_4_8"/>
      <w:bookmarkStart w:id="1880" w:name="Tc_P6BFd1-bmUS4tST8dww3EQ_4_5"/>
      <w:bookmarkStart w:id="1881" w:name="Tc_RadgeaVT6ECxqh0PRFQXAw_4_2"/>
      <w:bookmarkStart w:id="1882" w:name="Tc_qIutWA3-x0Ooo-Uva7-MrA_4_0"/>
      <w:bookmarkStart w:id="1883" w:name="Tc_jmm4HoAshEK_8zqoMQAFeA_3_8"/>
      <w:bookmarkStart w:id="1884" w:name="Tc_fbVFdjMv-ECejDlzGts8eA_3_5"/>
      <w:bookmarkStart w:id="1885" w:name="Tc_fOqtQO0um02M84CaUZXQUA_3_2"/>
      <w:bookmarkStart w:id="1886" w:name="Tc_-7lVsklyu0GErb2VvUzE_A_3_0"/>
      <w:bookmarkStart w:id="1887" w:name="Tc_YoTNkhhH_UKiMD-e0pLe4A_1_8"/>
      <w:bookmarkStart w:id="1888" w:name="Tc_l7SaRA6L_Eyl-YBWuj1HWA_1_5"/>
      <w:bookmarkStart w:id="1889" w:name="Tc_-tgXPUPkUUKQ84wW8SPlGQ_1_2"/>
      <w:bookmarkStart w:id="1890" w:name="Tc_nv64GVC2J0ePnKsRd8XBSw_16_5"/>
      <w:bookmarkStart w:id="1891" w:name="Tc_tD4RkWH3LE2mPr6P492TQw_16_2"/>
      <w:bookmarkStart w:id="1892" w:name="Tc_Q_kI5bJ7L0-FfhYAOjGItQ_16_0"/>
      <w:bookmarkStart w:id="1893" w:name="Tc_BeF2YZDgLkmA4cImiDLcGQ_14_5"/>
      <w:bookmarkStart w:id="1894" w:name="Tc_QLZS8U9Yt0SK2YQ4NQPxzA_14_2"/>
      <w:bookmarkStart w:id="1895" w:name="Tc_U-xWswaRmUu3z0TuR0WRnQ_14_0"/>
      <w:bookmarkStart w:id="1896" w:name="Tc_xclSJNOwvEOzaBecNxOTCA_13_6"/>
      <w:bookmarkStart w:id="1897" w:name="Tc_RnOyUTLzUk6rW3hl4x7KYA_13_0"/>
      <w:bookmarkStart w:id="1898" w:name="Tc_PPRDlrU_GUy83D5_PxZ1tw_12_5"/>
      <w:bookmarkStart w:id="1899" w:name="Tc_Xv92uji6l0uQxEkxnaXGiA_12_2"/>
      <w:bookmarkStart w:id="1900" w:name="Tc_DcJTzCYMdUWGQImxHQPTFA_12_0"/>
      <w:bookmarkStart w:id="1901" w:name="Tc_mzgzNP9wmESaycErIq7kYw_11_0"/>
      <w:bookmarkStart w:id="1902" w:name="Tc_5k9UPZpsEEu4mk43HHWZgw_9_6"/>
      <w:bookmarkStart w:id="1903" w:name="Tc_CaJnnKOyGEmHRTpfYEBKHg_9_5"/>
      <w:bookmarkStart w:id="1904" w:name="Tc_D0YPdL0yzkGPVNeq15YVBg_9_2"/>
      <w:bookmarkStart w:id="1905" w:name="Tc_Aqp1OqYFB0uIxAzzlnHFeA_9_0"/>
      <w:bookmarkStart w:id="1906" w:name="Tc_kyIoOtWaN0mcnYWq_ZCteg_8_0"/>
      <w:bookmarkStart w:id="1907" w:name="Tc_rMjtOHHzwUGR4aFyQTn9eA_7_5"/>
      <w:bookmarkStart w:id="1908" w:name="Tc_9jD-dAM1g0KlbwrsNjBbuw_7_2"/>
      <w:bookmarkStart w:id="1909" w:name="Tc_j0x8hO2EakmeHQIEox231w_7_0"/>
      <w:bookmarkStart w:id="1910" w:name="Tc_fPmNxpAVLUuNKHzH-oaTQg_6_0"/>
      <w:bookmarkStart w:id="1911" w:name="Tc_oidemTWh2UWamXujs1dTNQ_5_0"/>
      <w:bookmarkStart w:id="1912" w:name="Tc_drIvBgOqgECnI2_a4BmybQ_4_0"/>
      <w:bookmarkStart w:id="1913" w:name="Tc_wBr5VntVlE6nFsOh2m0wVQ_3_5"/>
      <w:bookmarkStart w:id="1914" w:name="Tc_LPG8vgYy60CuOCWgFHTQhg_3_2"/>
      <w:bookmarkStart w:id="1915" w:name="Tc_sOE2WiWzuECn5EstgNhCgQ_3_0"/>
      <w:bookmarkStart w:id="1916" w:name="Tc_5RbE7-Upt0iet6KozRjU-Q_2_0"/>
      <w:bookmarkStart w:id="1917" w:name="Tc_d-a1vMl0FE2gSTk27-QjsA_1_5"/>
      <w:bookmarkStart w:id="1918" w:name="Tc__6BA0c2aIEKcthJzFlQOUQ_1_2"/>
      <w:bookmarkStart w:id="1919" w:name="Tc_I8kEKs-Jl0qaCD16TLku5g_4_3"/>
      <w:bookmarkStart w:id="1920" w:name="Tc_P2L1AVxLJESafOuphi-CSw_4_0"/>
      <w:bookmarkStart w:id="1921" w:name="Tc_CUzySwUJx0mFLgrBvMBCIg_3_3"/>
      <w:bookmarkStart w:id="1922" w:name="Tc_7b8IRKyu1UKRgqWVglJIVQ_3_0"/>
      <w:bookmarkStart w:id="1923" w:name="Tc_fwrDLs-i3kWJi0HOKh3Xgw_2_3"/>
      <w:bookmarkStart w:id="1924" w:name="Tc_LLWSbKOfL0eA8yuC-1nm5Q_2_0"/>
      <w:bookmarkStart w:id="1925" w:name="Tc_5T9EliLYr02lB-jwRq1pUg_1_2"/>
      <w:bookmarkStart w:id="1926" w:name="Tc_D1tXixvHME-ytQpOWi3pbQ_1_0"/>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r>
        <w:rPr>
          <w:rFonts w:ascii="Times New Roman;Times;serif" w:hAnsi="Times New Roman;Times;serif"/>
          <w:sz w:val="20"/>
        </w:rPr>
        <w:t>The majority (&gt;50%) of the statutory tax impact on state and local tax expense arises from taxation in Canada, the United States and NORI:</w:t>
      </w:r>
    </w:p>
    <w:p>
      <w:pPr>
        <w:pStyle w:val="TextBody"/>
        <w:bidi w:val="0"/>
        <w:spacing w:before="0" w:after="0"/>
        <w:ind w:left="0" w:right="0" w:hanging="0"/>
        <w:jc w:val="left"/>
        <w:rPr/>
      </w:pPr>
      <w:r>
        <w:rPr/>
        <w:t>​</w:t>
      </w:r>
    </w:p>
    <w:tbl>
      <w:tblPr>
        <w:tblW w:w="3019" w:type="dxa"/>
        <w:jc w:val="left"/>
        <w:tblInd w:w="0" w:type="dxa"/>
        <w:tblLayout w:type="fixed"/>
        <w:tblCellMar>
          <w:top w:w="0" w:type="dxa"/>
          <w:left w:w="0" w:type="dxa"/>
          <w:bottom w:w="0" w:type="dxa"/>
          <w:right w:w="0" w:type="dxa"/>
        </w:tblCellMar>
      </w:tblPr>
      <w:tblGrid>
        <w:gridCol w:w="1201"/>
        <w:gridCol w:w="346"/>
        <w:gridCol w:w="1156"/>
        <w:gridCol w:w="31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762635" cy="175260"/>
                      <wp:effectExtent l="0" t="0" r="0" b="0"/>
                      <wp:wrapNone/>
                      <wp:docPr id="439" name="Frame41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0"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734060" cy="175260"/>
                      <wp:effectExtent l="0" t="0" r="0" b="0"/>
                      <wp:wrapNone/>
                      <wp:docPr id="441" name="Frame41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0660" cy="175260"/>
                      <wp:effectExtent l="0" t="0" r="0" b="0"/>
                      <wp:wrapNone/>
                      <wp:docPr id="442" name="Frame4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Jurisdiction</w:t>
            </w:r>
          </w:p>
        </w:tc>
        <w:tc>
          <w:tcPr>
            <w:tcW w:w="346" w:type="dxa"/>
            <w:tcBorders/>
            <w:vAlign w:val="center"/>
          </w:tcPr>
          <w:p>
            <w:pPr>
              <w:pStyle w:val="TableContents"/>
              <w:bidi w:val="0"/>
              <w:spacing w:before="0" w:after="0"/>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Statutory rate</w:t>
            </w:r>
          </w:p>
        </w:tc>
        <w:tc>
          <w:tcPr>
            <w:tcW w:w="316" w:type="dxa"/>
            <w:tcBorders/>
            <w:vAlign w:val="center"/>
          </w:tcPr>
          <w:p>
            <w:pPr>
              <w:pStyle w:val="TableContents"/>
              <w:bidi w:val="0"/>
              <w:spacing w:before="0" w:after="0"/>
              <w:ind w:left="0" w:right="0" w:hanging="0"/>
              <w:jc w:val="center"/>
              <w:rPr/>
            </w:pPr>
            <w:r>
              <w:rPr/>
              <w:t> </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NORI</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currently has no uncertain tax positions and is therefore not reflecting any adjustments.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Components of the Company’s deferred income tax assets (liabilities)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466"/>
        <w:gridCol w:w="346"/>
        <w:gridCol w:w="334"/>
        <w:gridCol w:w="1167"/>
        <w:gridCol w:w="346"/>
        <w:gridCol w:w="328"/>
        <w:gridCol w:w="1218"/>
      </w:tblGrid>
      <w:tr>
        <w:trPr/>
        <w:tc>
          <w:tcPr>
            <w:tcW w:w="6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105910" cy="175260"/>
                      <wp:effectExtent l="0" t="0" r="0" b="0"/>
                      <wp:wrapNone/>
                      <wp:docPr id="443" name="Frame421"/>
                      <a:graphic xmlns:a="http://schemas.openxmlformats.org/drawingml/2006/main">
                        <a:graphicData uri="http://schemas.microsoft.com/office/word/2010/wordprocessingShape">
                          <wps:wsp>
                            <wps:cNvSpPr txBox="1"/>
                            <wps:spPr>
                              <a:xfrm>
                                <a:off x="0" y="0"/>
                                <a:ext cx="410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4"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2090" cy="175260"/>
                      <wp:effectExtent l="0" t="0" r="0" b="0"/>
                      <wp:wrapNone/>
                      <wp:docPr id="445" name="Frame423"/>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741045" cy="175260"/>
                      <wp:effectExtent l="0" t="0" r="0" b="0"/>
                      <wp:wrapNone/>
                      <wp:docPr id="446" name="Frame424"/>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47"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8280" cy="175260"/>
                      <wp:effectExtent l="0" t="0" r="0" b="0"/>
                      <wp:wrapNone/>
                      <wp:docPr id="448" name="Frame42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773430" cy="175260"/>
                      <wp:effectExtent l="0" t="0" r="0" b="0"/>
                      <wp:wrapNone/>
                      <wp:docPr id="449" name="Frame427"/>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righ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2024</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334"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  ​</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Non-capital losses</w:t>
            </w:r>
          </w:p>
        </w:tc>
        <w:tc>
          <w:tcPr>
            <w:tcW w:w="3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38,685</w:t>
            </w:r>
          </w:p>
        </w:tc>
        <w:tc>
          <w:tcPr>
            <w:tcW w:w="3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24,270</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334"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w:t>
            </w:r>
          </w:p>
        </w:tc>
        <w:tc>
          <w:tcPr>
            <w:tcW w:w="34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w:t>
            </w:r>
          </w:p>
        </w:tc>
        <w:tc>
          <w:tcPr>
            <w:tcW w:w="3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46" w:type="dxa"/>
            <w:tcBorders/>
            <w:shd w:fill="CCEEFF" w:val="clear"/>
            <w:vAlign w:val="center"/>
          </w:tcPr>
          <w:p>
            <w:pPr>
              <w:pStyle w:val="TableContents"/>
              <w:bidi w:val="0"/>
              <w:spacing w:before="0" w:after="0"/>
              <w:ind w:left="0" w:right="0" w:hanging="0"/>
              <w:jc w:val="left"/>
              <w:rPr/>
            </w:pPr>
            <w:r>
              <w:rPr/>
              <w:t> </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2,737</w:t>
            </w:r>
          </w:p>
        </w:tc>
        <w:tc>
          <w:tcPr>
            <w:tcW w:w="346" w:type="dxa"/>
            <w:tcBorders/>
            <w:shd w:fill="CCEEFF" w:val="clear"/>
            <w:vAlign w:val="center"/>
          </w:tcPr>
          <w:p>
            <w:pPr>
              <w:pStyle w:val="TableContents"/>
              <w:bidi w:val="0"/>
              <w:spacing w:before="0" w:after="0"/>
              <w:ind w:left="0" w:right="0" w:hanging="0"/>
              <w:jc w:val="left"/>
              <w:rPr/>
            </w:pPr>
            <w:r>
              <w:rPr/>
              <w:t> </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assets</w:t>
            </w:r>
          </w:p>
        </w:tc>
        <w:tc>
          <w:tcPr>
            <w:tcW w:w="3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41,817</w:t>
            </w:r>
          </w:p>
        </w:tc>
        <w:tc>
          <w:tcPr>
            <w:tcW w:w="3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26,412</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0"/>
              <w:ind w:left="0" w:right="0" w:hanging="0"/>
              <w:jc w:val="left"/>
              <w:rPr/>
            </w:pPr>
            <w:r>
              <w:rPr/>
              <w:t> </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(41,111)</w:t>
            </w:r>
          </w:p>
        </w:tc>
        <w:tc>
          <w:tcPr>
            <w:tcW w:w="346" w:type="dxa"/>
            <w:tcBorders/>
            <w:shd w:fill="CCEEFF" w:val="clear"/>
            <w:vAlign w:val="center"/>
          </w:tcPr>
          <w:p>
            <w:pPr>
              <w:pStyle w:val="TableContents"/>
              <w:bidi w:val="0"/>
              <w:spacing w:before="0" w:after="0"/>
              <w:ind w:left="0" w:right="0" w:hanging="0"/>
              <w:jc w:val="left"/>
              <w:rPr/>
            </w:pPr>
            <w:r>
              <w:rPr/>
              <w:t> </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(26,412)</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 recognized</w:t>
            </w:r>
          </w:p>
        </w:tc>
        <w:tc>
          <w:tcPr>
            <w:tcW w:w="346" w:type="dxa"/>
            <w:tcBorders/>
            <w:vAlign w:val="center"/>
          </w:tcPr>
          <w:p>
            <w:pPr>
              <w:pStyle w:val="TableContents"/>
              <w:bidi w:val="0"/>
              <w:spacing w:before="0" w:after="0"/>
              <w:ind w:left="0" w:right="0" w:hanging="0"/>
              <w:jc w:val="left"/>
              <w:rPr/>
            </w:pPr>
            <w:r>
              <w:rPr/>
              <w:t> </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706</w:t>
            </w:r>
          </w:p>
        </w:tc>
        <w:tc>
          <w:tcPr>
            <w:tcW w:w="346" w:type="dxa"/>
            <w:tcBorders/>
            <w:vAlign w:val="center"/>
          </w:tcPr>
          <w:p>
            <w:pPr>
              <w:pStyle w:val="TableContents"/>
              <w:bidi w:val="0"/>
              <w:spacing w:before="0" w:after="0"/>
              <w:ind w:left="0" w:right="0" w:hanging="0"/>
              <w:jc w:val="left"/>
              <w:rPr/>
            </w:pPr>
            <w:r>
              <w:rPr/>
              <w:t> </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Difference between the book value and the tax basis of the TOML exploration contract (Note 11)</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(10,675)</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(706)</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liabilities recognized</w:t>
            </w:r>
          </w:p>
        </w:tc>
        <w:tc>
          <w:tcPr>
            <w:tcW w:w="346" w:type="dxa"/>
            <w:tcBorders/>
            <w:shd w:fill="CCEEFF" w:val="clear"/>
            <w:vAlign w:val="center"/>
          </w:tcPr>
          <w:p>
            <w:pPr>
              <w:pStyle w:val="TableContents"/>
              <w:bidi w:val="0"/>
              <w:spacing w:before="0" w:after="0"/>
              <w:ind w:left="0" w:right="0" w:hanging="0"/>
              <w:jc w:val="left"/>
              <w:rPr/>
            </w:pPr>
            <w:r>
              <w:rPr/>
              <w:t> </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(11,381)</w:t>
            </w:r>
          </w:p>
        </w:tc>
        <w:tc>
          <w:tcPr>
            <w:tcW w:w="346" w:type="dxa"/>
            <w:tcBorders/>
            <w:shd w:fill="CCEEFF" w:val="clear"/>
            <w:vAlign w:val="center"/>
          </w:tcPr>
          <w:p>
            <w:pPr>
              <w:pStyle w:val="TableContents"/>
              <w:bidi w:val="0"/>
              <w:spacing w:before="0" w:after="0"/>
              <w:ind w:left="0" w:right="0" w:hanging="0"/>
              <w:jc w:val="left"/>
              <w:rPr/>
            </w:pPr>
            <w:r>
              <w:rPr/>
              <w:t> </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deferred tax assets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(10,675)</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assessing the recoverability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A valuation allowance is provided against deferred income tax assets where it is not more likely than not that the Company will realize its benefits.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Deductible temporary differences, unused tax losses and unused tax credits are as follows:</w:t>
      </w:r>
    </w:p>
    <w:p>
      <w:pPr>
        <w:pStyle w:val="TextBody"/>
        <w:bidi w:val="0"/>
        <w:spacing w:before="0" w:after="0"/>
        <w:ind w:left="0" w:right="0" w:hanging="0"/>
        <w:jc w:val="left"/>
        <w:rPr/>
      </w:pPr>
      <w:r>
        <w:rPr/>
        <w:t>​</w:t>
      </w:r>
    </w:p>
    <w:tbl>
      <w:tblPr>
        <w:tblW w:w="9127" w:type="dxa"/>
        <w:jc w:val="left"/>
        <w:tblInd w:w="0" w:type="dxa"/>
        <w:tblLayout w:type="fixed"/>
        <w:tblCellMar>
          <w:top w:w="0" w:type="dxa"/>
          <w:left w:w="0" w:type="dxa"/>
          <w:bottom w:w="0" w:type="dxa"/>
          <w:right w:w="0" w:type="dxa"/>
        </w:tblCellMar>
      </w:tblPr>
      <w:tblGrid>
        <w:gridCol w:w="3541"/>
        <w:gridCol w:w="346"/>
        <w:gridCol w:w="319"/>
        <w:gridCol w:w="1182"/>
        <w:gridCol w:w="346"/>
        <w:gridCol w:w="319"/>
        <w:gridCol w:w="1182"/>
        <w:gridCol w:w="346"/>
        <w:gridCol w:w="154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248535" cy="175260"/>
                      <wp:effectExtent l="0" t="0" r="0" b="0"/>
                      <wp:wrapNone/>
                      <wp:docPr id="450" name="Frame428"/>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1"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2565" cy="175260"/>
                      <wp:effectExtent l="0" t="0" r="0" b="0"/>
                      <wp:wrapNone/>
                      <wp:docPr id="452" name="Frame43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750570" cy="175260"/>
                      <wp:effectExtent l="0" t="0" r="0" b="0"/>
                      <wp:wrapNone/>
                      <wp:docPr id="453" name="Frame431"/>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4"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2565" cy="175260"/>
                      <wp:effectExtent l="0" t="0" r="0" b="0"/>
                      <wp:wrapNone/>
                      <wp:docPr id="455" name="Frame43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750570" cy="175260"/>
                      <wp:effectExtent l="0" t="0" r="0" b="0"/>
                      <wp:wrapNone/>
                      <wp:docPr id="456" name="Frame434"/>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57"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981710" cy="175260"/>
                      <wp:effectExtent l="0" t="0" r="0" b="0"/>
                      <wp:wrapNone/>
                      <wp:docPr id="458" name="Frame43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Expiry Date Range</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Non-capital losses</w:t>
            </w:r>
          </w:p>
        </w:tc>
        <w:tc>
          <w:tcPr>
            <w:tcW w:w="346" w:type="dxa"/>
            <w:tcBorders/>
            <w:shd w:fill="CCEEFF" w:val="clear"/>
            <w:vAlign w:val="center"/>
          </w:tcPr>
          <w:p>
            <w:pPr>
              <w:pStyle w:val="TableContents"/>
              <w:bidi w:val="0"/>
              <w:spacing w:before="0" w:after="0"/>
              <w:ind w:left="0" w:right="0" w:hanging="0"/>
              <w:jc w:val="left"/>
              <w:rPr/>
            </w:pPr>
            <w:r>
              <w:rPr/>
              <w:t>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161,312</w:t>
            </w:r>
          </w:p>
        </w:tc>
        <w:tc>
          <w:tcPr>
            <w:tcW w:w="346" w:type="dxa"/>
            <w:tcBorders/>
            <w:shd w:fill="CCEEFF" w:val="clear"/>
            <w:vAlign w:val="center"/>
          </w:tcPr>
          <w:p>
            <w:pPr>
              <w:pStyle w:val="TableContents"/>
              <w:bidi w:val="0"/>
              <w:spacing w:before="0" w:after="0"/>
              <w:ind w:left="0" w:right="0" w:hanging="0"/>
              <w:jc w:val="left"/>
              <w:rPr/>
            </w:pPr>
            <w:r>
              <w:rPr/>
              <w:t>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100,995</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See below</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1,422</w:t>
            </w:r>
          </w:p>
        </w:tc>
        <w:tc>
          <w:tcPr>
            <w:tcW w:w="3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829</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Not applicable</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839</w:t>
            </w:r>
          </w:p>
        </w:tc>
        <w:tc>
          <w:tcPr>
            <w:tcW w:w="346" w:type="dxa"/>
            <w:tcBorders/>
            <w:shd w:fill="CCEEFF" w:val="clear"/>
            <w:vAlign w:val="center"/>
          </w:tcPr>
          <w:p>
            <w:pPr>
              <w:pStyle w:val="TableContents"/>
              <w:bidi w:val="0"/>
              <w:spacing w:before="0" w:after="0"/>
              <w:ind w:left="0" w:right="0" w:hanging="0"/>
              <w:jc w:val="left"/>
              <w:rPr/>
            </w:pPr>
            <w:r>
              <w:rPr/>
              <w:t>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Not applicable</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 and others</w:t>
            </w:r>
          </w:p>
        </w:tc>
        <w:tc>
          <w:tcPr>
            <w:tcW w:w="3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7,369</w:t>
            </w:r>
          </w:p>
        </w:tc>
        <w:tc>
          <w:tcPr>
            <w:tcW w:w="3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3,649</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2026-2029</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interest and financing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2,797</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3,102</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Not applicable</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December 31, 2025, the Company had non-capital loss carry-forwards of $161.3 million that may be used to offset future taxable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bookmarkStart w:id="1927" w:name="Tc_UDTtR9cgA0qf6_C9ZXu0gA_10_14"/>
      <w:bookmarkStart w:id="1928" w:name="Tc_NxmvN6HCUU-_prqK94WFwQ_10_11"/>
      <w:bookmarkStart w:id="1929" w:name="Tc_0NSIXAekekOsmxf1n4EtRg_10_8"/>
      <w:bookmarkStart w:id="1930" w:name="Tc_Gq5pQVFfREWyzHVa8CrEwg_10_5"/>
      <w:bookmarkStart w:id="1931" w:name="Tc_-DrmQv0-mkCbwl6sZro1iw_10_2"/>
      <w:bookmarkStart w:id="1932" w:name="Tc_ocQzCR2nnUG7tdLbzO_4gA_10_0"/>
      <w:bookmarkStart w:id="1933" w:name="Tc_IzyXBnmodUeazE3AO071pQ_9_12"/>
      <w:bookmarkStart w:id="1934" w:name="Tc_YZPmzgvFQUe2oGwlmxfkgA_9_9"/>
      <w:bookmarkStart w:id="1935" w:name="Tc_iNj2R1koE0Kiaa87GSKykg_9_3"/>
      <w:bookmarkStart w:id="1936" w:name="Tc_Pwq_ciLF3UqzDb30zwnQrQ_9_0"/>
      <w:bookmarkStart w:id="1937" w:name="Tc_rI6eD207Z023eVgRQObdEg_8_12"/>
      <w:bookmarkStart w:id="1938" w:name="Tc_w86fYTr8m0yt1eqkdAD2XA_8_6"/>
      <w:bookmarkStart w:id="1939" w:name="Tc_sBX-21QKCkSuiEBpWSFPHQ_8_0"/>
      <w:bookmarkStart w:id="1940" w:name="Tc_hXJilYsSY0aTKrcTNZy6Ag_7_15"/>
      <w:bookmarkStart w:id="1941" w:name="Tc_4sd1we4BXkCXYDs-RXak8g_7_12"/>
      <w:bookmarkStart w:id="1942" w:name="Tc_7DasQsjzeEmBeqz80Rpqcg_7_6"/>
      <w:bookmarkStart w:id="1943" w:name="Tc_R0QLC_vslUS-cy_alwch7g_7_0"/>
      <w:bookmarkStart w:id="1944" w:name="Tc_4wXii45ziE2xHWlQaVwSAQ_6_15"/>
      <w:bookmarkStart w:id="1945" w:name="Tc_oIoABACvlkqkabChJPntAA_6_12"/>
      <w:bookmarkStart w:id="1946" w:name="Tc_mqg7oYwG8USBCjfW4I4NXg_6_6"/>
      <w:bookmarkStart w:id="1947" w:name="Tc_n1leUH5xzkyqfrSsdN5rDg_6_0"/>
      <w:bookmarkStart w:id="1948" w:name="Tc_BOnoIEvpgU2yBnvbIN__yQ_5_15"/>
      <w:bookmarkStart w:id="1949" w:name="Tc_Le1aVCuioU6bZO96oGWGfQ_5_12"/>
      <w:bookmarkStart w:id="1950" w:name="Tc_qPyvDVDJFkqd4FVHu1678Q_5_6"/>
      <w:bookmarkStart w:id="1951" w:name="Tc_6YPBU7umG0WK1LYtp9JehA_5_0"/>
      <w:bookmarkStart w:id="1952" w:name="Tc_8UM1opxFnEKx9SuJdZp5AQ_4_15"/>
      <w:bookmarkStart w:id="1953" w:name="Tc_2WKoBdHqSkK4BkEJU_JUHQ_4_12"/>
      <w:bookmarkStart w:id="1954" w:name="Tc_9PW4FHXhK0i_MI0wYVK5HA_4_9"/>
      <w:bookmarkStart w:id="1955" w:name="Tc_YldcrHenCkmaGTkj6g7wnQ_4_6"/>
      <w:bookmarkStart w:id="1956" w:name="Tc_sb3RcrbZrE2vWaOdOVqxYA_4_0"/>
      <w:bookmarkStart w:id="1957" w:name="Tc_q6y1HlMBWU2c8O-UM6OXHw_3_15"/>
      <w:bookmarkStart w:id="1958" w:name="Tc_TjCm7kr6PUm4aa6caco_Ew_3_12"/>
      <w:bookmarkStart w:id="1959" w:name="Tc_-FJr_ZE4IU-Qal9_TkaJpg_3_9"/>
      <w:bookmarkStart w:id="1960" w:name="Tc_K8zObF4SrUmp-n9tVtP5gg_3_6"/>
      <w:bookmarkStart w:id="1961" w:name="Tc_7fpByJSTyUGAApHEM2DQZw_3_3"/>
      <w:bookmarkStart w:id="1962" w:name="Tc_Jp58xUXf60yNti_gUva-Ng_3_0"/>
      <w:bookmarkStart w:id="1963" w:name="Tc_ts7MPUjzdk2BmPLpkCDqgg_2_15"/>
      <w:bookmarkStart w:id="1964" w:name="Tc_ro2zJJZZ00uMcot-EMfvrg_2_14"/>
      <w:bookmarkStart w:id="1965" w:name="Tc_kzPpQU0UGEGAXa8k7S4nCQ_2_11"/>
      <w:bookmarkStart w:id="1966" w:name="Tc_R6zbUyJTck6s59E0EWyJ8g_2_8"/>
      <w:bookmarkStart w:id="1967" w:name="Tc_qo_plu0Ij0WqKkVv6fKGFg_2_6"/>
      <w:bookmarkStart w:id="1968" w:name="Tc_s3y7BmO34U6Q_mSrk2h90w_2_5"/>
      <w:bookmarkStart w:id="1969" w:name="Tc_SWtcLuQ42EG1Jn91y_50Nw_2_3"/>
      <w:bookmarkStart w:id="1970" w:name="Tc_Ib6RZ51-Lkeev_X87I10cw_2_2"/>
      <w:bookmarkStart w:id="1971" w:name="Tc_9Lu0Lc98BUS3Q1Z3HwRaSg_2_0"/>
      <w:bookmarkStart w:id="1972" w:name="Tc_dEB-9Yj6DkaWMOvBVSsQ3Q_1_14"/>
      <w:bookmarkStart w:id="1973" w:name="Tc_YxGgU8vf_EO2gcYLCMP3hQ_1_11"/>
      <w:bookmarkStart w:id="1974" w:name="Tc_zbwP_4IgWECDyyMHyL0fLw_1_8"/>
      <w:bookmarkStart w:id="1975" w:name="Tc_olOJPhaImEKY-8GQgw3jgg_1_5"/>
      <w:bookmarkStart w:id="1976" w:name="Tc_zjkxenR_IUmRgwKYpP_khg_1_2"/>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r>
        <w:rPr>
          <w:rFonts w:ascii="Times New Roman;Times;serif" w:hAnsi="Times New Roman;Times;serif"/>
          <w:sz w:val="20"/>
        </w:rPr>
        <w:t>These losses, if not utilized, will expire as follows:</w:t>
      </w:r>
    </w:p>
    <w:p>
      <w:pPr>
        <w:pStyle w:val="TextBody"/>
        <w:bidi w:val="0"/>
        <w:spacing w:before="0" w:after="240"/>
        <w:ind w:left="360" w:right="0" w:firstLine="360"/>
        <w:jc w:val="both"/>
        <w:rPr/>
      </w:pPr>
      <w:r>
        <w:rPr/>
        <w:t>​</w:t>
      </w:r>
    </w:p>
    <w:tbl>
      <w:tblPr>
        <w:tblW w:w="8309" w:type="dxa"/>
        <w:jc w:val="left"/>
        <w:tblInd w:w="0" w:type="dxa"/>
        <w:tblLayout w:type="fixed"/>
        <w:tblCellMar>
          <w:top w:w="0" w:type="dxa"/>
          <w:left w:w="0" w:type="dxa"/>
          <w:bottom w:w="0" w:type="dxa"/>
          <w:right w:w="0" w:type="dxa"/>
        </w:tblCellMar>
      </w:tblPr>
      <w:tblGrid>
        <w:gridCol w:w="1861"/>
        <w:gridCol w:w="346"/>
        <w:gridCol w:w="211"/>
        <w:gridCol w:w="676"/>
        <w:gridCol w:w="346"/>
        <w:gridCol w:w="211"/>
        <w:gridCol w:w="676"/>
        <w:gridCol w:w="346"/>
        <w:gridCol w:w="253"/>
        <w:gridCol w:w="812"/>
        <w:gridCol w:w="346"/>
        <w:gridCol w:w="211"/>
        <w:gridCol w:w="676"/>
        <w:gridCol w:w="346"/>
        <w:gridCol w:w="211"/>
        <w:gridCol w:w="781"/>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181735" cy="175260"/>
                      <wp:effectExtent l="0" t="0" r="0" b="0"/>
                      <wp:wrapNone/>
                      <wp:docPr id="459" name="Frame437"/>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0"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3985" cy="175260"/>
                      <wp:effectExtent l="0" t="0" r="0" b="0"/>
                      <wp:wrapNone/>
                      <wp:docPr id="461"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29260" cy="175260"/>
                      <wp:effectExtent l="0" t="0" r="0" b="0"/>
                      <wp:wrapNone/>
                      <wp:docPr id="462" name="Frame4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3"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4"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29260" cy="175260"/>
                      <wp:effectExtent l="0" t="0" r="0" b="0"/>
                      <wp:wrapNone/>
                      <wp:docPr id="465" name="Frame4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66"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60655" cy="175260"/>
                      <wp:effectExtent l="0" t="0" r="0" b="0"/>
                      <wp:wrapNone/>
                      <wp:docPr id="467" name="Frame44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15620" cy="175260"/>
                      <wp:effectExtent l="0" t="0" r="0" b="0"/>
                      <wp:wrapNone/>
                      <wp:docPr id="468" name="Frame446"/>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69"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70" name="Frame4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29260" cy="175260"/>
                      <wp:effectExtent l="0" t="0" r="0" b="0"/>
                      <wp:wrapNone/>
                      <wp:docPr id="471" name="Frame4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2"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33985" cy="175260"/>
                      <wp:effectExtent l="0" t="0" r="0" b="0"/>
                      <wp:wrapNone/>
                      <wp:docPr id="473"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95935" cy="175260"/>
                      <wp:effectExtent l="0" t="0" r="0" b="0"/>
                      <wp:wrapNone/>
                      <wp:docPr id="474" name="Frame4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Canada</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Singapore</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United States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Nauru</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Tonga</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2041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2042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expiry</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21,962</w:t>
            </w:r>
          </w:p>
        </w:tc>
        <w:tc>
          <w:tcPr>
            <w:tcW w:w="346" w:type="dxa"/>
            <w:tcBorders/>
            <w:vAlign w:val="center"/>
          </w:tcPr>
          <w:p>
            <w:pPr>
              <w:pStyle w:val="TableContents"/>
              <w:bidi w:val="0"/>
              <w:spacing w:before="0" w:after="0"/>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46,148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carry-forwards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54,683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21,962</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46,148</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 files income tax returns in Canada, the United States, Singapore and Tonga, and is subject to examination in these jurisdictions for all years since the Company’s inception in 2011. As at December 31, 2025,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 at December 31, 2025, the 2025 tax year filings for the Company and its subsidiaries (where applicable) remain unfiled and have not been assessed by the relative tax authorities.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Subsequent Event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25, 2026, the 2024 Lenders extended the maturity date of the 2024 Credit Facility by one year, expiring on June 30, 2027, subject to further extension to June 30, 2028 at the election of the 2024 Lenders.</w:t>
      </w:r>
    </w:p>
    <w:p>
      <w:pPr>
        <w:pStyle w:val="TextBody"/>
        <w:bidi w:val="0"/>
        <w:spacing w:before="0" w:after="240"/>
        <w:ind w:left="36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977" w:name="Item9CHANGESINANDDISAGREEMENTSWITHACCOUN"/>
      <w:bookmarkStart w:id="1978" w:name="_34e29fe7_09ec_42fd_9047_986973debfed"/>
      <w:bookmarkEnd w:id="1977"/>
      <w:bookmarkEnd w:id="1978"/>
      <w:r>
        <w:rPr>
          <w:rFonts w:ascii="Times New Roman;Times;serif" w:hAnsi="Times New Roman;Times;serif"/>
          <w:b/>
          <w:i w:val="false"/>
          <w:caps w:val="false"/>
          <w:smallCaps w:val="false"/>
          <w:sz w:val="20"/>
        </w:rPr>
        <w:t>Item 9.</w:t>
      </w:r>
      <w:r>
        <w:rPr>
          <w:rFonts w:ascii="Times New Roman;Times;serif" w:hAnsi="Times New Roman;Times;serif"/>
          <w:b/>
          <w:sz w:val="20"/>
        </w:rPr>
        <w:t>CHANGES IN AND DISAGREEMENTS WITH ACCOUNTANTS ON ACCOUNTING AND FINANCIAL DISCLOSURE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sz w:val="20"/>
        </w:rPr>
      </w:pPr>
      <w:bookmarkStart w:id="1979" w:name="Item9ACONTROLSANDPROCEDURES_995621"/>
      <w:bookmarkStart w:id="1980" w:name="_0859ba91_66b1_434f_963f_14b83c44936f"/>
      <w:bookmarkEnd w:id="1979"/>
      <w:bookmarkEnd w:id="1980"/>
      <w:r>
        <w:rPr>
          <w:rFonts w:ascii="Times New Roman;Times;serif" w:hAnsi="Times New Roman;Times;serif"/>
          <w:b/>
          <w:i w:val="false"/>
          <w:caps w:val="false"/>
          <w:smallCaps w:val="false"/>
          <w:sz w:val="20"/>
        </w:rPr>
        <w:t>Item 9A.</w:t>
      </w:r>
      <w:r>
        <w:rPr>
          <w:rFonts w:ascii="Times New Roman;Times;serif" w:hAnsi="Times New Roman;Times;serif"/>
          <w:b/>
          <w:sz w:val="20"/>
        </w:rPr>
        <w:t>CONTROLS AND PROCEDURES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December 31, 2025.</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Management’s Annual Report on Internal Control over Financial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Internal control over financial reporting is defined in Rules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the assets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2025,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Times New Roman;Times;serif" w:hAnsi="Times New Roman;Times;serif"/>
          <w:i/>
          <w:sz w:val="20"/>
        </w:rPr>
        <w:t>Internal Control-Integrated Framework (2013)</w:t>
      </w:r>
      <w:r>
        <w:rPr>
          <w:rFonts w:ascii="Times New Roman;Times;serif" w:hAnsi="Times New Roman;Times;serif"/>
          <w:sz w:val="20"/>
        </w:rPr>
        <w:t xml:space="preserve"> issued by the Committee of Sponsoring Organizations of the Treadway Commission. Based on this assessment, our management concluded that, as of December 31, 2025, our internal controls over financial reporting, were effective, following the remediation of a material weakness discussed below.</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previously disclosed in our Annual Report on Form 10-K for the year ended December 31, 2023 (the “2023 Annual Report on Form 10-K”), management identified a material weakness in the operating effectiveness of our internal control over the accounting for significant, non-routine transactions that resulted from the inadequate and untimely involvement of stakeholders and technical advisors with an appropriate level of expertise to account for significant, non-routine transactions.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This material weakness resulted in errors in the financial statements and related disclosures in our Quarterly Reports on Form 10-Q for the quarter ended March 31, 2023, and for the six months ended June 30, 2023 and nine months ended September 30, 2023. See Note 23 to the audited consolidated financial statements for the year ended December 31, 2023, included in our 2023 Annual Report on Form 10-K for more information about these errors and our revisions to these previously issued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order to remediate this material weakness, we developed a policy to assist with the identification of significant, non-routine transactions and to define the processes to follow in addressing the accounting and reporting requirements of these transactions. In addition, we rolled out training on processes and controls related to significant, non-routine transactions and identifying circumstances under which we use technical advisors in connection with evaluating such transactions. In 2025, we identified several significant, non-routine transactions that occurred, and we applied the processes as required under the new policy. The new policy, processes and training worked as designed and resulted with the proper accounting and reporting of these significant, non-routine transactions in 2025. As a result, our management concluded that the material weakness had been remediated.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noted above, there were no changes in our internal control over financial reporting identified in connection with the evaluation of such internal control that occurred during the fourth quarter of the year ended December 31, 2025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Limitations on the Effectiveness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hanging="0"/>
        <w:jc w:val="left"/>
        <w:rPr>
          <w:rFonts w:ascii="Times New Roman;Times;serif" w:hAnsi="Times New Roman;Times;serif"/>
          <w:sz w:val="20"/>
        </w:rPr>
      </w:pPr>
      <w:bookmarkStart w:id="1981" w:name="Item9BOTHERINFORMATION_269005"/>
      <w:bookmarkStart w:id="1982" w:name="_b0dba15e_6e35_4358_a472_4ef98783d1be"/>
      <w:bookmarkEnd w:id="1981"/>
      <w:bookmarkEnd w:id="1982"/>
      <w:r>
        <w:rPr>
          <w:rFonts w:ascii="Times New Roman;Times;serif" w:hAnsi="Times New Roman;Times;serif"/>
          <w:b/>
          <w:i w:val="false"/>
          <w:caps w:val="false"/>
          <w:smallCaps w:val="false"/>
          <w:sz w:val="20"/>
        </w:rPr>
        <w:t>Item 9B.</w:t>
      </w:r>
      <w:r>
        <w:rPr>
          <w:rFonts w:ascii="Times New Roman;Times;serif" w:hAnsi="Times New Roman;Times;serif"/>
          <w:b/>
          <w:sz w:val="20"/>
        </w:rPr>
        <w:t>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fiscal quarter ended December 31, 2025,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0" w:after="240"/>
        <w:ind w:left="0" w:right="0" w:hanging="0"/>
        <w:jc w:val="left"/>
        <w:rPr>
          <w:rFonts w:ascii="Times New Roman;Times;serif" w:hAnsi="Times New Roman;Times;serif"/>
          <w:sz w:val="20"/>
        </w:rPr>
      </w:pPr>
      <w:bookmarkStart w:id="1983" w:name="Item9CDISCLOSUREREGARDINGFOREIGNJURISDIC"/>
      <w:bookmarkStart w:id="1984" w:name="_002e9fc9_b897_4bd8_acb1_58f12021b53e"/>
      <w:bookmarkEnd w:id="1983"/>
      <w:bookmarkEnd w:id="1984"/>
      <w:r>
        <w:rPr>
          <w:rFonts w:ascii="Times New Roman;Times;serif" w:hAnsi="Times New Roman;Times;serif"/>
          <w:b/>
          <w:i w:val="false"/>
          <w:caps w:val="false"/>
          <w:smallCaps w:val="false"/>
          <w:sz w:val="20"/>
        </w:rPr>
        <w:t>Item 9C.</w:t>
      </w:r>
      <w:r>
        <w:rPr>
          <w:rFonts w:ascii="Times New Roman;Times;serif" w:hAnsi="Times New Roman;Times;serif"/>
          <w:b/>
          <w:sz w:val="20"/>
        </w:rPr>
        <w:t>DISCLOSURE REGARDING FOREIGN JURISDICTIONS THAT PREVENT INSPECTIONS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85" w:name="PARTIII_202751"/>
      <w:bookmarkStart w:id="1986" w:name="_5eddfea5_475b_4f0c_af29_17ec3c791ed1"/>
      <w:bookmarkEnd w:id="1985"/>
      <w:bookmarkEnd w:id="1986"/>
      <w:r>
        <w:rPr>
          <w:rFonts w:ascii="Times New Roman;Times;serif" w:hAnsi="Times New Roman;Times;serif"/>
          <w:b/>
          <w:sz w:val="20"/>
        </w:rPr>
        <w:t>PART III</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987" w:name="Item10DIRECTORSEXECUTIVEOFFICERSANDCORPO"/>
      <w:bookmarkEnd w:id="1987"/>
      <w:r>
        <w:rPr>
          <w:rFonts w:ascii="Times New Roman;Times;serif" w:hAnsi="Times New Roman;Times;serif"/>
          <w:b/>
          <w:i w:val="false"/>
          <w:caps w:val="false"/>
          <w:smallCaps w:val="false"/>
          <w:sz w:val="20"/>
        </w:rPr>
        <w:t>Item 10.</w:t>
      </w:r>
      <w:r>
        <w:rPr>
          <w:rFonts w:ascii="Times New Roman;Times;serif" w:hAnsi="Times New Roman;Times;serif"/>
          <w:b/>
          <w:sz w:val="20"/>
        </w:rPr>
        <w:t>DIRECTORS, EXECUTIVE OFFICERS AND CORPORATE GOVERNANCE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response to this item is incorporated by reference from the discussion responsive thereto under the captions “Management and Corporate Governance,” “Code of Business Conduct and Ethics” and “Delinquent Section 16(a) Reports”, if applicable, in our Proxy Statement for the 2026 annual meeting of shareholders (the “Proxy Statement”) to be filed with the SEC within 120 days of the fiscal year ended December 31, 2026 and any other applicable sections of the Proxy Statement.</w:t>
      </w:r>
    </w:p>
    <w:p>
      <w:pPr>
        <w:pStyle w:val="TextBody"/>
        <w:bidi w:val="0"/>
        <w:spacing w:before="0" w:after="240"/>
        <w:ind w:left="0" w:right="0" w:hanging="0"/>
        <w:jc w:val="left"/>
        <w:rPr>
          <w:rFonts w:ascii="Times New Roman;Times;serif" w:hAnsi="Times New Roman;Times;serif"/>
          <w:sz w:val="20"/>
        </w:rPr>
      </w:pPr>
      <w:bookmarkStart w:id="1988" w:name="Item11EXECUTIVECOMPENSATION_440495"/>
      <w:bookmarkStart w:id="1989" w:name="_5d5a6521_b793_4d85_ba3e_e42d74c3f18e"/>
      <w:bookmarkEnd w:id="1988"/>
      <w:bookmarkEnd w:id="1989"/>
      <w:r>
        <w:rPr>
          <w:rFonts w:ascii="Times New Roman;Times;serif" w:hAnsi="Times New Roman;Times;serif"/>
          <w:b/>
          <w:i w:val="false"/>
          <w:caps w:val="false"/>
          <w:smallCaps w:val="false"/>
          <w:sz w:val="20"/>
        </w:rPr>
        <w:t>Item 11.</w:t>
      </w:r>
      <w:r>
        <w:rPr>
          <w:rFonts w:ascii="Times New Roman;Times;serif" w:hAnsi="Times New Roman;Times;serif"/>
          <w:b/>
          <w:sz w:val="20"/>
        </w:rPr>
        <w:t>EXECUTIVE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response to this item is incorporated by reference from the discussion responsive thereto under the caption “Executive Officer and Director Compensation” in the Proxy Statement and any other applicable sections of the Proxy Statement.</w:t>
      </w:r>
    </w:p>
    <w:p>
      <w:pPr>
        <w:pStyle w:val="TextBody"/>
        <w:bidi w:val="0"/>
        <w:spacing w:before="0" w:after="240"/>
        <w:ind w:left="0" w:right="0" w:hanging="0"/>
        <w:jc w:val="left"/>
        <w:rPr>
          <w:rFonts w:ascii="Times New Roman;Times;serif" w:hAnsi="Times New Roman;Times;serif"/>
          <w:sz w:val="20"/>
        </w:rPr>
      </w:pPr>
      <w:bookmarkStart w:id="1990" w:name="Item12SECURITYOWNERSHIPOFCERTAINBENEFICI"/>
      <w:bookmarkStart w:id="1991" w:name="_74c45874_21e8_4e40_881e_ee3f5f3de589"/>
      <w:bookmarkEnd w:id="1990"/>
      <w:bookmarkEnd w:id="1991"/>
      <w:r>
        <w:rPr>
          <w:rFonts w:ascii="Times New Roman;Times;serif" w:hAnsi="Times New Roman;Times;serif"/>
          <w:b/>
          <w:i w:val="false"/>
          <w:caps w:val="false"/>
          <w:smallCaps w:val="false"/>
          <w:sz w:val="20"/>
        </w:rPr>
        <w:t>Item 12.</w:t>
      </w:r>
      <w:r>
        <w:rPr>
          <w:rFonts w:ascii="Times New Roman;Times;serif" w:hAnsi="Times New Roman;Times;serif"/>
          <w:b/>
          <w:sz w:val="20"/>
        </w:rPr>
        <w:t>SECURITY OWNERSHIP OF CERTAIN BENEFICIAL OWNERS AND MANAGEMENT AND RELATED STOCKHOLDER MATTERS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response to this item is incorporated by reference from the discussion responsive thereto under the captions “Security Ownership of Certain Beneficial Owners and Management” and “Equity Compensation Plan Information” in the Proxy Statement and any other applicable sections of the Proxy Statement.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992" w:name="Item13CERTAINRELATIONSHIPSANDRELATEDTRAN"/>
      <w:bookmarkStart w:id="1993" w:name="_44be3b4c_d103_4c07_91c3_7975b96b5ad1"/>
      <w:bookmarkEnd w:id="1992"/>
      <w:bookmarkEnd w:id="1993"/>
      <w:r>
        <w:rPr>
          <w:rFonts w:ascii="Times New Roman;Times;serif" w:hAnsi="Times New Roman;Times;serif"/>
          <w:b/>
          <w:i w:val="false"/>
          <w:caps w:val="false"/>
          <w:smallCaps w:val="false"/>
          <w:sz w:val="20"/>
        </w:rPr>
        <w:t>Item 13.</w:t>
      </w:r>
      <w:r>
        <w:rPr>
          <w:rFonts w:ascii="Times New Roman;Times;serif" w:hAnsi="Times New Roman;Times;serif"/>
          <w:b/>
          <w:sz w:val="20"/>
        </w:rPr>
        <w:t>CERTAIN RELATIONSHIPS AND RELATED TRANSACTIONS, AND DIRECTOR INDEPENDENCE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response to this item is incorporated by reference from the discussion responsive thereto under the captions “Certain Relationships and Related Person Transactions” and “Management and Corporate Governance” in the Proxy Statement and any other applicable sections of the Proxy Statement.</w:t>
      </w:r>
    </w:p>
    <w:p>
      <w:pPr>
        <w:pStyle w:val="TextBody"/>
        <w:bidi w:val="0"/>
        <w:spacing w:before="0" w:after="200"/>
        <w:ind w:left="0" w:right="0" w:hanging="0"/>
        <w:jc w:val="left"/>
        <w:rPr>
          <w:rFonts w:ascii="Times New Roman;Times;serif" w:hAnsi="Times New Roman;Times;serif"/>
          <w:sz w:val="20"/>
        </w:rPr>
      </w:pPr>
      <w:bookmarkStart w:id="1994" w:name="Item14PRINCIPALACCOUNTINGFEESANDSERVICES"/>
      <w:bookmarkStart w:id="1995" w:name="_b360de7b_28a7_4404_90ba_0e0769edc83f"/>
      <w:bookmarkEnd w:id="1994"/>
      <w:bookmarkEnd w:id="1995"/>
      <w:r>
        <w:rPr>
          <w:rFonts w:ascii="Times New Roman;Times;serif" w:hAnsi="Times New Roman;Times;serif"/>
          <w:b/>
          <w:i w:val="false"/>
          <w:caps w:val="false"/>
          <w:smallCaps w:val="false"/>
          <w:sz w:val="20"/>
        </w:rPr>
        <w:t>Item 14.</w:t>
      </w:r>
      <w:r>
        <w:rPr>
          <w:rFonts w:ascii="Times New Roman;Times;serif" w:hAnsi="Times New Roman;Times;serif"/>
          <w:b/>
          <w:sz w:val="20"/>
        </w:rPr>
        <w:t>PRINCIPAL ACCOUNTANT FEES AND SERVICES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response to this item is incorporated by reference from the discussion responsive thereto under the caption “Proposal No. 3 - Appointment of the Independent Registered Public Accounting Firm” in the Proxy Statement and any other applicable sections of the Proxy 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96" w:name="PARTIV_428777"/>
      <w:bookmarkStart w:id="1997" w:name="_9c89994c_5f3d_4273_9057_746c3c51c4e2"/>
      <w:bookmarkEnd w:id="1996"/>
      <w:bookmarkEnd w:id="1997"/>
      <w:r>
        <w:rPr>
          <w:rFonts w:ascii="Times New Roman;Times;serif" w:hAnsi="Times New Roman;Times;serif"/>
          <w:b/>
          <w:sz w:val="20"/>
        </w:rPr>
        <w:t>PART IV</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998" w:name="Item15EXHIBITSANDFINANCIALSTATEMENTSCHED"/>
      <w:bookmarkEnd w:id="1998"/>
      <w:r>
        <w:rPr>
          <w:rFonts w:ascii="Times New Roman;Times;serif" w:hAnsi="Times New Roman;Times;serif"/>
          <w:b/>
          <w:i w:val="false"/>
          <w:caps w:val="false"/>
          <w:smallCaps w:val="false"/>
          <w:sz w:val="20"/>
        </w:rPr>
        <w:t>Item 15.</w:t>
      </w:r>
      <w:r>
        <w:rPr>
          <w:rFonts w:ascii="Times New Roman;Times;serif" w:hAnsi="Times New Roman;Times;serif"/>
          <w:b/>
          <w:sz w:val="20"/>
        </w:rPr>
        <w:t>EXHIBITS AND FINANCIAL STATEMENT SCHEDULES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(1)  </w:t>
      </w:r>
      <w:r>
        <w:rPr>
          <w:rFonts w:ascii="Times New Roman;Times;serif" w:hAnsi="Times New Roman;Times;serif"/>
          <w:b/>
          <w:sz w:val="20"/>
        </w:rPr>
        <w:t>Financial Statements.</w:t>
      </w:r>
      <w:r>
        <w:rPr>
          <w:rFonts w:ascii="Times New Roman;Times;serif" w:hAnsi="Times New Roman;Times;serif"/>
          <w:sz w:val="20"/>
        </w:rPr>
        <w:t xml:space="preserve"> </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 xml:space="preserve">See “Index to Financial Statements and Financial Statement Schedules” under Part II, Item 8 to this Annual Report.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  </w:t>
      </w:r>
      <w:r>
        <w:rPr>
          <w:rFonts w:ascii="Times New Roman;Times;serif" w:hAnsi="Times New Roman;Times;serif"/>
          <w:b/>
          <w:sz w:val="20"/>
        </w:rPr>
        <w:t>Financial Statement Schedules.</w:t>
      </w:r>
      <w:r>
        <w:rPr>
          <w:rFonts w:ascii="Times New Roman;Times;serif" w:hAnsi="Times New Roman;Times;serif"/>
          <w:sz w:val="20"/>
        </w:rPr>
        <w:t xml:space="preserve"> </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 xml:space="preserve">Financial Statement schedules have not been included because they are not applicable or the information is included in the financial statements or notes thereto.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b/>
          <w:sz w:val="20"/>
        </w:rPr>
        <w:t>Exhibits.</w:t>
      </w:r>
    </w:p>
    <w:tbl>
      <w:tblPr>
        <w:tblW w:w="10205" w:type="dxa"/>
        <w:jc w:val="left"/>
        <w:tblInd w:w="0" w:type="dxa"/>
        <w:tblLayout w:type="fixed"/>
        <w:tblCellMar>
          <w:top w:w="28" w:type="dxa"/>
          <w:left w:w="112" w:type="dxa"/>
          <w:bottom w:w="28" w:type="dxa"/>
          <w:right w:w="0" w:type="dxa"/>
        </w:tblCellMar>
      </w:tblPr>
      <w:tblGrid>
        <w:gridCol w:w="811"/>
        <w:gridCol w:w="346"/>
        <w:gridCol w:w="4069"/>
        <w:gridCol w:w="346"/>
        <w:gridCol w:w="710"/>
        <w:gridCol w:w="346"/>
        <w:gridCol w:w="1272"/>
        <w:gridCol w:w="346"/>
        <w:gridCol w:w="689"/>
        <w:gridCol w:w="346"/>
        <w:gridCol w:w="924"/>
      </w:tblGrid>
      <w:tr>
        <w:trPr/>
        <w:tc>
          <w:tcPr>
            <w:tcW w:w="81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Number</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  ​ ​ ​</w:t>
            </w:r>
          </w:p>
        </w:tc>
        <w:tc>
          <w:tcPr>
            <w:tcW w:w="406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  ​ ​ ​</w:t>
            </w:r>
          </w:p>
        </w:tc>
        <w:tc>
          <w:tcPr>
            <w:tcW w:w="71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Filed</w:t>
            </w:r>
            <w:r>
              <w:rPr>
                <w:rFonts w:ascii="Times New Roman;Times;serif" w:hAnsi="Times New Roman;Times;serif"/>
                <w:sz w:val="20"/>
              </w:rPr>
              <w:br/>
            </w:r>
            <w:r>
              <w:rPr>
                <w:rFonts w:ascii="Times New Roman;Times;serif" w:hAnsi="Times New Roman;Times;serif"/>
                <w:b/>
                <w:sz w:val="20"/>
              </w:rPr>
              <w:t>with this</w:t>
            </w:r>
            <w:r>
              <w:rPr>
                <w:rFonts w:ascii="Times New Roman;Times;serif" w:hAnsi="Times New Roman;Times;serif"/>
                <w:sz w:val="20"/>
              </w:rPr>
              <w:br/>
            </w:r>
            <w:r>
              <w:rPr>
                <w:rFonts w:ascii="Times New Roman;Times;serif" w:hAnsi="Times New Roman;Times;serif"/>
                <w:b/>
                <w:sz w:val="20"/>
              </w:rPr>
              <w:t>Report</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  ​ ​ ​</w:t>
            </w:r>
          </w:p>
        </w:tc>
        <w:tc>
          <w:tcPr>
            <w:tcW w:w="12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Incorporated by</w:t>
            </w:r>
            <w:r>
              <w:rPr>
                <w:rFonts w:ascii="Times New Roman;Times;serif" w:hAnsi="Times New Roman;Times;serif"/>
                <w:sz w:val="20"/>
              </w:rPr>
              <w:br/>
            </w:r>
            <w:r>
              <w:rPr>
                <w:rFonts w:ascii="Times New Roman;Times;serif" w:hAnsi="Times New Roman;Times;serif"/>
                <w:b/>
                <w:sz w:val="20"/>
              </w:rPr>
              <w:t>Reference</w:t>
            </w:r>
            <w:r>
              <w:rPr>
                <w:rFonts w:ascii="Times New Roman;Times;serif" w:hAnsi="Times New Roman;Times;serif"/>
                <w:sz w:val="20"/>
              </w:rPr>
              <w:br/>
            </w:r>
            <w:r>
              <w:rPr>
                <w:rFonts w:ascii="Times New Roman;Times;serif" w:hAnsi="Times New Roman;Times;serif"/>
                <w:b/>
                <w:sz w:val="20"/>
              </w:rPr>
              <w:t>herein from</w:t>
            </w:r>
            <w:r>
              <w:rPr>
                <w:rFonts w:ascii="Times New Roman;Times;serif" w:hAnsi="Times New Roman;Times;serif"/>
                <w:sz w:val="20"/>
              </w:rPr>
              <w:br/>
            </w:r>
            <w:r>
              <w:rPr>
                <w:rFonts w:ascii="Times New Roman;Times;serif" w:hAnsi="Times New Roman;Times;serif"/>
                <w:b/>
                <w:sz w:val="20"/>
              </w:rPr>
              <w:t>Form or</w:t>
            </w:r>
            <w:r>
              <w:rPr>
                <w:rFonts w:ascii="Times New Roman;Times;serif" w:hAnsi="Times New Roman;Times;serif"/>
                <w:sz w:val="20"/>
              </w:rPr>
              <w:br/>
            </w:r>
            <w:r>
              <w:rPr>
                <w:rFonts w:ascii="Times New Roman;Times;serif" w:hAnsi="Times New Roman;Times;serif"/>
                <w:b/>
                <w:sz w:val="20"/>
              </w:rPr>
              <w:t>Schedule</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lineRule="auto" w:line="240" w:before="0" w:after="0"/>
              <w:ind w:left="0" w:right="0" w:hanging="0"/>
              <w:jc w:val="left"/>
              <w:rPr/>
            </w:pPr>
            <w:r>
              <w:rPr/>
              <w:t>  ​ ​ ​​</w:t>
            </w:r>
          </w:p>
        </w:tc>
        <w:tc>
          <w:tcPr>
            <w:tcW w:w="68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  ​ ​ ​</w:t>
            </w:r>
          </w:p>
        </w:tc>
        <w:tc>
          <w:tcPr>
            <w:tcW w:w="924" w:type="dxa"/>
            <w:tcBorders>
              <w:top w:val="single" w:sz="2" w:space="0" w:color="000000"/>
              <w:bottom w:val="single" w:sz="2" w:space="0" w:color="000000"/>
              <w:right w:val="single" w:sz="2" w:space="0" w:color="000000"/>
            </w:tcBorders>
            <w:tcMar>
              <w:left w:w="0" w:type="dxa"/>
              <w:right w:w="112"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SEC File/Reg.</w:t>
            </w:r>
            <w:r>
              <w:rPr>
                <w:rFonts w:ascii="Times New Roman;Times;serif" w:hAnsi="Times New Roman;Times;serif"/>
                <w:sz w:val="20"/>
              </w:rPr>
              <w:br/>
            </w:r>
            <w:r>
              <w:rPr>
                <w:rFonts w:ascii="Times New Roman;Times;serif" w:hAnsi="Times New Roman;Times;serif"/>
                <w:b/>
                <w:sz w:val="20"/>
              </w:rPr>
              <w:t>Number</w:t>
            </w:r>
          </w:p>
        </w:tc>
      </w:tr>
      <w:tr>
        <w:trPr/>
        <w:tc>
          <w:tcPr>
            <w:tcW w:w="811"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Business Combination Agreement, dated as of March 4, 2021, by and among Sustainable Opportunities Acquisition Corp., 1291924 B.C. Unlimited Liability Company and DeepGreen Metals Inc.</w:t>
              </w:r>
            </w:hyperlink>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2.1)</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3/4/2021</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w:anchor="tmc-20251231xex3d1.htm">
              <w:r>
                <w:rPr>
                  <w:rStyle w:val="InternetLink"/>
                  <w:rFonts w:ascii="Times New Roman;Times;serif" w:hAnsi="Times New Roman;Times;serif"/>
                  <w:b w:val="false"/>
                  <w:i w:val="false"/>
                  <w:caps w:val="false"/>
                  <w:smallCaps w:val="false"/>
                  <w:sz w:val="20"/>
                </w:rPr>
                <w:t>Notice of Articles of TMC the metals company Inc.</w:t>
              </w:r>
            </w:hyperlink>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pPr>
            <w:r>
              <w:rPr/>
              <w:t>​</w:t>
            </w:r>
          </w:p>
        </w:tc>
      </w:tr>
      <w:tr>
        <w:trPr/>
        <w:tc>
          <w:tcPr>
            <w:tcW w:w="811"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Articles of TMC the metals company Inc.</w:t>
              </w:r>
            </w:hyperlink>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3.3)</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1/2/2026</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w:anchor="tmc-20251231xex4d1.htm">
              <w:r>
                <w:rPr>
                  <w:rStyle w:val="InternetLink"/>
                  <w:rFonts w:ascii="Times New Roman;Times;serif" w:hAnsi="Times New Roman;Times;serif"/>
                  <w:b w:val="false"/>
                  <w:i w:val="false"/>
                  <w:caps w:val="false"/>
                  <w:smallCaps w:val="false"/>
                  <w:sz w:val="20"/>
                </w:rPr>
                <w:t>Description of Securities</w:t>
              </w:r>
            </w:hyperlink>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71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pPr>
            <w:r>
              <w:rPr/>
              <w:t>​</w:t>
            </w:r>
          </w:p>
        </w:tc>
      </w:tr>
      <w:tr>
        <w:trPr/>
        <w:tc>
          <w:tcPr>
            <w:tcW w:w="811"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TMC the metals company Inc. Common Share Certificate</w:t>
              </w:r>
            </w:hyperlink>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4.1)</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9/15/2021</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both"/>
              <w:rPr/>
            </w:pPr>
            <w:r>
              <w:rPr/>
              <w:t>​</w:t>
            </w:r>
          </w:p>
        </w:tc>
        <w:tc>
          <w:tcPr>
            <w:tcW w:w="406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Warrant Agreement, dated as of May 8, 2020, between Continental Stock Transfer &amp; Trust Company and Sustainable Opportunities Acquisition Corp.</w:t>
              </w:r>
            </w:hyperlink>
            <w:r>
              <w:rPr>
                <w:rFonts w:ascii="Times New Roman;Times;serif" w:hAnsi="Times New Roman;Times;serif"/>
                <w:sz w:val="20"/>
              </w:rPr>
              <w:t xml:space="preserve"> </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71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12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4.1)</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5/8/2020</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924"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Form of Class A Warrant to Purchase Common Stock</w:t>
              </w:r>
            </w:hyperlink>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4.1)</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8/14/2023</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4.5.1</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Form of Class B Warrant to Purchase Common Stock</w:t>
              </w:r>
            </w:hyperlink>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4.1)</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11/15/2024</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4.5.2</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Waiver to Class B Common Share Purchase Warrant</w:t>
              </w:r>
            </w:hyperlink>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4.1)</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6/18/2025</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Form of Class C Warrant to Purchase Common Stock</w:t>
              </w:r>
            </w:hyperlink>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4.1)</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5/12/2025</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Common Share Purchase Warrant, dated May 29, 2025, issued to the Government of the Republic of Nauru</w:t>
              </w:r>
            </w:hyperlink>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4.1)</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6/4/2025</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Common Share Purchase Warrant, dated August 4, 2025, issued to The Kingdom of Tonga</w:t>
              </w:r>
            </w:hyperlink>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4.1)</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8/4/2025</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Common Share Purchase Warrant, dated June 25, 2025, issued to Korea Zinc Company, Ltd.</w:t>
              </w:r>
            </w:hyperlink>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4.4)</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8/14/2025</w:t>
            </w:r>
          </w:p>
        </w:tc>
        <w:tc>
          <w:tcPr>
            <w:tcW w:w="346"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81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406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Strategic Alliance Agreement, dated as of March 29, 2019, by and between DeepGreen Metals Inc. and Allseas Group S.A.</w:t>
              </w:r>
            </w:hyperlink>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71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2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S-4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10.7)</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8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4/8/2021</w:t>
            </w:r>
          </w:p>
        </w:tc>
        <w:tc>
          <w:tcPr>
            <w:tcW w:w="346"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924"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333-255118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112" w:type="dxa"/>
          <w:bottom w:w="28" w:type="dxa"/>
          <w:right w:w="0" w:type="dxa"/>
        </w:tblCellMar>
      </w:tblPr>
      <w:tblGrid>
        <w:gridCol w:w="760"/>
        <w:gridCol w:w="109"/>
        <w:gridCol w:w="5990"/>
        <w:gridCol w:w="109"/>
        <w:gridCol w:w="109"/>
        <w:gridCol w:w="109"/>
        <w:gridCol w:w="1304"/>
        <w:gridCol w:w="109"/>
        <w:gridCol w:w="626"/>
        <w:gridCol w:w="109"/>
        <w:gridCol w:w="871"/>
      </w:tblGrid>
      <w:tr>
        <w:trPr/>
        <w:tc>
          <w:tcPr>
            <w:tcW w:w="76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Third Amendment to Pilot Mining Test Agreement and First Amendment to Strategic Alliance Agreement, dated as of March 4, 2021, by and between DeepGreen Metals Inc. and Allseas Group S.A.</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S-4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10.9)</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4/8/2021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333-255118</w:t>
            </w:r>
          </w:p>
        </w:tc>
      </w:tr>
      <w:tr>
        <w:trPr/>
        <w:tc>
          <w:tcPr>
            <w:tcW w:w="7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Fourth Amendment to Pilot Mining Test Agreement and Second Amendment to Strategic Alliance Agreement, dated as of June 30, 2021, by and between DeepGreen Metals Inc. and Allseas Group S.A.</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S-4/A</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10.23)</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7/14/2021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333-255118</w:t>
            </w:r>
          </w:p>
        </w:tc>
      </w:tr>
      <w:tr>
        <w:trPr/>
        <w:tc>
          <w:tcPr>
            <w:tcW w:w="76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Fifth Amendment to Pilot Mining Test Agreement and Third Amendment to Strategic Alliance Agreement, effective as of February 8, 2023, by and among DeepGreen Engineering Pte Ltd, DeepGreen Metals Inc., TMC the metals company Inc. and Allseas Group S.A.</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2/17/2023</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Exclusive Vessel Use Agreement, dated August 1, 2023, by and between TMC the metals company Inc. and Allseas Group S.A.</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8/1/2023</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Sponsorship Agreement, dated August 4, 2025, among The Government of The Kingdom of Tonga and Tonga Offshore Mining Limited</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 8-K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8/4/2025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Deed of Guarantee and Indemnity, dated August 4, 2025, by TMC the metals company Inc. in favor of The Kingdom of Tonga</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 8-K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8/4/2025</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Sponsorship Agreement, dated May 29, 2025, among the Government of the Republic of Nauru, the Nauru Seabed Minerals Authority, and Nauru Ocean Resources Inc.</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 8-K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6/4/2025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Deed of Guarantee and Indemnity, dated May 29, 2025, by TMC the metals company Inc. in favor of the Government of the Republic of Nauru</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 8-K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6/4/2025</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Certificate of the Sponsorship signed by the Government of Nauru on April 11, 2011</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S-4/A</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10.24)</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7/29/2021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333-255118</w:t>
            </w:r>
          </w:p>
        </w:tc>
      </w:tr>
      <w:tr>
        <w:trPr/>
        <w:tc>
          <w:tcPr>
            <w:tcW w:w="7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ISA Contract for Exploration (Republic of Nauru) dated as of July 22, 2011</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S-4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10.15)</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4/8/2021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333-255118</w:t>
            </w:r>
          </w:p>
        </w:tc>
      </w:tr>
      <w:tr>
        <w:trPr/>
        <w:tc>
          <w:tcPr>
            <w:tcW w:w="76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ISA Contract for Exploration (Kingdom of Tonga) dated as of January 11, 2012</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S-4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10.16)</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4/8/2021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333-255118</w:t>
            </w:r>
          </w:p>
        </w:tc>
      </w:tr>
      <w:tr>
        <w:trPr/>
        <w:tc>
          <w:tcPr>
            <w:tcW w:w="7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Form of Indemnity Agreement</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10.18)</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9/15/2021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Nonemployee Director Compensation Policy</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10.19)</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9/15/2021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Employment Agreement, dated April 16, 2024, by and between DeepGreen Metals UAE and Gerard Barron</w:t>
              </w:r>
            </w:hyperlink>
            <w:r>
              <w:rPr>
                <w:rFonts w:ascii="Times New Roman;Times;serif" w:hAnsi="Times New Roman;Times;serif"/>
                <w:sz w:val="20"/>
              </w:rPr>
              <w:t xml:space="preserve"> </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4/18/2024</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Amended and Restated Employment Agreement, dated November 11, 2022, by and between TMC the metals company Inc. and Erika Ilves</w:t>
              </w:r>
            </w:hyperlink>
            <w:r>
              <w:rPr>
                <w:rFonts w:ascii="Times New Roman;Times;serif" w:hAnsi="Times New Roman;Times;serif"/>
                <w:sz w:val="20"/>
              </w:rPr>
              <w:t xml:space="preserve"> </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10-K/A</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10.16)</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4/18/2024</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Amended and Restated Employment Agreement, dated May 6, 2022, by and between DeepGreen Resources, LLC and Craig Shesky</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5/9/2022</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6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99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52">
              <w:r>
                <w:rPr>
                  <w:rStyle w:val="InternetLink"/>
                  <w:rFonts w:ascii="Times New Roman;Times;serif" w:hAnsi="Times New Roman;Times;serif"/>
                  <w:b w:val="false"/>
                  <w:i w:val="false"/>
                  <w:caps w:val="false"/>
                  <w:smallCaps w:val="false"/>
                  <w:sz w:val="20"/>
                </w:rPr>
                <w:t>TMC the metals company Inc. 2021 Incentive Equity Plan, as amended</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30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8/29/2025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71"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112" w:type="dxa"/>
          <w:bottom w:w="28" w:type="dxa"/>
          <w:right w:w="0" w:type="dxa"/>
        </w:tblCellMar>
      </w:tblPr>
      <w:tblGrid>
        <w:gridCol w:w="755"/>
        <w:gridCol w:w="109"/>
        <w:gridCol w:w="5748"/>
        <w:gridCol w:w="109"/>
        <w:gridCol w:w="109"/>
        <w:gridCol w:w="109"/>
        <w:gridCol w:w="1572"/>
        <w:gridCol w:w="109"/>
        <w:gridCol w:w="624"/>
        <w:gridCol w:w="109"/>
        <w:gridCol w:w="852"/>
      </w:tblGrid>
      <w:tr>
        <w:trPr/>
        <w:tc>
          <w:tcPr>
            <w:tcW w:w="7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10.15.2+</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Form of Stock Option Agreement under TMC the metals company Inc. 2021 Incentive Equity Plan</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10.23.2)</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9/15/2021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10.15.3+</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54">
              <w:r>
                <w:rPr>
                  <w:rStyle w:val="InternetLink"/>
                  <w:rFonts w:ascii="Times New Roman;Times;serif" w:hAnsi="Times New Roman;Times;serif"/>
                  <w:b w:val="false"/>
                  <w:i w:val="false"/>
                  <w:caps w:val="false"/>
                  <w:smallCaps w:val="false"/>
                  <w:sz w:val="20"/>
                </w:rPr>
                <w:t>Form of Restricted Stock Unit Agreement under TMC the metals company Inc. 2021 Incentive Equity Plan</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10.23.3)</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9/15/2021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55">
              <w:r>
                <w:rPr>
                  <w:rStyle w:val="InternetLink"/>
                  <w:rFonts w:ascii="Times New Roman;Times;serif" w:hAnsi="Times New Roman;Times;serif"/>
                  <w:b w:val="false"/>
                  <w:i w:val="false"/>
                  <w:caps w:val="false"/>
                  <w:smallCaps w:val="false"/>
                  <w:sz w:val="20"/>
                </w:rPr>
                <w:t>DeepGreen Metals Inc. Stock Option Plan and Form of Stock Option Agreement thereunder</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S-4/A</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10.20)</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5/27/2021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333-255118</w:t>
            </w:r>
          </w:p>
        </w:tc>
      </w:tr>
      <w:tr>
        <w:trPr/>
        <w:tc>
          <w:tcPr>
            <w:tcW w:w="75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10.16.2+</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56">
              <w:r>
                <w:rPr>
                  <w:rStyle w:val="InternetLink"/>
                  <w:rFonts w:ascii="Times New Roman;Times;serif" w:hAnsi="Times New Roman;Times;serif"/>
                  <w:b w:val="false"/>
                  <w:i w:val="false"/>
                  <w:caps w:val="false"/>
                  <w:smallCaps w:val="false"/>
                  <w:sz w:val="20"/>
                </w:rPr>
                <w:t>Amendment to DeepGreen Metals Inc. Stock Option Plan</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S-4/A</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5/27/2021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333-255118</w:t>
            </w:r>
          </w:p>
        </w:tc>
      </w:tr>
      <w:tr>
        <w:trPr/>
        <w:tc>
          <w:tcPr>
            <w:tcW w:w="7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57">
              <w:r>
                <w:rPr>
                  <w:rStyle w:val="InternetLink"/>
                  <w:rFonts w:ascii="Times New Roman;Times;serif" w:hAnsi="Times New Roman;Times;serif"/>
                  <w:b w:val="false"/>
                  <w:i w:val="false"/>
                  <w:caps w:val="false"/>
                  <w:smallCaps w:val="false"/>
                  <w:sz w:val="20"/>
                </w:rPr>
                <w:t>TMC the metals company Inc. 2021 Employee Stock Purchase Plan</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S-8</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99.1)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5/31/2022</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333-265318</w:t>
            </w:r>
          </w:p>
        </w:tc>
      </w:tr>
      <w:tr>
        <w:trPr/>
        <w:tc>
          <w:tcPr>
            <w:tcW w:w="75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58">
              <w:r>
                <w:rPr>
                  <w:rStyle w:val="InternetLink"/>
                  <w:rFonts w:ascii="Times New Roman;Times;serif" w:hAnsi="Times New Roman;Times;serif"/>
                  <w:b w:val="false"/>
                  <w:i w:val="false"/>
                  <w:caps w:val="false"/>
                  <w:smallCaps w:val="false"/>
                  <w:sz w:val="20"/>
                </w:rPr>
                <w:t>Services Agreement, dated April 9, 2024 by and between TMC the metals company Inc. and Steve Jurvetson</w:t>
              </w:r>
            </w:hyperlink>
            <w:r>
              <w:rPr>
                <w:rFonts w:ascii="Times New Roman;Times;serif" w:hAnsi="Times New Roman;Times;serif"/>
                <w:sz w:val="20"/>
              </w:rPr>
              <w:t xml:space="preserve"> </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4/11/2024</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59">
              <w:r>
                <w:rPr>
                  <w:rStyle w:val="InternetLink"/>
                  <w:rFonts w:ascii="Times New Roman;Times;serif" w:hAnsi="Times New Roman;Times;serif"/>
                  <w:b w:val="false"/>
                  <w:i w:val="false"/>
                  <w:caps w:val="false"/>
                  <w:smallCaps w:val="false"/>
                  <w:sz w:val="20"/>
                </w:rPr>
                <w:t>Services Agreement, dated June 2, 2025, by and between the Company and Michael B. Hess</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 8-K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10.3)</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6/4/2025</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60">
              <w:r>
                <w:rPr>
                  <w:rStyle w:val="InternetLink"/>
                  <w:rFonts w:ascii="Times New Roman;Times;serif" w:hAnsi="Times New Roman;Times;serif"/>
                  <w:b w:val="false"/>
                  <w:i w:val="false"/>
                  <w:caps w:val="false"/>
                  <w:smallCaps w:val="false"/>
                  <w:sz w:val="20"/>
                </w:rPr>
                <w:t>Services Agreement, dated June 12, 2025, by and between the Company and Alex Spiro</w:t>
              </w:r>
            </w:hyperlink>
            <w:r>
              <w:rPr>
                <w:rFonts w:ascii="Times New Roman;Times;serif" w:hAnsi="Times New Roman;Times;serif"/>
                <w:sz w:val="20"/>
              </w:rPr>
              <w:t xml:space="preserve"> </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10.7)</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8/14/2025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61">
              <w:r>
                <w:rPr>
                  <w:rStyle w:val="InternetLink"/>
                  <w:rFonts w:ascii="Times New Roman;Times;serif" w:hAnsi="Times New Roman;Times;serif"/>
                  <w:b w:val="false"/>
                  <w:i w:val="false"/>
                  <w:caps w:val="false"/>
                  <w:smallCaps w:val="false"/>
                  <w:sz w:val="20"/>
                </w:rPr>
                <w:t>Board Observer Agreement, dated as of May 12, 2025, by and between the Company and Zachary A. Wydra</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10.6)</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8/14/2025</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62">
              <w:r>
                <w:rPr>
                  <w:rStyle w:val="InternetLink"/>
                  <w:rFonts w:ascii="Times New Roman;Times;serif" w:hAnsi="Times New Roman;Times;serif"/>
                  <w:b w:val="false"/>
                  <w:i w:val="false"/>
                  <w:caps w:val="false"/>
                  <w:smallCaps w:val="false"/>
                  <w:sz w:val="20"/>
                </w:rPr>
                <w:t>Board Observer Agreement, dated as of July 14, 2025, by and between the Company and Yun B. Choi</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10.8)</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8/14/2025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"https://www.sec.gov/Archives/edgar/data/1798562/000121390021040480/fs42021a5_sustainableopp.htm" \l "T108"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Amended and Restated Registration Rights Agreement, by and between Sustainable Opportunities Acquisition Corp., Sustainable Opportunities Holdings LLC, the parties listed under Sponsor Group Holders on the signature page(s) thereto and the parties listed under DeepGreen Holders on the signature page(s) thereto</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sz w:val="20"/>
              </w:rPr>
              <w:t xml:space="preserve"> </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S-4/A</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10.5 – Annex H)</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8/5/2021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333-255118</w:t>
            </w:r>
          </w:p>
        </w:tc>
      </w:tr>
      <w:tr>
        <w:trPr/>
        <w:tc>
          <w:tcPr>
            <w:tcW w:w="75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63">
              <w:r>
                <w:rPr>
                  <w:rStyle w:val="InternetLink"/>
                  <w:rFonts w:ascii="Times New Roman;Times;serif" w:hAnsi="Times New Roman;Times;serif"/>
                  <w:b w:val="false"/>
                  <w:i w:val="false"/>
                  <w:caps w:val="false"/>
                  <w:smallCaps w:val="false"/>
                  <w:sz w:val="20"/>
                </w:rPr>
                <w:t>Form of Securities Purchase Agreement, dated August 14, 2023</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8/14/2023</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64">
              <w:r>
                <w:rPr>
                  <w:rStyle w:val="InternetLink"/>
                  <w:rFonts w:ascii="Times New Roman;Times;serif" w:hAnsi="Times New Roman;Times;serif"/>
                  <w:b w:val="false"/>
                  <w:i w:val="false"/>
                  <w:caps w:val="false"/>
                  <w:smallCaps w:val="false"/>
                  <w:sz w:val="20"/>
                </w:rPr>
                <w:t>Form of Securities Purchase Agreement, dated November 14, 2024</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 8-K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11/15/2024</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10.25.2</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65">
              <w:r>
                <w:rPr>
                  <w:rStyle w:val="InternetLink"/>
                  <w:rFonts w:ascii="Times New Roman;Times;serif" w:hAnsi="Times New Roman;Times;serif"/>
                  <w:b w:val="false"/>
                  <w:i w:val="false"/>
                  <w:caps w:val="false"/>
                  <w:smallCaps w:val="false"/>
                  <w:sz w:val="20"/>
                </w:rPr>
                <w:t>Form of First Amendment to Securities Purchase Agreement, dated November 26, 2024</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 8-K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11/26/2024</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66">
              <w:r>
                <w:rPr>
                  <w:rStyle w:val="InternetLink"/>
                  <w:rFonts w:ascii="Times New Roman;Times;serif" w:hAnsi="Times New Roman;Times;serif"/>
                  <w:b w:val="false"/>
                  <w:i w:val="false"/>
                  <w:caps w:val="false"/>
                  <w:smallCaps w:val="false"/>
                  <w:sz w:val="20"/>
                </w:rPr>
                <w:t>Form of Securities Purchase Agreement, dated May 12, 2025</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5/12/2025</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10.27††</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67">
              <w:r>
                <w:rPr>
                  <w:rStyle w:val="InternetLink"/>
                  <w:rFonts w:ascii="Times New Roman;Times;serif" w:hAnsi="Times New Roman;Times;serif"/>
                  <w:b w:val="false"/>
                  <w:i w:val="false"/>
                  <w:caps w:val="false"/>
                  <w:smallCaps w:val="false"/>
                  <w:sz w:val="20"/>
                </w:rPr>
                <w:t>Securities Purchase Agreement, dated June 16, 2025, by and between the Company and Korea Zinc Company, Ltd.</w:t>
              </w:r>
            </w:hyperlink>
            <w:r>
              <w:rPr>
                <w:rFonts w:ascii="Times New Roman;Times;serif" w:hAnsi="Times New Roman;Times;serif"/>
                <w:sz w:val="20"/>
              </w:rPr>
              <w:t xml:space="preserve"> </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 10-Q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8/14/2025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10.28†</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68">
              <w:r>
                <w:rPr>
                  <w:rStyle w:val="InternetLink"/>
                  <w:rFonts w:ascii="Times New Roman;Times;serif" w:hAnsi="Times New Roman;Times;serif"/>
                  <w:b w:val="false"/>
                  <w:i w:val="false"/>
                  <w:caps w:val="false"/>
                  <w:smallCaps w:val="false"/>
                  <w:sz w:val="20"/>
                </w:rPr>
                <w:t>Royalty Agreement, dated February 21, 2023 by and among TMC the metals company Inc., Nauru Ocean Resources Inc. and Low Carbon Royalties Inc.</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2/22/2023</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10.29†</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69">
              <w:r>
                <w:rPr>
                  <w:rStyle w:val="InternetLink"/>
                  <w:rFonts w:ascii="Times New Roman;Times;serif" w:hAnsi="Times New Roman;Times;serif"/>
                  <w:b w:val="false"/>
                  <w:i w:val="false"/>
                  <w:caps w:val="false"/>
                  <w:smallCaps w:val="false"/>
                  <w:sz w:val="20"/>
                </w:rPr>
                <w:t>Investor Rights Agreement dated February 21, 2023 by and among TMC the metals company Inc., Brian Paes-Braga and Low Carbon Royalties Inc.</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2/22/2023</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10.30.1†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5748"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70">
              <w:r>
                <w:rPr>
                  <w:rStyle w:val="InternetLink"/>
                  <w:rFonts w:ascii="Times New Roman;Times;serif" w:hAnsi="Times New Roman;Times;serif"/>
                  <w:b w:val="false"/>
                  <w:i w:val="false"/>
                  <w:caps w:val="false"/>
                  <w:smallCaps w:val="false"/>
                  <w:sz w:val="20"/>
                </w:rPr>
                <w:t>Unsecured Credit Facility, dated March 22, 2024, by and among TMC the metals company Inc., Gerard Barron and ERAS Capital LLC</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72"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10.34)</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2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3/25/2024</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52"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112" w:type="dxa"/>
          <w:bottom w:w="28" w:type="dxa"/>
          <w:right w:w="0" w:type="dxa"/>
        </w:tblCellMar>
      </w:tblPr>
      <w:tblGrid>
        <w:gridCol w:w="775"/>
        <w:gridCol w:w="109"/>
        <w:gridCol w:w="6136"/>
        <w:gridCol w:w="109"/>
        <w:gridCol w:w="241"/>
        <w:gridCol w:w="109"/>
        <w:gridCol w:w="997"/>
        <w:gridCol w:w="109"/>
        <w:gridCol w:w="691"/>
        <w:gridCol w:w="109"/>
        <w:gridCol w:w="820"/>
      </w:tblGrid>
      <w:tr>
        <w:trPr/>
        <w:tc>
          <w:tcPr>
            <w:tcW w:w="77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10.30.2†</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71">
              <w:r>
                <w:rPr>
                  <w:rStyle w:val="InternetLink"/>
                  <w:rFonts w:ascii="Times New Roman;Times;serif" w:hAnsi="Times New Roman;Times;serif"/>
                  <w:b w:val="false"/>
                  <w:i w:val="false"/>
                  <w:caps w:val="false"/>
                  <w:smallCaps w:val="false"/>
                  <w:sz w:val="20"/>
                </w:rPr>
                <w:t>First Amendment to the Unsecured Credit Facility, dated August 13, 2024, by and between TMC the metals company Inc. and Gerard Barron and ERAS Capital LLC</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97"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8/14/2024</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10.30.3</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72">
              <w:r>
                <w:rPr>
                  <w:rStyle w:val="InternetLink"/>
                  <w:rFonts w:ascii="Times New Roman;Times;serif" w:hAnsi="Times New Roman;Times;serif"/>
                  <w:b w:val="false"/>
                  <w:i w:val="false"/>
                  <w:caps w:val="false"/>
                  <w:smallCaps w:val="false"/>
                  <w:sz w:val="20"/>
                </w:rPr>
                <w:t>Second Amendment to the Unsecured Credit Facility, dated November 14, 2024, by and between TMC the metals company Inc. and Gerard Barron and ERAS Capital LLC</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24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997"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10.44)</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3/27/2025</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7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10.30.4</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73">
              <w:r>
                <w:rPr>
                  <w:rStyle w:val="InternetLink"/>
                  <w:rFonts w:ascii="Times New Roman;Times;serif" w:hAnsi="Times New Roman;Times;serif"/>
                  <w:b w:val="false"/>
                  <w:i w:val="false"/>
                  <w:caps w:val="false"/>
                  <w:smallCaps w:val="false"/>
                  <w:sz w:val="20"/>
                </w:rPr>
                <w:t>Third Amendment to the Unsecured Credit Facility, dated March 26, 2025, by and between TMC the metals company Inc. and Gerard Barron and ERAS Capital LLC</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97"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10.45)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3/27/2025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w:anchor="tmc-20251231xex19.htm">
              <w:r>
                <w:rPr>
                  <w:rStyle w:val="InternetLink"/>
                  <w:rFonts w:ascii="Times New Roman;Times;serif" w:hAnsi="Times New Roman;Times;serif"/>
                  <w:b w:val="false"/>
                  <w:i w:val="false"/>
                  <w:caps w:val="false"/>
                  <w:smallCaps w:val="false"/>
                  <w:sz w:val="20"/>
                </w:rPr>
                <w:t>Insider Trading Policy</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24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997"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pPr>
            <w:r>
              <w:rPr/>
              <w:t>​</w:t>
            </w:r>
          </w:p>
        </w:tc>
      </w:tr>
      <w:tr>
        <w:trPr/>
        <w:tc>
          <w:tcPr>
            <w:tcW w:w="77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w:anchor="tmc-20251231xex21d1.htm">
              <w:r>
                <w:rPr>
                  <w:rStyle w:val="InternetLink"/>
                  <w:rFonts w:ascii="Times New Roman;Times;serif" w:hAnsi="Times New Roman;Times;serif"/>
                  <w:b w:val="false"/>
                  <w:i w:val="false"/>
                  <w:caps w:val="false"/>
                  <w:smallCaps w:val="false"/>
                  <w:sz w:val="20"/>
                </w:rPr>
                <w:t>List of Subsidiaries</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97"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pPr>
            <w:r>
              <w:rPr/>
              <w:t>​</w:t>
            </w:r>
          </w:p>
        </w:tc>
      </w:tr>
      <w:tr>
        <w:trPr/>
        <w:tc>
          <w:tcPr>
            <w:tcW w:w="7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w:anchor="tmc-20251231xex23d1.htm">
              <w:r>
                <w:rPr>
                  <w:rStyle w:val="InternetLink"/>
                  <w:rFonts w:ascii="Times New Roman;Times;serif" w:hAnsi="Times New Roman;Times;serif"/>
                  <w:b w:val="false"/>
                  <w:i w:val="false"/>
                  <w:caps w:val="false"/>
                  <w:smallCaps w:val="false"/>
                  <w:sz w:val="20"/>
                </w:rPr>
                <w:t>Consent of Ernst &amp; Young LLP</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24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997"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pPr>
            <w:r>
              <w:rPr/>
              <w:t>​</w:t>
            </w:r>
          </w:p>
        </w:tc>
      </w:tr>
      <w:tr>
        <w:trPr/>
        <w:tc>
          <w:tcPr>
            <w:tcW w:w="77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w:anchor="tmc-20251231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97"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pPr>
            <w:r>
              <w:rPr/>
              <w:t>​</w:t>
            </w:r>
          </w:p>
        </w:tc>
      </w:tr>
      <w:tr>
        <w:trPr/>
        <w:tc>
          <w:tcPr>
            <w:tcW w:w="7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w:anchor="tmc-20251231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24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997"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pPr>
            <w:r>
              <w:rPr/>
              <w:t>​</w:t>
            </w:r>
          </w:p>
        </w:tc>
      </w:tr>
      <w:tr>
        <w:trPr/>
        <w:tc>
          <w:tcPr>
            <w:tcW w:w="77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w:anchor="tmc-20251231xex32.htm">
              <w:r>
                <w:rPr>
                  <w:rStyle w:val="InternetLink"/>
                  <w:rFonts w:ascii="Times New Roman;Times;serif" w:hAnsi="Times New Roman;Times;serif"/>
                  <w:b w:val="false"/>
                  <w:i w:val="false"/>
                  <w:caps w:val="false"/>
                  <w:smallCaps w:val="false"/>
                  <w:sz w:val="20"/>
                </w:rPr>
                <w:t>Certifications of the Chief Executive Officer and Chief Financial Officer pursuant to Section 906 of the Sarbanes-Oxley Act of 2002</w:t>
              </w:r>
            </w:hyperlink>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97"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pPr>
            <w:r>
              <w:rPr/>
              <w:t>​</w:t>
            </w:r>
          </w:p>
        </w:tc>
      </w:tr>
      <w:tr>
        <w:trPr/>
        <w:tc>
          <w:tcPr>
            <w:tcW w:w="7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96.1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74">
              <w:r>
                <w:rPr>
                  <w:rStyle w:val="InternetLink"/>
                  <w:rFonts w:ascii="Times New Roman;Times;serif" w:hAnsi="Times New Roman;Times;serif"/>
                  <w:b w:val="false"/>
                  <w:i w:val="false"/>
                  <w:caps w:val="false"/>
                  <w:smallCaps w:val="false"/>
                  <w:sz w:val="20"/>
                </w:rPr>
                <w:t>S-K 1300 NORI Area D Technical Report, dated August 4, 2025</w:t>
              </w:r>
            </w:hyperlink>
            <w:r>
              <w:rPr>
                <w:rFonts w:ascii="Times New Roman;Times;serif" w:hAnsi="Times New Roman;Times;serif"/>
                <w:sz w:val="20"/>
              </w:rPr>
              <w:t xml:space="preserve"> </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997"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96.1)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8/4/2025</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75"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96.2</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pPr>
            <w:hyperlink r:id="rId75">
              <w:r>
                <w:rPr>
                  <w:rStyle w:val="InternetLink"/>
                  <w:rFonts w:ascii="Times New Roman;Times;serif" w:hAnsi="Times New Roman;Times;serif"/>
                  <w:b w:val="false"/>
                  <w:i w:val="false"/>
                  <w:caps w:val="false"/>
                  <w:smallCaps w:val="false"/>
                  <w:sz w:val="20"/>
                </w:rPr>
                <w:t>Technical Report Summary—Initial Assessment of TOML and NORI Properties, Clarion-Clipperton Zone, dated August 4, 2025</w:t>
              </w:r>
            </w:hyperlink>
            <w:r>
              <w:rPr>
                <w:rFonts w:ascii="Times New Roman;Times;serif" w:hAnsi="Times New Roman;Times;serif"/>
                <w:sz w:val="20"/>
              </w:rPr>
              <w:t xml:space="preserve"> </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center"/>
              <w:rPr/>
            </w:pPr>
            <w:r>
              <w:rPr/>
              <w:t>​</w:t>
            </w:r>
          </w:p>
        </w:tc>
        <w:tc>
          <w:tcPr>
            <w:tcW w:w="997"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96.2)</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8/4/2025</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13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pPr>
            <w:hyperlink r:id="rId76">
              <w:r>
                <w:rPr>
                  <w:rStyle w:val="InternetLink"/>
                  <w:rFonts w:ascii="Times New Roman;Times;serif" w:hAnsi="Times New Roman;Times;serif"/>
                  <w:b w:val="false"/>
                  <w:i w:val="false"/>
                  <w:caps w:val="false"/>
                  <w:smallCaps w:val="false"/>
                  <w:sz w:val="20"/>
                </w:rPr>
                <w:t>TMC the metals company Inc. Clawback Policy</w:t>
              </w:r>
            </w:hyperlink>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997"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97.1)</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69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3/25/2024</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2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112" w:type="dxa"/>
          <w:bottom w:w="28" w:type="dxa"/>
          <w:right w:w="0" w:type="dxa"/>
        </w:tblCellMar>
      </w:tblPr>
      <w:tblGrid>
        <w:gridCol w:w="706"/>
        <w:gridCol w:w="109"/>
        <w:gridCol w:w="8340"/>
        <w:gridCol w:w="109"/>
        <w:gridCol w:w="241"/>
        <w:gridCol w:w="109"/>
        <w:gridCol w:w="109"/>
        <w:gridCol w:w="109"/>
        <w:gridCol w:w="109"/>
        <w:gridCol w:w="109"/>
        <w:gridCol w:w="155"/>
      </w:tblGrid>
      <w:tr>
        <w:trPr/>
        <w:tc>
          <w:tcPr>
            <w:tcW w:w="706"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34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5"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pPr>
            <w:r>
              <w:rPr/>
              <w:t>​</w:t>
            </w:r>
          </w:p>
        </w:tc>
      </w:tr>
      <w:tr>
        <w:trPr/>
        <w:tc>
          <w:tcPr>
            <w:tcW w:w="7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34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pPr>
            <w:r>
              <w:rPr/>
              <w:t>​</w:t>
            </w:r>
          </w:p>
        </w:tc>
      </w:tr>
      <w:tr>
        <w:trPr/>
        <w:tc>
          <w:tcPr>
            <w:tcW w:w="706"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34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5"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pPr>
            <w:r>
              <w:rPr/>
              <w:t>​</w:t>
            </w:r>
          </w:p>
        </w:tc>
      </w:tr>
      <w:tr>
        <w:trPr/>
        <w:tc>
          <w:tcPr>
            <w:tcW w:w="7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34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pPr>
            <w:r>
              <w:rPr/>
              <w:t>​</w:t>
            </w:r>
          </w:p>
        </w:tc>
      </w:tr>
      <w:tr>
        <w:trPr/>
        <w:tc>
          <w:tcPr>
            <w:tcW w:w="706"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34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5"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pPr>
            <w:r>
              <w:rPr/>
              <w:t>​</w:t>
            </w:r>
          </w:p>
        </w:tc>
      </w:tr>
      <w:tr>
        <w:trPr/>
        <w:tc>
          <w:tcPr>
            <w:tcW w:w="7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834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pPr>
            <w:r>
              <w:rPr/>
              <w:t>​</w:t>
            </w:r>
          </w:p>
        </w:tc>
        <w:tc>
          <w:tcPr>
            <w:tcW w:w="15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pPr>
            <w:r>
              <w:rPr/>
              <w:t>​</w:t>
            </w:r>
          </w:p>
        </w:tc>
      </w:tr>
      <w:tr>
        <w:trPr/>
        <w:tc>
          <w:tcPr>
            <w:tcW w:w="706"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340"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center"/>
              <w:rPr/>
            </w:pPr>
            <w:r>
              <w:rPr/>
              <w:t>​</w:t>
            </w:r>
          </w:p>
        </w:tc>
        <w:tc>
          <w:tcPr>
            <w:tcW w:w="241"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shd w:fill="CCEEFF" w:val="clear"/>
            <w:tcMar>
              <w:left w:w="0" w:type="dxa"/>
            </w:tcMar>
            <w:vAlign w:val="center"/>
          </w:tcPr>
          <w:p>
            <w:pPr>
              <w:pStyle w:val="TableContents"/>
              <w:bidi w:val="0"/>
              <w:spacing w:before="0" w:after="0"/>
              <w:ind w:left="0" w:right="0" w:hanging="0"/>
              <w:jc w:val="center"/>
              <w:rPr/>
            </w:pPr>
            <w:r>
              <w:rPr/>
              <w:t>​</w:t>
            </w:r>
          </w:p>
        </w:tc>
        <w:tc>
          <w:tcPr>
            <w:tcW w:w="109" w:type="dxa"/>
            <w:tcBorders>
              <w:top w:val="single" w:sz="2" w:space="0" w:color="000000"/>
              <w:left w:val="single" w:sz="2" w:space="0" w:color="000000"/>
              <w:bottom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55"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pPr>
            <w:r>
              <w:rPr/>
              <w:t>​</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both"/>
              <w:rPr/>
            </w:pPr>
            <w:r>
              <w:rPr/>
              <w:t>†</w:t>
            </w:r>
          </w:p>
        </w:tc>
        <w:tc>
          <w:tcPr>
            <w:tcW w:w="99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Certain confidential portions of this Exhibit were omitted by means of marking such portions with brackets (“[***]”) because the identified confidential portions (A) (i) are not material and (ii) is the type of information that the Company treats as private or confidential or (B) are of a personal nature under Regulation S-K Item 601 (a)(6).</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40"/>
              <w:jc w:val="both"/>
              <w:rPr/>
            </w:pPr>
            <w:r>
              <w:rPr/>
              <w:t>††</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Regulation S-K Item 601(a)(5) or 601(b)(2). The Registrant agrees to furnish a copy of all omitted exhibits and schedules to the SEC upon its request.</w:t>
            </w:r>
          </w:p>
        </w:tc>
      </w:tr>
    </w:tbl>
    <w:tbl>
      <w:tblPr>
        <w:tblW w:w="5252" w:type="dxa"/>
        <w:jc w:val="left"/>
        <w:tblInd w:w="0" w:type="dxa"/>
        <w:tblLayout w:type="fixed"/>
        <w:tblCellMar>
          <w:top w:w="0" w:type="dxa"/>
          <w:left w:w="0" w:type="dxa"/>
          <w:bottom w:w="0" w:type="dxa"/>
          <w:right w:w="0" w:type="dxa"/>
        </w:tblCellMar>
      </w:tblPr>
      <w:tblGrid>
        <w:gridCol w:w="226"/>
        <w:gridCol w:w="502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50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certifications attached as Exhibit 32 that accompany this Annual Report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10-K), irrespective of any general incorporation language contained in such filing.</w:t>
            </w:r>
          </w:p>
        </w:tc>
      </w:tr>
    </w:tbl>
    <w:p>
      <w:pPr>
        <w:pStyle w:val="TextBody"/>
        <w:bidi w:val="0"/>
        <w:spacing w:before="0" w:after="240"/>
        <w:ind w:left="0" w:right="0" w:hanging="0"/>
        <w:jc w:val="left"/>
        <w:rPr>
          <w:rFonts w:ascii="Times New Roman;Times;serif" w:hAnsi="Times New Roman;Times;serif"/>
          <w:sz w:val="20"/>
        </w:rPr>
      </w:pPr>
      <w:bookmarkStart w:id="1999" w:name="Item16FORM10KSUMMARY_539239"/>
      <w:bookmarkStart w:id="2000" w:name="_41891dc2_3c87_4a08_aa28_e3fb791a5d70"/>
      <w:bookmarkEnd w:id="1999"/>
      <w:bookmarkEnd w:id="2000"/>
      <w:r>
        <w:rPr>
          <w:rFonts w:ascii="Times New Roman;Times;serif" w:hAnsi="Times New Roman;Times;serif"/>
          <w:b/>
          <w:i w:val="false"/>
          <w:caps w:val="false"/>
          <w:smallCaps w:val="false"/>
          <w:sz w:val="20"/>
        </w:rPr>
        <w:t>Item 16.</w:t>
      </w:r>
      <w:r>
        <w:rPr>
          <w:rFonts w:ascii="Times New Roman;Times;serif" w:hAnsi="Times New Roman;Times;serif"/>
          <w:b/>
          <w:sz w:val="20"/>
        </w:rPr>
        <w:t>FORM 10-K SUMMARY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01" w:name="SIGNATURES_158387"/>
      <w:bookmarkStart w:id="2002" w:name="_dbfda676_7231_49a4_8c70_f13b7eb7f812"/>
      <w:bookmarkEnd w:id="2001"/>
      <w:bookmarkEnd w:id="2002"/>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r>
        <w:rPr>
          <w:rFonts w:ascii="Times New Roman;Times;serif" w:hAnsi="Times New Roman;Times;serif"/>
          <w:b/>
          <w:sz w:val="20"/>
        </w:rPr>
        <w:t>.</w:t>
      </w:r>
    </w:p>
    <w:tbl>
      <w:tblPr>
        <w:tblW w:w="5296" w:type="dxa"/>
        <w:jc w:val="left"/>
        <w:tblInd w:w="0" w:type="dxa"/>
        <w:tblLayout w:type="fixed"/>
        <w:tblCellMar>
          <w:top w:w="0" w:type="dxa"/>
          <w:left w:w="0" w:type="dxa"/>
          <w:bottom w:w="0" w:type="dxa"/>
          <w:right w:w="0" w:type="dxa"/>
        </w:tblCellMar>
      </w:tblPr>
      <w:tblGrid>
        <w:gridCol w:w="1891"/>
        <w:gridCol w:w="558"/>
        <w:gridCol w:w="2847"/>
      </w:tblGrid>
      <w:tr>
        <w:trPr/>
        <w:tc>
          <w:tcPr>
            <w:tcW w:w="1891"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891"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31, 2026</w:t>
            </w:r>
          </w:p>
        </w:tc>
        <w:tc>
          <w:tcPr>
            <w:tcW w:w="5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r>
      <w:tr>
        <w:trPr/>
        <w:tc>
          <w:tcPr>
            <w:tcW w:w="1891"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left"/>
              <w:rPr/>
            </w:pPr>
            <w:r>
              <w:rPr/>
              <w:t>​</w:t>
            </w:r>
          </w:p>
        </w:tc>
        <w:tc>
          <w:tcPr>
            <w:tcW w:w="284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r>
      <w:tr>
        <w:trPr/>
        <w:tc>
          <w:tcPr>
            <w:tcW w:w="1891"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left"/>
              <w:rPr/>
            </w:pPr>
            <w:r>
              <w:rPr/>
              <w:t>​</w:t>
            </w:r>
          </w:p>
        </w:tc>
        <w:tc>
          <w:tcPr>
            <w:tcW w:w="2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indicated below and on the dates indicated.</w:t>
      </w:r>
    </w:p>
    <w:tbl>
      <w:tblPr>
        <w:tblW w:w="8811" w:type="dxa"/>
        <w:jc w:val="left"/>
        <w:tblInd w:w="0" w:type="dxa"/>
        <w:tblLayout w:type="fixed"/>
        <w:tblCellMar>
          <w:top w:w="0" w:type="dxa"/>
          <w:left w:w="0" w:type="dxa"/>
          <w:bottom w:w="28" w:type="dxa"/>
          <w:right w:w="0" w:type="dxa"/>
        </w:tblCellMar>
      </w:tblPr>
      <w:tblGrid>
        <w:gridCol w:w="421"/>
        <w:gridCol w:w="2536"/>
        <w:gridCol w:w="346"/>
        <w:gridCol w:w="3721"/>
        <w:gridCol w:w="346"/>
        <w:gridCol w:w="1441"/>
      </w:tblGrid>
      <w:tr>
        <w:trPr/>
        <w:tc>
          <w:tcPr>
            <w:tcW w:w="295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37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44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w:t>
            </w:r>
          </w:p>
        </w:tc>
      </w:tr>
      <w:tr>
        <w:trPr/>
        <w:tc>
          <w:tcPr>
            <w:tcW w:w="2957" w:type="dxa"/>
            <w:gridSpan w:val="2"/>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pPr>
            <w:r>
              <w:rPr/>
              <w:t>​</w:t>
            </w:r>
          </w:p>
        </w:tc>
      </w:tr>
      <w:tr>
        <w:trPr/>
        <w:tc>
          <w:tcPr>
            <w:tcW w:w="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Chairman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Gerard Barron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957" w:type="dxa"/>
            <w:gridSpan w:val="2"/>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957" w:type="dxa"/>
            <w:gridSpan w:val="2"/>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Greig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Greig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957" w:type="dxa"/>
            <w:gridSpan w:val="2"/>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Hall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Hall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957" w:type="dxa"/>
            <w:gridSpan w:val="2"/>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 Jurvetson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 Jurvetson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957" w:type="dxa"/>
            <w:gridSpan w:val="2"/>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Sheila Khama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Sheila Khama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957" w:type="dxa"/>
            <w:gridSpan w:val="2"/>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Andrei Karkar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Andrei Karkar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957" w:type="dxa"/>
            <w:gridSpan w:val="2"/>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Amelia Kinahoi Siamomua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Amelia Kinahoi Siamomua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pPr>
            <w:r>
              <w:rPr/>
              <w:t>​</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Christian Madsbjerg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Christian Madsbjerg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2957" w:type="dxa"/>
            <w:gridSpan w:val="2"/>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Brendan May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r>
      <w:tr>
        <w:trPr/>
        <w:tc>
          <w:tcPr>
            <w:tcW w:w="421" w:type="dxa"/>
            <w:tcBorders/>
            <w:tcMar>
              <w:bottom w:w="0" w:type="dxa"/>
            </w:tcMar>
            <w:vAlign w:val="center"/>
          </w:tcPr>
          <w:p>
            <w:pPr>
              <w:pStyle w:val="TableContents"/>
              <w:bidi w:val="0"/>
              <w:spacing w:before="0" w:after="0"/>
              <w:ind w:left="0" w:right="0" w:hanging="0"/>
              <w:jc w:val="left"/>
              <w:rPr/>
            </w:pPr>
            <w:r>
              <w:rPr/>
              <w:t>​</w:t>
            </w:r>
          </w:p>
        </w:tc>
        <w:tc>
          <w:tcPr>
            <w:tcW w:w="25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Brendan May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72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189</w:t>
      </w:r>
    </w:p>
    <w:p>
      <w:pPr>
        <w:pStyle w:val="TextBody"/>
        <w:bidi w:val="0"/>
        <w:spacing w:before="0" w:after="0"/>
        <w:ind w:left="0" w:right="0" w:hanging="0"/>
        <w:jc w:val="left"/>
        <w:rPr/>
      </w:pPr>
      <w:bookmarkStart w:id="2003" w:name="tmc-20251231xex3d1.htm"/>
      <w:bookmarkStart w:id="2004" w:name="kstmc20251231xex3d1"/>
      <w:bookmarkEnd w:id="2003"/>
      <w:bookmarkEnd w:id="2004"/>
      <w:r>
        <w:rPr/>
        <w:t>​</w:t>
      </w:r>
      <w:r>
        <w:br w:type="page"/>
      </w:r>
    </w:p>
    <w:p>
      <w:pPr>
        <w:pStyle w:val="TextBody"/>
        <w:bidi w:val="0"/>
        <w:spacing w:before="0" w:after="240"/>
        <w:ind w:left="0" w:right="0" w:hanging="0"/>
        <w:jc w:val="right"/>
        <w:rPr>
          <w:rFonts w:ascii="Arial;Helvetica;sans-serif" w:hAnsi="Arial;Helvetica;sans-serif"/>
          <w:sz w:val="20"/>
        </w:rPr>
      </w:pPr>
      <w:r>
        <w:rPr>
          <w:rFonts w:ascii="Arial;Helvetica;sans-serif" w:hAnsi="Arial;Helvetica;sans-serif"/>
          <w:sz w:val="20"/>
        </w:rPr>
        <w:t>Exhibit 3.1</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Certain personally identifiable information has been omitted from this exhibit pursuant to Item 601(a)(6) of Regulation S-K. [***] indicates that information has been redacted.</w:t>
      </w:r>
    </w:p>
    <w:p>
      <w:pPr>
        <w:pStyle w:val="TextBody"/>
        <w:bidi w:val="0"/>
        <w:spacing w:before="0" w:after="0"/>
        <w:ind w:left="254"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57"/>
        <w:gridCol w:w="1372"/>
        <w:gridCol w:w="2806"/>
        <w:gridCol w:w="2470"/>
      </w:tblGrid>
      <w:tr>
        <w:trPr/>
        <w:tc>
          <w:tcPr>
            <w:tcW w:w="3557" w:type="dxa"/>
            <w:vMerge w:val="restart"/>
            <w:tcBorders/>
            <w:vAlign w:val="center"/>
          </w:tcPr>
          <w:p>
            <w:pPr>
              <w:pStyle w:val="TableContents"/>
              <w:bidi w:val="0"/>
              <w:spacing w:before="0" w:after="40"/>
              <w:ind w:left="0" w:right="0" w:hanging="0"/>
              <w:jc w:val="left"/>
              <w:rPr>
                <w:caps w:val="false"/>
                <w:smallCaps w:val="false"/>
                <w:color w:val="000000"/>
              </w:rPr>
            </w:pPr>
            <w:r>
              <w:rPr>
                <w:caps w:val="false"/>
                <w:smallCaps w:val="false"/>
                <w:color w:val="000000"/>
              </w:rPr>
              <w:drawing>
                <wp:inline distT="0" distB="0" distL="0" distR="0">
                  <wp:extent cx="2194560" cy="588645"/>
                  <wp:effectExtent l="0" t="0" r="0" b="0"/>
                  <wp:docPr id="47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3" descr=""/>
                          <pic:cNvPicPr>
                            <a:picLocks noChangeAspect="1" noChangeArrowheads="1"/>
                          </pic:cNvPicPr>
                        </pic:nvPicPr>
                        <pic:blipFill>
                          <a:blip r:embed="rId77"/>
                          <a:stretch>
                            <a:fillRect/>
                          </a:stretch>
                        </pic:blipFill>
                        <pic:spPr bwMode="auto">
                          <a:xfrm>
                            <a:off x="0" y="0"/>
                            <a:ext cx="2194560" cy="588645"/>
                          </a:xfrm>
                          <a:prstGeom prst="rect">
                            <a:avLst/>
                          </a:prstGeom>
                        </pic:spPr>
                      </pic:pic>
                    </a:graphicData>
                  </a:graphic>
                </wp:inline>
              </w:drawing>
            </w:r>
          </w:p>
        </w:tc>
        <w:tc>
          <w:tcPr>
            <w:tcW w:w="137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Mailing Address:</w:t>
            </w:r>
          </w:p>
        </w:tc>
        <w:tc>
          <w:tcPr>
            <w:tcW w:w="28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Location:</w:t>
            </w:r>
          </w:p>
        </w:tc>
        <w:tc>
          <w:tcPr>
            <w:tcW w:w="247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557" w:type="dxa"/>
            <w:vMerge w:val="continue"/>
            <w:tcBorders/>
            <w:vAlign w:val="center"/>
          </w:tcPr>
          <w:p>
            <w:pPr>
              <w:pStyle w:val="Normal"/>
              <w:bidi w:val="0"/>
              <w:jc w:val="left"/>
              <w:rPr/>
            </w:pPr>
            <w:r>
              <w:rPr/>
            </w:r>
          </w:p>
        </w:tc>
        <w:tc>
          <w:tcPr>
            <w:tcW w:w="1372"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PO Box 9431 Stn Prov Govt</w:t>
            </w:r>
          </w:p>
        </w:tc>
        <w:tc>
          <w:tcPr>
            <w:tcW w:w="247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2nd Floor - 940 Blanshard Street</w:t>
            </w:r>
          </w:p>
        </w:tc>
      </w:tr>
      <w:tr>
        <w:trPr/>
        <w:tc>
          <w:tcPr>
            <w:tcW w:w="3557" w:type="dxa"/>
            <w:vMerge w:val="continue"/>
            <w:tcBorders/>
            <w:vAlign w:val="center"/>
          </w:tcPr>
          <w:p>
            <w:pPr>
              <w:pStyle w:val="Normal"/>
              <w:bidi w:val="0"/>
              <w:jc w:val="left"/>
              <w:rPr/>
            </w:pPr>
            <w:r>
              <w:rPr/>
            </w:r>
          </w:p>
        </w:tc>
        <w:tc>
          <w:tcPr>
            <w:tcW w:w="1372"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Victoria BC V8W 9V3</w:t>
            </w:r>
          </w:p>
        </w:tc>
        <w:tc>
          <w:tcPr>
            <w:tcW w:w="247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Victoria BC</w:t>
            </w:r>
          </w:p>
        </w:tc>
      </w:tr>
      <w:tr>
        <w:trPr/>
        <w:tc>
          <w:tcPr>
            <w:tcW w:w="3557" w:type="dxa"/>
            <w:vMerge w:val="continue"/>
            <w:tcBorders/>
            <w:vAlign w:val="center"/>
          </w:tcPr>
          <w:p>
            <w:pPr>
              <w:pStyle w:val="Normal"/>
              <w:bidi w:val="0"/>
              <w:jc w:val="left"/>
              <w:rPr/>
            </w:pPr>
            <w:r>
              <w:rPr/>
            </w:r>
          </w:p>
        </w:tc>
        <w:tc>
          <w:tcPr>
            <w:tcW w:w="1372" w:type="dxa"/>
            <w:tcBorders>
              <w:bottom w:val="single" w:sz="24" w:space="0" w:color="000000"/>
            </w:tcBorders>
            <w:tcMar>
              <w:bottom w:w="28" w:type="dxa"/>
            </w:tcMar>
            <w:vAlign w:val="center"/>
          </w:tcPr>
          <w:p>
            <w:pPr>
              <w:pStyle w:val="TableContents"/>
              <w:bidi w:val="0"/>
              <w:spacing w:before="0" w:after="0"/>
              <w:ind w:left="0" w:right="0" w:hanging="0"/>
              <w:jc w:val="left"/>
              <w:rPr/>
            </w:pPr>
            <w:r>
              <w:rPr/>
              <w:t>​</w:t>
            </w:r>
          </w:p>
        </w:tc>
        <w:tc>
          <w:tcPr>
            <w:tcW w:w="2806" w:type="dxa"/>
            <w:tcBorders>
              <w:bottom w:val="single" w:sz="24"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www.corporateonline.gov.bc.ca</w:t>
            </w:r>
          </w:p>
        </w:tc>
        <w:tc>
          <w:tcPr>
            <w:tcW w:w="2470" w:type="dxa"/>
            <w:tcBorders>
              <w:bottom w:val="single" w:sz="24"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1 877 526-1526</w:t>
            </w:r>
          </w:p>
        </w:tc>
      </w:tr>
    </w:tbl>
    <w:p>
      <w:pPr>
        <w:pStyle w:val="TextBody"/>
        <w:bidi w:val="0"/>
        <w:spacing w:before="0" w:after="0"/>
        <w:ind w:left="0" w:right="0" w:hanging="0"/>
        <w:jc w:val="left"/>
        <w:rPr/>
      </w:pPr>
      <w:r>
        <w:rPr/>
        <w:t>​</w:t>
      </w:r>
    </w:p>
    <w:tbl>
      <w:tblPr>
        <w:tblW w:w="7251" w:type="dxa"/>
        <w:jc w:val="left"/>
        <w:tblInd w:w="0" w:type="dxa"/>
        <w:tblLayout w:type="fixed"/>
        <w:tblCellMar>
          <w:top w:w="0" w:type="dxa"/>
          <w:left w:w="0" w:type="dxa"/>
          <w:bottom w:w="0" w:type="dxa"/>
          <w:right w:w="0" w:type="dxa"/>
        </w:tblCellMar>
      </w:tblPr>
      <w:tblGrid>
        <w:gridCol w:w="124"/>
        <w:gridCol w:w="3451"/>
        <w:gridCol w:w="3676"/>
      </w:tblGrid>
      <w:tr>
        <w:trPr/>
        <w:tc>
          <w:tcPr>
            <w:tcW w:w="124"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c>
          <w:tcPr>
            <w:tcW w:w="3676" w:type="dxa"/>
            <w:tcBorders/>
            <w:vAlign w:val="center"/>
          </w:tcPr>
          <w:p>
            <w:pPr>
              <w:pStyle w:val="TableContents"/>
              <w:bidi w:val="0"/>
              <w:spacing w:before="40" w:after="0"/>
              <w:ind w:left="0" w:right="0" w:hanging="0"/>
              <w:jc w:val="center"/>
              <w:rPr>
                <w:rFonts w:ascii="Arial;Helvetica;sans-serif" w:hAnsi="Arial;Helvetica;sans-serif"/>
                <w:b/>
                <w:sz w:val="20"/>
              </w:rPr>
            </w:pPr>
            <w:r>
              <w:rPr>
                <w:rFonts w:ascii="Arial;Helvetica;sans-serif" w:hAnsi="Arial;Helvetica;sans-serif"/>
                <w:b/>
                <w:sz w:val="20"/>
              </w:rPr>
              <w:t>CERTIFIED COPY</w:t>
            </w:r>
          </w:p>
        </w:tc>
      </w:tr>
      <w:tr>
        <w:trPr/>
        <w:tc>
          <w:tcPr>
            <w:tcW w:w="124"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c>
          <w:tcPr>
            <w:tcW w:w="3676" w:type="dxa"/>
            <w:tcBorders/>
            <w:vAlign w:val="center"/>
          </w:tcPr>
          <w:p>
            <w:pPr>
              <w:pStyle w:val="TableContents"/>
              <w:bidi w:val="0"/>
              <w:spacing w:before="0" w:after="60"/>
              <w:ind w:left="0" w:right="0" w:hanging="0"/>
              <w:jc w:val="center"/>
              <w:rPr>
                <w:rFonts w:ascii="Arial;Helvetica;sans-serif" w:hAnsi="Arial;Helvetica;sans-serif"/>
                <w:sz w:val="20"/>
              </w:rPr>
            </w:pPr>
            <w:r>
              <w:rPr>
                <w:rFonts w:ascii="Arial;Helvetica;sans-serif" w:hAnsi="Arial;Helvetica;sans-serif"/>
                <w:sz w:val="20"/>
              </w:rPr>
              <w:t>Of a Document filed with the Province of</w:t>
              <w:br/>
              <w:t>British Columbia Registrar of Companies</w:t>
            </w:r>
          </w:p>
        </w:tc>
      </w:tr>
      <w:tr>
        <w:trPr/>
        <w:tc>
          <w:tcPr>
            <w:tcW w:w="124"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center"/>
              <w:rPr>
                <w:rFonts w:ascii="Arial;Helvetica;sans-serif" w:hAnsi="Arial;Helvetica;sans-serif"/>
                <w:b/>
                <w:sz w:val="40"/>
              </w:rPr>
            </w:pPr>
            <w:r>
              <w:rPr>
                <w:rFonts w:ascii="Arial;Helvetica;sans-serif" w:hAnsi="Arial;Helvetica;sans-serif"/>
                <w:b/>
                <w:sz w:val="40"/>
              </w:rPr>
              <w:t>Notice of Articles</w:t>
            </w:r>
          </w:p>
        </w:tc>
        <w:tc>
          <w:tcPr>
            <w:tcW w:w="3676" w:type="dxa"/>
            <w:tcBorders/>
            <w:vAlign w:val="center"/>
          </w:tcPr>
          <w:p>
            <w:pPr>
              <w:pStyle w:val="TableContents"/>
              <w:bidi w:val="0"/>
              <w:spacing w:before="0" w:after="0"/>
              <w:ind w:left="0" w:right="0" w:hanging="0"/>
              <w:jc w:val="center"/>
              <w:rPr/>
            </w:pPr>
            <w:r>
              <w:rPr/>
              <w:drawing>
                <wp:inline distT="0" distB="0" distL="0" distR="0">
                  <wp:extent cx="638175" cy="390525"/>
                  <wp:effectExtent l="0" t="0" r="0" b="0"/>
                  <wp:docPr id="47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4" descr=""/>
                          <pic:cNvPicPr>
                            <a:picLocks noChangeAspect="1" noChangeArrowheads="1"/>
                          </pic:cNvPicPr>
                        </pic:nvPicPr>
                        <pic:blipFill>
                          <a:blip r:embed="rId78"/>
                          <a:stretch>
                            <a:fillRect/>
                          </a:stretch>
                        </pic:blipFill>
                        <pic:spPr bwMode="auto">
                          <a:xfrm>
                            <a:off x="0" y="0"/>
                            <a:ext cx="638175" cy="390525"/>
                          </a:xfrm>
                          <a:prstGeom prst="rect">
                            <a:avLst/>
                          </a:prstGeom>
                        </pic:spPr>
                      </pic:pic>
                    </a:graphicData>
                  </a:graphic>
                </wp:inline>
              </w:drawing>
            </w:r>
          </w:p>
        </w:tc>
      </w:tr>
      <w:tr>
        <w:trPr/>
        <w:tc>
          <w:tcPr>
            <w:tcW w:w="124"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center"/>
              <w:rPr>
                <w:rFonts w:ascii="Arial;Helvetica;sans-serif" w:hAnsi="Arial;Helvetica;sans-serif"/>
                <w:i/>
                <w:sz w:val="20"/>
              </w:rPr>
            </w:pPr>
            <w:r>
              <w:rPr>
                <w:rFonts w:ascii="Arial;Helvetica;sans-serif" w:hAnsi="Arial;Helvetica;sans-serif"/>
                <w:i/>
                <w:sz w:val="20"/>
              </w:rPr>
              <w:t>BUSINESS CORPORATIONS ACT</w:t>
            </w:r>
          </w:p>
        </w:tc>
        <w:tc>
          <w:tcPr>
            <w:tcW w:w="36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KERRY TAYLOR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531" w:type="dxa"/>
        <w:jc w:val="left"/>
        <w:tblInd w:w="-30" w:type="dxa"/>
        <w:tblLayout w:type="fixed"/>
        <w:tblCellMar>
          <w:top w:w="28" w:type="dxa"/>
          <w:left w:w="28" w:type="dxa"/>
          <w:bottom w:w="0" w:type="dxa"/>
          <w:right w:w="0" w:type="dxa"/>
        </w:tblCellMar>
      </w:tblPr>
      <w:tblGrid>
        <w:gridCol w:w="124"/>
        <w:gridCol w:w="109"/>
        <w:gridCol w:w="8926"/>
        <w:gridCol w:w="109"/>
        <w:gridCol w:w="109"/>
        <w:gridCol w:w="154"/>
      </w:tblGrid>
      <w:tr>
        <w:trPr/>
        <w:tc>
          <w:tcPr>
            <w:tcW w:w="124" w:type="dxa"/>
            <w:tcBorders>
              <w:top w:val="single" w:sz="24" w:space="0" w:color="000000"/>
              <w:left w:val="single" w:sz="24" w:space="0" w:color="000000"/>
            </w:tcBorders>
            <w:shd w:fill="D2D2D2" w:val="clear"/>
            <w:vAlign w:val="center"/>
          </w:tcPr>
          <w:p>
            <w:pPr>
              <w:pStyle w:val="TableContents"/>
              <w:bidi w:val="0"/>
              <w:spacing w:before="0" w:after="0"/>
              <w:ind w:left="0" w:right="0" w:hanging="0"/>
              <w:jc w:val="center"/>
              <w:rPr/>
            </w:pPr>
            <w:r>
              <w:rPr/>
              <w:t>​</w:t>
            </w:r>
          </w:p>
        </w:tc>
        <w:tc>
          <w:tcPr>
            <w:tcW w:w="109" w:type="dxa"/>
            <w:tcBorders>
              <w:top w:val="single" w:sz="24" w:space="0" w:color="000000"/>
              <w:bottom w:val="single" w:sz="24" w:space="0" w:color="000000"/>
            </w:tcBorders>
            <w:shd w:fill="D2D2D2" w:val="clear"/>
            <w:tcMar>
              <w:left w:w="0" w:type="dxa"/>
              <w:bottom w:w="28" w:type="dxa"/>
            </w:tcMar>
            <w:vAlign w:val="center"/>
          </w:tcPr>
          <w:p>
            <w:pPr>
              <w:pStyle w:val="TableContents"/>
              <w:bidi w:val="0"/>
              <w:spacing w:before="0" w:after="0"/>
              <w:ind w:left="0" w:right="0" w:hanging="0"/>
              <w:jc w:val="center"/>
              <w:rPr/>
            </w:pPr>
            <w:r>
              <w:rPr/>
              <w:t>​</w:t>
            </w:r>
          </w:p>
        </w:tc>
        <w:tc>
          <w:tcPr>
            <w:tcW w:w="8926" w:type="dxa"/>
            <w:tcBorders>
              <w:top w:val="single" w:sz="24" w:space="0" w:color="000000"/>
              <w:bottom w:val="single" w:sz="24" w:space="0" w:color="000000"/>
            </w:tcBorders>
            <w:shd w:fill="D2D2D2" w:val="clear"/>
            <w:tcMar>
              <w:left w:w="0" w:type="dxa"/>
              <w:bottom w:w="28" w:type="dxa"/>
            </w:tcMar>
            <w:vAlign w:val="center"/>
          </w:tcPr>
          <w:p>
            <w:pPr>
              <w:pStyle w:val="TableContents"/>
              <w:bidi w:val="0"/>
              <w:spacing w:before="0" w:after="0"/>
              <w:ind w:left="0" w:right="0" w:hanging="0"/>
              <w:jc w:val="left"/>
              <w:rPr/>
            </w:pPr>
            <w:r>
              <w:rPr/>
              <w:t>​</w:t>
            </w:r>
          </w:p>
        </w:tc>
        <w:tc>
          <w:tcPr>
            <w:tcW w:w="109" w:type="dxa"/>
            <w:tcBorders>
              <w:top w:val="single" w:sz="24" w:space="0" w:color="000000"/>
              <w:bottom w:val="single" w:sz="24" w:space="0" w:color="000000"/>
            </w:tcBorders>
            <w:shd w:fill="D2D2D2" w:val="clear"/>
            <w:tcMar>
              <w:left w:w="0" w:type="dxa"/>
              <w:bottom w:w="28" w:type="dxa"/>
            </w:tcMar>
            <w:vAlign w:val="center"/>
          </w:tcPr>
          <w:p>
            <w:pPr>
              <w:pStyle w:val="TableContents"/>
              <w:bidi w:val="0"/>
              <w:spacing w:before="0" w:after="0"/>
              <w:ind w:left="0" w:right="0" w:hanging="0"/>
              <w:jc w:val="center"/>
              <w:rPr/>
            </w:pPr>
            <w:r>
              <w:rPr/>
              <w:t>​</w:t>
            </w:r>
          </w:p>
        </w:tc>
        <w:tc>
          <w:tcPr>
            <w:tcW w:w="109" w:type="dxa"/>
            <w:tcBorders>
              <w:top w:val="single" w:sz="24" w:space="0" w:color="000000"/>
              <w:right w:val="single" w:sz="24" w:space="0" w:color="000000"/>
            </w:tcBorders>
            <w:shd w:fill="D2D2D2" w:val="clear"/>
            <w:tcMar>
              <w:left w:w="0" w:type="dxa"/>
              <w:right w:w="28" w:type="dxa"/>
            </w:tcMar>
            <w:vAlign w:val="center"/>
          </w:tcPr>
          <w:p>
            <w:pPr>
              <w:pStyle w:val="TableContents"/>
              <w:bidi w:val="0"/>
              <w:spacing w:before="0" w:after="0"/>
              <w:ind w:left="0" w:right="0" w:hanging="0"/>
              <w:jc w:val="center"/>
              <w:rPr/>
            </w:pPr>
            <w:r>
              <w:rPr/>
              <w:t>​</w:t>
            </w:r>
          </w:p>
        </w:tc>
        <w:tc>
          <w:tcPr>
            <w:tcW w:w="154" w:type="dxa"/>
            <w:tcBorders/>
            <w:tcMar>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09" w:type="dxa"/>
            <w:tcBorders>
              <w:top w:val="single" w:sz="24" w:space="0" w:color="000000"/>
              <w:left w:val="single" w:sz="24" w:space="0" w:color="000000"/>
            </w:tcBorders>
            <w:shd w:fill="D2D2D2" w:val="clear"/>
            <w:vAlign w:val="center"/>
          </w:tcPr>
          <w:p>
            <w:pPr>
              <w:pStyle w:val="TableContents"/>
              <w:bidi w:val="0"/>
              <w:spacing w:before="0" w:after="0"/>
              <w:ind w:left="0" w:right="0" w:hanging="0"/>
              <w:jc w:val="center"/>
              <w:rPr/>
            </w:pPr>
            <w:r>
              <w:rPr/>
              <w:t>​</w:t>
            </w:r>
          </w:p>
        </w:tc>
        <w:tc>
          <w:tcPr>
            <w:tcW w:w="8926" w:type="dxa"/>
            <w:tcBorders>
              <w:top w:val="single" w:sz="24" w:space="0" w:color="000000"/>
              <w:bottom w:val="single" w:sz="24" w:space="0" w:color="000000"/>
            </w:tcBorders>
            <w:shd w:fill="D2D2D2" w:val="clear"/>
            <w:tcMar>
              <w:left w:w="0" w:type="dxa"/>
              <w:bottom w:w="28" w:type="dxa"/>
            </w:tcMar>
            <w:vAlign w:val="center"/>
          </w:tcPr>
          <w:p>
            <w:pPr>
              <w:pStyle w:val="TableContents"/>
              <w:bidi w:val="0"/>
              <w:spacing w:before="0" w:after="0"/>
              <w:ind w:left="0" w:right="0" w:hanging="0"/>
              <w:jc w:val="left"/>
              <w:rPr/>
            </w:pPr>
            <w:r>
              <w:rPr/>
              <w:t>​</w:t>
            </w:r>
          </w:p>
        </w:tc>
        <w:tc>
          <w:tcPr>
            <w:tcW w:w="109" w:type="dxa"/>
            <w:tcBorders>
              <w:top w:val="single" w:sz="24" w:space="0" w:color="000000"/>
              <w:right w:val="single" w:sz="24" w:space="0" w:color="000000"/>
            </w:tcBorders>
            <w:shd w:fill="D2D2D2" w:val="clear"/>
            <w:tcMar>
              <w:left w:w="0" w:type="dxa"/>
              <w:right w:w="28" w:type="dxa"/>
            </w:tcMar>
            <w:vAlign w:val="center"/>
          </w:tcPr>
          <w:p>
            <w:pPr>
              <w:pStyle w:val="TableContents"/>
              <w:bidi w:val="0"/>
              <w:spacing w:before="0" w:after="0"/>
              <w:ind w:left="0" w:right="0" w:hanging="0"/>
              <w:jc w:val="center"/>
              <w:rPr/>
            </w:pPr>
            <w:r>
              <w:rPr/>
              <w:t>​</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54" w:type="dxa"/>
            <w:tcBorders/>
            <w:tcMar>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8926" w:type="dxa"/>
            <w:vMerge w:val="restart"/>
            <w:tcBorders/>
            <w:shd w:fill="D2D2D2" w:val="clear"/>
            <w:tcMar>
              <w:top w:w="0" w:type="dxa"/>
              <w:left w:w="0" w:type="dxa"/>
            </w:tcMar>
            <w:vAlign w:val="center"/>
          </w:tcPr>
          <w:p>
            <w:pPr>
              <w:pStyle w:val="TableContents"/>
              <w:bidi w:val="0"/>
              <w:spacing w:before="100" w:after="200"/>
              <w:ind w:left="115"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This Notice of Articles was issued by the Registrar on:   January 2, 2026 08:03 AM Pacific Time</w:t>
            </w:r>
          </w:p>
          <w:p>
            <w:pPr>
              <w:pStyle w:val="TableContents"/>
              <w:bidi w:val="0"/>
              <w:spacing w:before="0" w:after="200"/>
              <w:ind w:left="115" w:right="0" w:hanging="0"/>
              <w:jc w:val="left"/>
              <w:rPr>
                <w:rFonts w:ascii="Times New Roman;Times;serif" w:hAnsi="Times New Roman;Times;serif"/>
                <w:b w:val="false"/>
                <w:i w:val="false"/>
                <w:caps w:val="false"/>
                <w:smallCaps w:val="false"/>
                <w:color w:val="000000"/>
                <w:sz w:val="20"/>
              </w:rPr>
            </w:pPr>
            <w:r>
              <w:rPr>
                <w:rFonts w:ascii="Arial;Helvetica;sans-serif" w:hAnsi="Arial;Helvetica;sans-serif"/>
                <w:b w:val="false"/>
                <w:i/>
                <w:caps w:val="false"/>
                <w:smallCaps w:val="false"/>
                <w:color w:val="000000"/>
                <w:sz w:val="20"/>
              </w:rPr>
              <w:t>Incorporation Number:</w:t>
            </w:r>
            <w:r>
              <w:rPr>
                <w:rFonts w:ascii="Times New Roman;Times;serif" w:hAnsi="Times New Roman;Times;serif"/>
                <w:b w:val="false"/>
                <w:i w:val="false"/>
                <w:caps w:val="false"/>
                <w:smallCaps w:val="false"/>
                <w:color w:val="000000"/>
                <w:sz w:val="20"/>
              </w:rPr>
              <w:t>         </w:t>
            </w:r>
            <w:r>
              <w:rPr>
                <w:rFonts w:ascii="Arial;Helvetica;sans-serif" w:hAnsi="Arial;Helvetica;sans-serif"/>
                <w:b/>
                <w:i w:val="false"/>
                <w:caps w:val="false"/>
                <w:smallCaps w:val="false"/>
                <w:color w:val="000000"/>
                <w:sz w:val="20"/>
              </w:rPr>
              <w:t>BC1570443</w:t>
            </w:r>
          </w:p>
          <w:p>
            <w:pPr>
              <w:pStyle w:val="TableContents"/>
              <w:bidi w:val="0"/>
              <w:spacing w:before="0" w:after="100"/>
              <w:ind w:left="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Recognition Date and Time:   January 1, 2026 12:01 AM Pacific Time as a result of an Amalgamation</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54" w:type="dxa"/>
            <w:tcBorders/>
            <w:tcMar>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8926" w:type="dxa"/>
            <w:vMerge w:val="continue"/>
            <w:tcBorders/>
            <w:shd w:fill="D2D2D2" w:val="clear"/>
            <w:tcMar>
              <w:top w:w="0" w:type="dxa"/>
              <w:left w:w="0" w:type="dxa"/>
            </w:tcMar>
            <w:vAlign w:val="center"/>
          </w:tcPr>
          <w:p>
            <w:pPr>
              <w:pStyle w:val="Normal"/>
              <w:bidi w:val="0"/>
              <w:jc w:val="left"/>
              <w:rPr/>
            </w:pPr>
            <w:r>
              <w:rPr/>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100"/>
              <w:ind w:left="0" w:right="0" w:hanging="0"/>
              <w:jc w:val="left"/>
              <w:rPr/>
            </w:pPr>
            <w:r>
              <w:rPr/>
              <w:t>​</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54"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r>
      <w:tr>
        <w:trPr/>
        <w:tc>
          <w:tcPr>
            <w:tcW w:w="124"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8926" w:type="dxa"/>
            <w:vMerge w:val="continue"/>
            <w:tcBorders/>
            <w:shd w:fill="D2D2D2" w:val="clear"/>
            <w:tcMar>
              <w:top w:w="0" w:type="dxa"/>
              <w:left w:w="0" w:type="dxa"/>
            </w:tcMar>
            <w:vAlign w:val="center"/>
          </w:tcPr>
          <w:p>
            <w:pPr>
              <w:pStyle w:val="Normal"/>
              <w:bidi w:val="0"/>
              <w:jc w:val="left"/>
              <w:rPr/>
            </w:pPr>
            <w:r>
              <w:rPr/>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left"/>
              <w:rPr/>
            </w:pPr>
            <w:r>
              <w:rPr/>
              <w:t>​</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54"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r>
      <w:tr>
        <w:trPr/>
        <w:tc>
          <w:tcPr>
            <w:tcW w:w="124"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8926" w:type="dxa"/>
            <w:vMerge w:val="continue"/>
            <w:tcBorders/>
            <w:shd w:fill="D2D2D2" w:val="clear"/>
            <w:tcMar>
              <w:top w:w="0" w:type="dxa"/>
              <w:left w:w="0" w:type="dxa"/>
            </w:tcMar>
            <w:vAlign w:val="center"/>
          </w:tcPr>
          <w:p>
            <w:pPr>
              <w:pStyle w:val="Normal"/>
              <w:bidi w:val="0"/>
              <w:jc w:val="left"/>
              <w:rPr/>
            </w:pPr>
            <w:r>
              <w:rPr/>
            </w:r>
          </w:p>
        </w:tc>
        <w:tc>
          <w:tcPr>
            <w:tcW w:w="109" w:type="dxa"/>
            <w:tcBorders>
              <w:left w:val="single" w:sz="24" w:space="0" w:color="000000"/>
              <w:bottom w:val="single" w:sz="24" w:space="0" w:color="000000"/>
              <w:right w:val="single" w:sz="24" w:space="0" w:color="000000"/>
            </w:tcBorders>
            <w:shd w:fill="D2D2D2" w:val="clear"/>
            <w:tcMar>
              <w:top w:w="0" w:type="dxa"/>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54"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r>
      <w:tr>
        <w:trPr/>
        <w:tc>
          <w:tcPr>
            <w:tcW w:w="124"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09" w:type="dxa"/>
            <w:tcBorders>
              <w:left w:val="single" w:sz="24" w:space="0" w:color="000000"/>
              <w:bottom w:val="single" w:sz="24" w:space="0" w:color="000000"/>
            </w:tcBorders>
            <w:shd w:fill="D2D2D2" w:val="clear"/>
            <w:tcMar>
              <w:top w:w="0" w:type="dxa"/>
              <w:bottom w:w="28" w:type="dxa"/>
            </w:tcMar>
            <w:vAlign w:val="center"/>
          </w:tcPr>
          <w:p>
            <w:pPr>
              <w:pStyle w:val="TableContents"/>
              <w:bidi w:val="0"/>
              <w:spacing w:before="0" w:after="0"/>
              <w:ind w:left="0" w:right="0" w:hanging="0"/>
              <w:jc w:val="center"/>
              <w:rPr/>
            </w:pPr>
            <w:r>
              <w:rPr/>
              <w:t>​</w:t>
            </w:r>
          </w:p>
        </w:tc>
        <w:tc>
          <w:tcPr>
            <w:tcW w:w="8926" w:type="dxa"/>
            <w:tcBorders>
              <w:top w:val="single" w:sz="24" w:space="0" w:color="000000"/>
              <w:bottom w:val="single" w:sz="24" w:space="0" w:color="000000"/>
            </w:tcBorders>
            <w:shd w:fill="D2D2D2" w:val="clear"/>
            <w:tcMar>
              <w:left w:w="0" w:type="dxa"/>
              <w:bottom w:w="28" w:type="dxa"/>
            </w:tcMar>
            <w:vAlign w:val="center"/>
          </w:tcPr>
          <w:p>
            <w:pPr>
              <w:pStyle w:val="TableContents"/>
              <w:bidi w:val="0"/>
              <w:spacing w:before="0" w:after="0"/>
              <w:ind w:left="0" w:right="0" w:hanging="0"/>
              <w:jc w:val="left"/>
              <w:rPr/>
            </w:pPr>
            <w:r>
              <w:rPr/>
              <w:t>​</w:t>
            </w:r>
          </w:p>
        </w:tc>
        <w:tc>
          <w:tcPr>
            <w:tcW w:w="109" w:type="dxa"/>
            <w:tcBorders>
              <w:bottom w:val="single" w:sz="24" w:space="0" w:color="000000"/>
              <w:right w:val="single" w:sz="24" w:space="0" w:color="000000"/>
            </w:tcBorders>
            <w:shd w:fill="D2D2D2" w:val="clear"/>
            <w:tcMar>
              <w:top w:w="0" w:type="dxa"/>
              <w:left w:w="0" w:type="dxa"/>
              <w:bottom w:w="28" w:type="dxa"/>
              <w:right w:w="28" w:type="dxa"/>
            </w:tcMar>
            <w:vAlign w:val="center"/>
          </w:tcPr>
          <w:p>
            <w:pPr>
              <w:pStyle w:val="TableContents"/>
              <w:bidi w:val="0"/>
              <w:spacing w:before="0" w:after="0"/>
              <w:ind w:left="0" w:right="0" w:hanging="0"/>
              <w:jc w:val="center"/>
              <w:rPr/>
            </w:pPr>
            <w:r>
              <w:rPr/>
              <w:t>​</w:t>
            </w:r>
          </w:p>
        </w:tc>
        <w:tc>
          <w:tcPr>
            <w:tcW w:w="109" w:type="dxa"/>
            <w:tcBorders>
              <w:left w:val="single" w:sz="24" w:space="0" w:color="000000"/>
              <w:right w:val="single" w:sz="24" w:space="0" w:color="000000"/>
            </w:tcBorders>
            <w:shd w:fill="D2D2D2" w:val="clear"/>
            <w:tcMar>
              <w:top w:w="0" w:type="dxa"/>
              <w:right w:w="28" w:type="dxa"/>
            </w:tcMar>
            <w:vAlign w:val="center"/>
          </w:tcPr>
          <w:p>
            <w:pPr>
              <w:pStyle w:val="TableContents"/>
              <w:bidi w:val="0"/>
              <w:spacing w:before="0" w:after="0"/>
              <w:ind w:left="0" w:right="0" w:hanging="0"/>
              <w:jc w:val="center"/>
              <w:rPr/>
            </w:pPr>
            <w:r>
              <w:rPr/>
              <w:t>​</w:t>
            </w:r>
          </w:p>
        </w:tc>
        <w:tc>
          <w:tcPr>
            <w:tcW w:w="154" w:type="dxa"/>
            <w:tcBorders/>
            <w:tcMar>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24" w:space="0" w:color="000000"/>
              <w:bottom w:val="single" w:sz="24" w:space="0" w:color="000000"/>
            </w:tcBorders>
            <w:shd w:fill="D2D2D2" w:val="clear"/>
            <w:tcMar>
              <w:top w:w="0" w:type="dxa"/>
              <w:bottom w:w="28" w:type="dxa"/>
            </w:tcMar>
            <w:vAlign w:val="center"/>
          </w:tcPr>
          <w:p>
            <w:pPr>
              <w:pStyle w:val="TableContents"/>
              <w:bidi w:val="0"/>
              <w:spacing w:before="0" w:after="0"/>
              <w:ind w:left="0" w:right="0" w:hanging="0"/>
              <w:jc w:val="center"/>
              <w:rPr/>
            </w:pPr>
            <w:r>
              <w:rPr/>
              <w:t>​</w:t>
            </w:r>
          </w:p>
        </w:tc>
        <w:tc>
          <w:tcPr>
            <w:tcW w:w="109" w:type="dxa"/>
            <w:tcBorders>
              <w:top w:val="single" w:sz="24" w:space="0" w:color="000000"/>
              <w:bottom w:val="single" w:sz="24" w:space="0" w:color="000000"/>
            </w:tcBorders>
            <w:shd w:fill="D2D2D2" w:val="clear"/>
            <w:tcMar>
              <w:left w:w="0" w:type="dxa"/>
              <w:bottom w:w="28" w:type="dxa"/>
            </w:tcMar>
            <w:vAlign w:val="center"/>
          </w:tcPr>
          <w:p>
            <w:pPr>
              <w:pStyle w:val="TableContents"/>
              <w:bidi w:val="0"/>
              <w:spacing w:before="0" w:after="0"/>
              <w:ind w:left="0" w:right="0" w:hanging="0"/>
              <w:jc w:val="center"/>
              <w:rPr/>
            </w:pPr>
            <w:r>
              <w:rPr/>
              <w:t>​</w:t>
            </w:r>
          </w:p>
        </w:tc>
        <w:tc>
          <w:tcPr>
            <w:tcW w:w="8926" w:type="dxa"/>
            <w:tcBorders>
              <w:top w:val="single" w:sz="24" w:space="0" w:color="000000"/>
              <w:bottom w:val="single" w:sz="24" w:space="0" w:color="000000"/>
            </w:tcBorders>
            <w:shd w:fill="D2D2D2" w:val="clear"/>
            <w:tcMar>
              <w:left w:w="0" w:type="dxa"/>
              <w:bottom w:w="28" w:type="dxa"/>
            </w:tcMar>
            <w:vAlign w:val="center"/>
          </w:tcPr>
          <w:p>
            <w:pPr>
              <w:pStyle w:val="TableContents"/>
              <w:bidi w:val="0"/>
              <w:spacing w:before="0" w:after="0"/>
              <w:ind w:left="0" w:right="0" w:hanging="0"/>
              <w:jc w:val="left"/>
              <w:rPr/>
            </w:pPr>
            <w:r>
              <w:rPr/>
              <w:t>​</w:t>
            </w:r>
          </w:p>
        </w:tc>
        <w:tc>
          <w:tcPr>
            <w:tcW w:w="109" w:type="dxa"/>
            <w:tcBorders>
              <w:top w:val="single" w:sz="24" w:space="0" w:color="000000"/>
              <w:bottom w:val="single" w:sz="24" w:space="0" w:color="000000"/>
            </w:tcBorders>
            <w:shd w:fill="D2D2D2" w:val="clear"/>
            <w:tcMar>
              <w:left w:w="0" w:type="dxa"/>
              <w:bottom w:w="28" w:type="dxa"/>
            </w:tcMar>
            <w:vAlign w:val="center"/>
          </w:tcPr>
          <w:p>
            <w:pPr>
              <w:pStyle w:val="TableContents"/>
              <w:bidi w:val="0"/>
              <w:spacing w:before="0" w:after="0"/>
              <w:ind w:left="0" w:right="0" w:hanging="0"/>
              <w:jc w:val="center"/>
              <w:rPr/>
            </w:pPr>
            <w:r>
              <w:rPr/>
              <w:t>​</w:t>
            </w:r>
          </w:p>
        </w:tc>
        <w:tc>
          <w:tcPr>
            <w:tcW w:w="109" w:type="dxa"/>
            <w:tcBorders>
              <w:bottom w:val="single" w:sz="24" w:space="0" w:color="000000"/>
              <w:right w:val="single" w:sz="24" w:space="0" w:color="000000"/>
            </w:tcBorders>
            <w:shd w:fill="D2D2D2" w:val="clear"/>
            <w:tcMar>
              <w:top w:w="0" w:type="dxa"/>
              <w:left w:w="0" w:type="dxa"/>
              <w:bottom w:w="28" w:type="dxa"/>
              <w:right w:w="28" w:type="dxa"/>
            </w:tcMar>
            <w:vAlign w:val="center"/>
          </w:tcPr>
          <w:p>
            <w:pPr>
              <w:pStyle w:val="TableContents"/>
              <w:bidi w:val="0"/>
              <w:spacing w:before="0" w:after="0"/>
              <w:ind w:left="0" w:right="0" w:hanging="0"/>
              <w:jc w:val="center"/>
              <w:rPr/>
            </w:pPr>
            <w:r>
              <w:rPr/>
              <w:t>​</w:t>
            </w:r>
          </w:p>
        </w:tc>
        <w:tc>
          <w:tcPr>
            <w:tcW w:w="154" w:type="dxa"/>
            <w:tcBorders/>
            <w:tcMar>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7862" w:type="dxa"/>
        <w:jc w:val="left"/>
        <w:tblInd w:w="0" w:type="dxa"/>
        <w:tblLayout w:type="fixed"/>
        <w:tblCellMar>
          <w:top w:w="0" w:type="dxa"/>
          <w:left w:w="0" w:type="dxa"/>
          <w:bottom w:w="0" w:type="dxa"/>
          <w:right w:w="0" w:type="dxa"/>
        </w:tblCellMar>
      </w:tblPr>
      <w:tblGrid>
        <w:gridCol w:w="3916"/>
        <w:gridCol w:w="3946"/>
      </w:tblGrid>
      <w:tr>
        <w:trPr/>
        <w:tc>
          <w:tcPr>
            <w:tcW w:w="3916" w:type="dxa"/>
            <w:tcBorders/>
            <w:shd w:fill="D2D2D2" w:val="clear"/>
            <w:vAlign w:val="center"/>
          </w:tcPr>
          <w:p>
            <w:pPr>
              <w:pStyle w:val="TableContents"/>
              <w:bidi w:val="0"/>
              <w:spacing w:before="0" w:after="0"/>
              <w:ind w:left="0" w:right="0" w:hanging="0"/>
              <w:jc w:val="left"/>
              <w:rPr/>
            </w:pPr>
            <w:r>
              <w:rPr/>
              <w:t>​</w:t>
            </w:r>
          </w:p>
        </w:tc>
        <w:tc>
          <w:tcPr>
            <w:tcW w:w="3946" w:type="dxa"/>
            <w:tcBorders/>
            <w:shd w:fill="D2D2D2" w:val="clear"/>
            <w:vAlign w:val="center"/>
          </w:tcPr>
          <w:p>
            <w:pPr>
              <w:pStyle w:val="TableContents"/>
              <w:bidi w:val="0"/>
              <w:spacing w:before="0" w:after="0"/>
              <w:ind w:left="0" w:right="0" w:hanging="0"/>
              <w:jc w:val="left"/>
              <w:rPr/>
            </w:pPr>
            <w:r>
              <w:rPr/>
              <w:t>​</w:t>
            </w:r>
          </w:p>
        </w:tc>
      </w:tr>
      <w:tr>
        <w:trPr/>
        <w:tc>
          <w:tcPr>
            <w:tcW w:w="7862" w:type="dxa"/>
            <w:gridSpan w:val="2"/>
            <w:tcBorders/>
            <w:vAlign w:val="center"/>
          </w:tcPr>
          <w:p>
            <w:pPr>
              <w:pStyle w:val="TableContents"/>
              <w:bidi w:val="0"/>
              <w:spacing w:before="60" w:after="0"/>
              <w:ind w:left="0" w:right="0" w:hanging="0"/>
              <w:jc w:val="center"/>
              <w:rPr>
                <w:rFonts w:ascii="Arial;Helvetica;sans-serif" w:hAnsi="Arial;Helvetica;sans-serif"/>
                <w:b/>
                <w:sz w:val="20"/>
              </w:rPr>
            </w:pPr>
            <w:r>
              <w:rPr>
                <w:rFonts w:ascii="Arial;Helvetica;sans-serif" w:hAnsi="Arial;Helvetica;sans-serif"/>
                <w:b/>
                <w:sz w:val="20"/>
              </w:rPr>
              <w:t>NOTICE OF ARTICLES</w:t>
            </w:r>
          </w:p>
        </w:tc>
      </w:tr>
      <w:tr>
        <w:trPr/>
        <w:tc>
          <w:tcPr>
            <w:tcW w:w="3916" w:type="dxa"/>
            <w:tcBorders/>
            <w:vAlign w:val="center"/>
          </w:tcPr>
          <w:p>
            <w:pPr>
              <w:pStyle w:val="TableContents"/>
              <w:bidi w:val="0"/>
              <w:spacing w:before="0" w:after="0"/>
              <w:ind w:left="0" w:right="0" w:hanging="0"/>
              <w:jc w:val="left"/>
              <w:rPr/>
            </w:pPr>
            <w:r>
              <w:rPr/>
              <w:t>​</w:t>
            </w:r>
          </w:p>
        </w:tc>
        <w:tc>
          <w:tcPr>
            <w:tcW w:w="3946"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100" w:after="60"/>
              <w:ind w:left="0" w:right="0" w:hanging="0"/>
              <w:jc w:val="left"/>
              <w:rPr>
                <w:rFonts w:ascii="Arial;Helvetica;sans-serif" w:hAnsi="Arial;Helvetica;sans-serif"/>
                <w:b/>
                <w:sz w:val="20"/>
              </w:rPr>
            </w:pPr>
            <w:r>
              <w:rPr>
                <w:rFonts w:ascii="Arial;Helvetica;sans-serif" w:hAnsi="Arial;Helvetica;sans-serif"/>
                <w:b/>
                <w:sz w:val="20"/>
              </w:rPr>
              <w:t>Name of Company:</w:t>
            </w:r>
          </w:p>
        </w:tc>
        <w:tc>
          <w:tcPr>
            <w:tcW w:w="3946"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TMC THE METALS COMPANY INC.</w:t>
            </w:r>
          </w:p>
        </w:tc>
        <w:tc>
          <w:tcPr>
            <w:tcW w:w="3946"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pPr>
            <w:r>
              <w:rPr/>
              <w:t>​</w:t>
            </w:r>
          </w:p>
        </w:tc>
        <w:tc>
          <w:tcPr>
            <w:tcW w:w="3946" w:type="dxa"/>
            <w:tcBorders/>
            <w:vAlign w:val="center"/>
          </w:tcPr>
          <w:p>
            <w:pPr>
              <w:pStyle w:val="TableContents"/>
              <w:bidi w:val="0"/>
              <w:spacing w:before="0" w:after="0"/>
              <w:ind w:left="0" w:right="0" w:hanging="0"/>
              <w:jc w:val="left"/>
              <w:rPr/>
            </w:pPr>
            <w:r>
              <w:rPr/>
              <w:t>​</w:t>
            </w:r>
          </w:p>
        </w:tc>
      </w:tr>
      <w:tr>
        <w:trPr/>
        <w:tc>
          <w:tcPr>
            <w:tcW w:w="3916" w:type="dxa"/>
            <w:tcBorders/>
            <w:shd w:fill="D2D2D2" w:val="clear"/>
            <w:vAlign w:val="center"/>
          </w:tcPr>
          <w:p>
            <w:pPr>
              <w:pStyle w:val="TableContents"/>
              <w:bidi w:val="0"/>
              <w:spacing w:before="0" w:after="0"/>
              <w:ind w:left="0" w:right="0" w:hanging="0"/>
              <w:jc w:val="left"/>
              <w:rPr/>
            </w:pPr>
            <w:r>
              <w:rPr/>
              <w:t>​</w:t>
            </w:r>
          </w:p>
        </w:tc>
        <w:tc>
          <w:tcPr>
            <w:tcW w:w="3946" w:type="dxa"/>
            <w:tcBorders/>
            <w:shd w:fill="D2D2D2"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REGISTERED OFFICE INFORMATION</w:t>
            </w:r>
          </w:p>
        </w:tc>
        <w:tc>
          <w:tcPr>
            <w:tcW w:w="3946" w:type="dxa"/>
            <w:tcBorders/>
            <w:vAlign w:val="center"/>
          </w:tcPr>
          <w:p>
            <w:pPr>
              <w:pStyle w:val="TableContents"/>
              <w:bidi w:val="0"/>
              <w:spacing w:before="6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pPr>
            <w:r>
              <w:rPr/>
              <w:t>​</w:t>
            </w:r>
          </w:p>
        </w:tc>
        <w:tc>
          <w:tcPr>
            <w:tcW w:w="3946"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394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15TH FLOOR, 1111 WEST HASTINGS ST.</w:t>
            </w:r>
          </w:p>
        </w:tc>
        <w:tc>
          <w:tcPr>
            <w:tcW w:w="39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15TH FLOOR, 1111 WEST HASTINGS ST.</w:t>
            </w:r>
          </w:p>
        </w:tc>
      </w:tr>
      <w:tr>
        <w:trPr/>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VANCOUVER BC V6E 2J3</w:t>
            </w:r>
          </w:p>
        </w:tc>
        <w:tc>
          <w:tcPr>
            <w:tcW w:w="39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VANCOUVER BC V6E 2J3</w:t>
            </w:r>
          </w:p>
        </w:tc>
      </w:tr>
      <w:tr>
        <w:trPr/>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CANADA</w:t>
            </w:r>
          </w:p>
        </w:tc>
        <w:tc>
          <w:tcPr>
            <w:tcW w:w="39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CANADA</w:t>
            </w:r>
          </w:p>
        </w:tc>
      </w:tr>
      <w:tr>
        <w:trPr/>
        <w:tc>
          <w:tcPr>
            <w:tcW w:w="3916" w:type="dxa"/>
            <w:tcBorders/>
            <w:vAlign w:val="center"/>
          </w:tcPr>
          <w:p>
            <w:pPr>
              <w:pStyle w:val="TableContents"/>
              <w:bidi w:val="0"/>
              <w:spacing w:before="0" w:after="0"/>
              <w:ind w:left="0" w:right="0" w:hanging="0"/>
              <w:jc w:val="left"/>
              <w:rPr/>
            </w:pPr>
            <w:r>
              <w:rPr/>
              <w:t>​</w:t>
            </w:r>
          </w:p>
        </w:tc>
        <w:tc>
          <w:tcPr>
            <w:tcW w:w="3946" w:type="dxa"/>
            <w:tcBorders/>
            <w:vAlign w:val="center"/>
          </w:tcPr>
          <w:p>
            <w:pPr>
              <w:pStyle w:val="TableContents"/>
              <w:bidi w:val="0"/>
              <w:spacing w:before="0" w:after="0"/>
              <w:ind w:left="0" w:right="0" w:hanging="0"/>
              <w:jc w:val="left"/>
              <w:rPr/>
            </w:pPr>
            <w:r>
              <w:rPr/>
              <w:t>​</w:t>
            </w:r>
          </w:p>
        </w:tc>
      </w:tr>
      <w:tr>
        <w:trPr/>
        <w:tc>
          <w:tcPr>
            <w:tcW w:w="3916" w:type="dxa"/>
            <w:tcBorders/>
            <w:shd w:fill="D2D2D2" w:val="clear"/>
            <w:vAlign w:val="center"/>
          </w:tcPr>
          <w:p>
            <w:pPr>
              <w:pStyle w:val="TableContents"/>
              <w:bidi w:val="0"/>
              <w:spacing w:before="0" w:after="0"/>
              <w:ind w:left="0" w:right="0" w:hanging="0"/>
              <w:jc w:val="left"/>
              <w:rPr/>
            </w:pPr>
            <w:r>
              <w:rPr/>
              <w:t>​</w:t>
            </w:r>
          </w:p>
        </w:tc>
        <w:tc>
          <w:tcPr>
            <w:tcW w:w="3946" w:type="dxa"/>
            <w:tcBorders/>
            <w:shd w:fill="D2D2D2"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RECORDS OFFICE INFORMATION</w:t>
            </w:r>
          </w:p>
        </w:tc>
        <w:tc>
          <w:tcPr>
            <w:tcW w:w="3946" w:type="dxa"/>
            <w:tcBorders/>
            <w:vAlign w:val="center"/>
          </w:tcPr>
          <w:p>
            <w:pPr>
              <w:pStyle w:val="TableContents"/>
              <w:bidi w:val="0"/>
              <w:spacing w:before="6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pPr>
            <w:r>
              <w:rPr/>
              <w:t>​</w:t>
            </w:r>
          </w:p>
        </w:tc>
        <w:tc>
          <w:tcPr>
            <w:tcW w:w="3946"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394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15TH FLOOR, 1111 WEST HASTINGS ST.</w:t>
            </w:r>
          </w:p>
        </w:tc>
        <w:tc>
          <w:tcPr>
            <w:tcW w:w="39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15TH FLOOR, 1111 WEST HASTINGS ST.</w:t>
            </w:r>
          </w:p>
        </w:tc>
      </w:tr>
      <w:tr>
        <w:trPr/>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VANCOUVER BC V6E 2J3</w:t>
            </w:r>
          </w:p>
        </w:tc>
        <w:tc>
          <w:tcPr>
            <w:tcW w:w="39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VANCOUVER BC V6E 2J3</w:t>
            </w:r>
          </w:p>
        </w:tc>
      </w:tr>
      <w:tr>
        <w:trPr/>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CANADA</w:t>
            </w:r>
          </w:p>
        </w:tc>
        <w:tc>
          <w:tcPr>
            <w:tcW w:w="39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CANADA</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Arial;Helvetica;sans-serif" w:hAnsi="Arial;Helvetica;sans-serif"/>
          <w:sz w:val="20"/>
        </w:rPr>
        <w:t>Page: 1</w:t>
      </w:r>
      <w:r>
        <w:rPr>
          <w:rFonts w:ascii="Times New Roman;Times;serif" w:hAnsi="Times New Roman;Times;serif"/>
          <w:sz w:val="20"/>
        </w:rPr>
        <w:t xml:space="preserve"> </w:t>
      </w:r>
      <w:r>
        <w:rPr>
          <w:rFonts w:ascii="Arial;Helvetica;sans-serif" w:hAnsi="Arial;Helvetica;sans-serif"/>
          <w:sz w:val="20"/>
        </w:rPr>
        <w:t>of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02" w:type="dxa"/>
        <w:jc w:val="left"/>
        <w:tblInd w:w="0" w:type="dxa"/>
        <w:tblLayout w:type="fixed"/>
        <w:tblCellMar>
          <w:top w:w="0" w:type="dxa"/>
          <w:left w:w="0" w:type="dxa"/>
          <w:bottom w:w="0" w:type="dxa"/>
          <w:right w:w="0" w:type="dxa"/>
        </w:tblCellMar>
      </w:tblPr>
      <w:tblGrid>
        <w:gridCol w:w="3616"/>
        <w:gridCol w:w="1786"/>
      </w:tblGrid>
      <w:tr>
        <w:trPr/>
        <w:tc>
          <w:tcPr>
            <w:tcW w:w="3616" w:type="dxa"/>
            <w:tcBorders/>
            <w:shd w:fill="D2D2D2" w:val="clear"/>
            <w:vAlign w:val="center"/>
          </w:tcPr>
          <w:p>
            <w:pPr>
              <w:pStyle w:val="TableContents"/>
              <w:bidi w:val="0"/>
              <w:spacing w:before="0" w:after="0"/>
              <w:ind w:left="0" w:right="0" w:hanging="0"/>
              <w:jc w:val="left"/>
              <w:rPr/>
            </w:pPr>
            <w:r>
              <w:rPr/>
              <w:t>​</w:t>
            </w:r>
          </w:p>
        </w:tc>
        <w:tc>
          <w:tcPr>
            <w:tcW w:w="1786" w:type="dxa"/>
            <w:tcBorders/>
            <w:shd w:fill="D2D2D2"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DIRECTOR INFORMATION</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Last Name, First Name, Middle Name:</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Hall, Andrew</w:t>
            </w:r>
          </w:p>
        </w:tc>
        <w:tc>
          <w:tcPr>
            <w:tcW w:w="1786" w:type="dxa"/>
            <w:tcBorders/>
            <w:vAlign w:val="center"/>
          </w:tcPr>
          <w:p>
            <w:pPr>
              <w:pStyle w:val="TableContents"/>
              <w:bidi w:val="0"/>
              <w:spacing w:before="0" w:after="12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17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c>
          <w:tcPr>
            <w:tcW w:w="178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r>
      <w:tr>
        <w:trPr/>
        <w:tc>
          <w:tcPr>
            <w:tcW w:w="3616" w:type="dxa"/>
            <w:tcBorders>
              <w:top w:val="single" w:sz="24" w:space="0" w:color="D2D2D2"/>
            </w:tcBorders>
            <w:tcMar>
              <w:top w:w="28" w:type="dxa"/>
            </w:tcM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Last Name, First Name, Middle Name:</w:t>
            </w:r>
          </w:p>
        </w:tc>
        <w:tc>
          <w:tcPr>
            <w:tcW w:w="1786" w:type="dxa"/>
            <w:tcBorders>
              <w:top w:val="single" w:sz="24" w:space="0" w:color="D2D2D2"/>
            </w:tcBorders>
            <w:tcMar>
              <w:top w:w="28" w:type="dxa"/>
            </w:tcMar>
            <w:vAlign w:val="center"/>
          </w:tcPr>
          <w:p>
            <w:pPr>
              <w:pStyle w:val="TableContents"/>
              <w:bidi w:val="0"/>
              <w:spacing w:before="60" w:after="0"/>
              <w:ind w:left="0" w:right="0" w:hanging="0"/>
              <w:jc w:val="left"/>
              <w:rPr/>
            </w:pPr>
            <w:r>
              <w:rPr/>
              <w:t>​</w:t>
            </w:r>
          </w:p>
        </w:tc>
      </w:tr>
      <w:tr>
        <w:trPr/>
        <w:tc>
          <w:tcPr>
            <w:tcW w:w="3616" w:type="dxa"/>
            <w:tcBorders/>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Barron, Gerard</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17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c>
          <w:tcPr>
            <w:tcW w:w="178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r>
      <w:tr>
        <w:trPr/>
        <w:tc>
          <w:tcPr>
            <w:tcW w:w="3616" w:type="dxa"/>
            <w:tcBorders>
              <w:top w:val="single" w:sz="24" w:space="0" w:color="D2D2D2"/>
            </w:tcBorders>
            <w:tcMar>
              <w:top w:w="28" w:type="dxa"/>
            </w:tcM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Last Name, First Name, Middle Name:</w:t>
            </w:r>
          </w:p>
        </w:tc>
        <w:tc>
          <w:tcPr>
            <w:tcW w:w="1786" w:type="dxa"/>
            <w:tcBorders>
              <w:top w:val="single" w:sz="24" w:space="0" w:color="D2D2D2"/>
            </w:tcBorders>
            <w:tcMar>
              <w:top w:w="28" w:type="dxa"/>
            </w:tcMar>
            <w:vAlign w:val="center"/>
          </w:tcPr>
          <w:p>
            <w:pPr>
              <w:pStyle w:val="TableContents"/>
              <w:bidi w:val="0"/>
              <w:spacing w:before="60" w:after="0"/>
              <w:ind w:left="0" w:right="0" w:hanging="0"/>
              <w:jc w:val="left"/>
              <w:rPr/>
            </w:pPr>
            <w:r>
              <w:rPr/>
              <w:t>​</w:t>
            </w:r>
          </w:p>
        </w:tc>
      </w:tr>
      <w:tr>
        <w:trPr/>
        <w:tc>
          <w:tcPr>
            <w:tcW w:w="3616" w:type="dxa"/>
            <w:tcBorders/>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Greig, Andrew</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17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c>
          <w:tcPr>
            <w:tcW w:w="178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r>
      <w:tr>
        <w:trPr/>
        <w:tc>
          <w:tcPr>
            <w:tcW w:w="3616" w:type="dxa"/>
            <w:tcBorders>
              <w:top w:val="single" w:sz="24" w:space="0" w:color="D2D2D2"/>
            </w:tcBorders>
            <w:tcMar>
              <w:top w:w="28" w:type="dxa"/>
            </w:tcM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Last Name, First Name, Middle Name:</w:t>
            </w:r>
          </w:p>
        </w:tc>
        <w:tc>
          <w:tcPr>
            <w:tcW w:w="1786" w:type="dxa"/>
            <w:tcBorders>
              <w:top w:val="single" w:sz="24" w:space="0" w:color="D2D2D2"/>
            </w:tcBorders>
            <w:tcMar>
              <w:top w:w="28" w:type="dxa"/>
            </w:tcMar>
            <w:vAlign w:val="center"/>
          </w:tcPr>
          <w:p>
            <w:pPr>
              <w:pStyle w:val="TableContents"/>
              <w:bidi w:val="0"/>
              <w:spacing w:before="60" w:after="0"/>
              <w:ind w:left="0" w:right="0" w:hanging="0"/>
              <w:jc w:val="left"/>
              <w:rPr/>
            </w:pPr>
            <w:r>
              <w:rPr/>
              <w:t>​</w:t>
            </w:r>
          </w:p>
        </w:tc>
      </w:tr>
      <w:tr>
        <w:trPr/>
        <w:tc>
          <w:tcPr>
            <w:tcW w:w="3616" w:type="dxa"/>
            <w:tcBorders/>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Karkar, Andrei</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17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c>
          <w:tcPr>
            <w:tcW w:w="178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r>
      <w:tr>
        <w:trPr/>
        <w:tc>
          <w:tcPr>
            <w:tcW w:w="3616" w:type="dxa"/>
            <w:tcBorders>
              <w:top w:val="single" w:sz="24" w:space="0" w:color="D2D2D2"/>
            </w:tcBorders>
            <w:tcMar>
              <w:top w:w="28" w:type="dxa"/>
            </w:tcM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Last Name, First Name, Middle Name:</w:t>
            </w:r>
          </w:p>
        </w:tc>
        <w:tc>
          <w:tcPr>
            <w:tcW w:w="1786" w:type="dxa"/>
            <w:tcBorders>
              <w:top w:val="single" w:sz="24" w:space="0" w:color="D2D2D2"/>
            </w:tcBorders>
            <w:tcMar>
              <w:top w:w="28" w:type="dxa"/>
            </w:tcMar>
            <w:vAlign w:val="center"/>
          </w:tcPr>
          <w:p>
            <w:pPr>
              <w:pStyle w:val="TableContents"/>
              <w:bidi w:val="0"/>
              <w:spacing w:before="60" w:after="0"/>
              <w:ind w:left="0" w:right="0" w:hanging="0"/>
              <w:jc w:val="left"/>
              <w:rPr/>
            </w:pPr>
            <w:r>
              <w:rPr/>
              <w:t>​</w:t>
            </w:r>
          </w:p>
        </w:tc>
      </w:tr>
      <w:tr>
        <w:trPr/>
        <w:tc>
          <w:tcPr>
            <w:tcW w:w="3616" w:type="dxa"/>
            <w:tcBorders/>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Khama, Sheila</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17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c>
          <w:tcPr>
            <w:tcW w:w="178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r>
      <w:tr>
        <w:trPr/>
        <w:tc>
          <w:tcPr>
            <w:tcW w:w="3616" w:type="dxa"/>
            <w:tcBorders>
              <w:top w:val="single" w:sz="24" w:space="0" w:color="D2D2D2"/>
            </w:tcBorders>
            <w:tcMar>
              <w:top w:w="28" w:type="dxa"/>
            </w:tcM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Last Name, First Name, Middle Name:</w:t>
            </w:r>
          </w:p>
        </w:tc>
        <w:tc>
          <w:tcPr>
            <w:tcW w:w="1786" w:type="dxa"/>
            <w:tcBorders>
              <w:top w:val="single" w:sz="24" w:space="0" w:color="D2D2D2"/>
            </w:tcBorders>
            <w:tcMar>
              <w:top w:w="28" w:type="dxa"/>
            </w:tcMar>
            <w:vAlign w:val="center"/>
          </w:tcPr>
          <w:p>
            <w:pPr>
              <w:pStyle w:val="TableContents"/>
              <w:bidi w:val="0"/>
              <w:spacing w:before="60" w:after="0"/>
              <w:ind w:left="0" w:right="0" w:hanging="0"/>
              <w:jc w:val="left"/>
              <w:rPr/>
            </w:pPr>
            <w:r>
              <w:rPr/>
              <w:t>​</w:t>
            </w:r>
          </w:p>
        </w:tc>
      </w:tr>
      <w:tr>
        <w:trPr/>
        <w:tc>
          <w:tcPr>
            <w:tcW w:w="3616" w:type="dxa"/>
            <w:tcBorders/>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Hess, Michael B.</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17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c>
          <w:tcPr>
            <w:tcW w:w="178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Arial;Helvetica;sans-serif" w:hAnsi="Arial;Helvetica;sans-serif"/>
          <w:sz w:val="20"/>
        </w:rPr>
        <w:t>Page: 2</w:t>
      </w:r>
      <w:r>
        <w:rPr>
          <w:rFonts w:ascii="Times New Roman;Times;serif" w:hAnsi="Times New Roman;Times;serif"/>
          <w:sz w:val="20"/>
        </w:rPr>
        <w:t xml:space="preserve"> </w:t>
      </w:r>
      <w:r>
        <w:rPr>
          <w:rFonts w:ascii="Arial;Helvetica;sans-serif" w:hAnsi="Arial;Helvetica;sans-serif"/>
          <w:sz w:val="20"/>
        </w:rPr>
        <w:t>of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02" w:type="dxa"/>
        <w:jc w:val="left"/>
        <w:tblInd w:w="0" w:type="dxa"/>
        <w:tblLayout w:type="fixed"/>
        <w:tblCellMar>
          <w:top w:w="0" w:type="dxa"/>
          <w:left w:w="0" w:type="dxa"/>
          <w:bottom w:w="0" w:type="dxa"/>
          <w:right w:w="0" w:type="dxa"/>
        </w:tblCellMar>
      </w:tblPr>
      <w:tblGrid>
        <w:gridCol w:w="3616"/>
        <w:gridCol w:w="1786"/>
      </w:tblGrid>
      <w:tr>
        <w:trPr/>
        <w:tc>
          <w:tcPr>
            <w:tcW w:w="3616" w:type="dxa"/>
            <w:tcBorders/>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Last Name, First Name, Middle Name:</w:t>
            </w:r>
          </w:p>
        </w:tc>
        <w:tc>
          <w:tcPr>
            <w:tcW w:w="1786" w:type="dxa"/>
            <w:tcBorders/>
            <w:vAlign w:val="center"/>
          </w:tcPr>
          <w:p>
            <w:pPr>
              <w:pStyle w:val="TableContents"/>
              <w:bidi w:val="0"/>
              <w:spacing w:before="60" w:after="0"/>
              <w:ind w:left="0" w:right="0" w:hanging="0"/>
              <w:jc w:val="left"/>
              <w:rPr/>
            </w:pPr>
            <w:r>
              <w:rPr/>
              <w:t>​</w:t>
            </w:r>
          </w:p>
        </w:tc>
      </w:tr>
      <w:tr>
        <w:trPr/>
        <w:tc>
          <w:tcPr>
            <w:tcW w:w="3616" w:type="dxa"/>
            <w:tcBorders/>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Jurvetson, Steve</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17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c>
          <w:tcPr>
            <w:tcW w:w="178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r>
      <w:tr>
        <w:trPr/>
        <w:tc>
          <w:tcPr>
            <w:tcW w:w="3616" w:type="dxa"/>
            <w:tcBorders>
              <w:top w:val="single" w:sz="24" w:space="0" w:color="D2D2D2"/>
            </w:tcBorders>
            <w:tcMar>
              <w:top w:w="28" w:type="dxa"/>
            </w:tcM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Last Name, First Name, Middle Name:</w:t>
            </w:r>
          </w:p>
        </w:tc>
        <w:tc>
          <w:tcPr>
            <w:tcW w:w="1786" w:type="dxa"/>
            <w:tcBorders>
              <w:top w:val="single" w:sz="24" w:space="0" w:color="D2D2D2"/>
            </w:tcBorders>
            <w:tcMar>
              <w:top w:w="28" w:type="dxa"/>
            </w:tcMar>
            <w:vAlign w:val="center"/>
          </w:tcPr>
          <w:p>
            <w:pPr>
              <w:pStyle w:val="TableContents"/>
              <w:bidi w:val="0"/>
              <w:spacing w:before="60" w:after="0"/>
              <w:ind w:left="0" w:right="0" w:hanging="0"/>
              <w:jc w:val="left"/>
              <w:rPr/>
            </w:pPr>
            <w:r>
              <w:rPr/>
              <w:t>​</w:t>
            </w:r>
          </w:p>
        </w:tc>
      </w:tr>
      <w:tr>
        <w:trPr/>
        <w:tc>
          <w:tcPr>
            <w:tcW w:w="3616" w:type="dxa"/>
            <w:tcBorders/>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Spiro, Alex</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17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c>
          <w:tcPr>
            <w:tcW w:w="178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r>
      <w:tr>
        <w:trPr/>
        <w:tc>
          <w:tcPr>
            <w:tcW w:w="3616" w:type="dxa"/>
            <w:tcBorders>
              <w:top w:val="single" w:sz="24" w:space="0" w:color="D2D2D2"/>
            </w:tcBorders>
            <w:tcMar>
              <w:top w:w="28" w:type="dxa"/>
            </w:tcM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Last Name, First Name, Middle Name:</w:t>
            </w:r>
          </w:p>
        </w:tc>
        <w:tc>
          <w:tcPr>
            <w:tcW w:w="1786" w:type="dxa"/>
            <w:tcBorders>
              <w:top w:val="single" w:sz="24" w:space="0" w:color="D2D2D2"/>
            </w:tcBorders>
            <w:tcMar>
              <w:top w:w="28" w:type="dxa"/>
            </w:tcMar>
            <w:vAlign w:val="center"/>
          </w:tcPr>
          <w:p>
            <w:pPr>
              <w:pStyle w:val="TableContents"/>
              <w:bidi w:val="0"/>
              <w:spacing w:before="60" w:after="0"/>
              <w:ind w:left="0" w:right="0" w:hanging="0"/>
              <w:jc w:val="left"/>
              <w:rPr/>
            </w:pPr>
            <w:r>
              <w:rPr/>
              <w:t>​</w:t>
            </w:r>
          </w:p>
        </w:tc>
      </w:tr>
      <w:tr>
        <w:trPr/>
        <w:tc>
          <w:tcPr>
            <w:tcW w:w="3616" w:type="dxa"/>
            <w:tcBorders/>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May, Brendan</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17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c>
          <w:tcPr>
            <w:tcW w:w="1786" w:type="dxa"/>
            <w:tcBorders>
              <w:bottom w:val="single" w:sz="24" w:space="0" w:color="D2D2D2"/>
            </w:tcBorders>
            <w:tcMar>
              <w:bottom w:w="28" w:type="dxa"/>
            </w:tcMar>
            <w:vAlign w:val="center"/>
          </w:tcPr>
          <w:p>
            <w:pPr>
              <w:pStyle w:val="TableContents"/>
              <w:bidi w:val="0"/>
              <w:spacing w:before="0" w:after="0"/>
              <w:ind w:left="0" w:right="0" w:hanging="0"/>
              <w:jc w:val="left"/>
              <w:rPr/>
            </w:pPr>
            <w:r>
              <w:rPr/>
              <w:t>​</w:t>
            </w:r>
          </w:p>
        </w:tc>
      </w:tr>
      <w:tr>
        <w:trPr/>
        <w:tc>
          <w:tcPr>
            <w:tcW w:w="3616" w:type="dxa"/>
            <w:tcBorders>
              <w:top w:val="single" w:sz="24" w:space="0" w:color="D2D2D2"/>
            </w:tcBorders>
            <w:tcMar>
              <w:top w:w="28" w:type="dxa"/>
            </w:tcM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Last Name, First Name, Middle Name:</w:t>
            </w:r>
          </w:p>
        </w:tc>
        <w:tc>
          <w:tcPr>
            <w:tcW w:w="1786" w:type="dxa"/>
            <w:tcBorders>
              <w:top w:val="single" w:sz="24" w:space="0" w:color="D2D2D2"/>
            </w:tcBorders>
            <w:tcMar>
              <w:top w:w="28" w:type="dxa"/>
            </w:tcMar>
            <w:vAlign w:val="center"/>
          </w:tcPr>
          <w:p>
            <w:pPr>
              <w:pStyle w:val="TableContents"/>
              <w:bidi w:val="0"/>
              <w:spacing w:before="60" w:after="0"/>
              <w:ind w:left="0" w:right="0" w:hanging="0"/>
              <w:jc w:val="left"/>
              <w:rPr/>
            </w:pPr>
            <w:r>
              <w:rPr/>
              <w:t>​</w:t>
            </w:r>
          </w:p>
        </w:tc>
      </w:tr>
      <w:tr>
        <w:trPr/>
        <w:tc>
          <w:tcPr>
            <w:tcW w:w="3616" w:type="dxa"/>
            <w:tcBorders/>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Madsbjerg, Christian</w:t>
            </w:r>
          </w:p>
        </w:tc>
        <w:tc>
          <w:tcPr>
            <w:tcW w:w="178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Mailing Address:</w:t>
            </w:r>
          </w:p>
        </w:tc>
        <w:tc>
          <w:tcPr>
            <w:tcW w:w="17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Delivery Address:</w:t>
            </w:r>
          </w:p>
        </w:tc>
      </w:tr>
      <w:tr>
        <w:trPr/>
        <w:tc>
          <w:tcPr>
            <w:tcW w:w="3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1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943" w:type="dxa"/>
        <w:jc w:val="left"/>
        <w:tblInd w:w="0" w:type="dxa"/>
        <w:tblLayout w:type="fixed"/>
        <w:tblCellMar>
          <w:top w:w="0" w:type="dxa"/>
          <w:left w:w="0" w:type="dxa"/>
          <w:bottom w:w="0" w:type="dxa"/>
          <w:right w:w="0" w:type="dxa"/>
        </w:tblCellMar>
      </w:tblPr>
      <w:tblGrid>
        <w:gridCol w:w="1681"/>
        <w:gridCol w:w="2176"/>
        <w:gridCol w:w="2086"/>
      </w:tblGrid>
      <w:tr>
        <w:trPr/>
        <w:tc>
          <w:tcPr>
            <w:tcW w:w="5943" w:type="dxa"/>
            <w:gridSpan w:val="3"/>
            <w:tcBorders/>
            <w:shd w:fill="D2D2D2" w:val="clear"/>
            <w:vAlign w:val="center"/>
          </w:tcPr>
          <w:p>
            <w:pPr>
              <w:pStyle w:val="TableContents"/>
              <w:bidi w:val="0"/>
              <w:spacing w:before="0" w:after="0"/>
              <w:ind w:left="0" w:right="0" w:hanging="0"/>
              <w:jc w:val="left"/>
              <w:rPr/>
            </w:pPr>
            <w:r>
              <w:rPr/>
              <w:t>​</w:t>
            </w:r>
          </w:p>
        </w:tc>
      </w:tr>
      <w:tr>
        <w:trPr/>
        <w:tc>
          <w:tcPr>
            <w:tcW w:w="5943" w:type="dxa"/>
            <w:gridSpan w:val="3"/>
            <w:tcBorders>
              <w:bottom w:val="single" w:sz="24" w:space="0" w:color="000000"/>
            </w:tcBorders>
            <w:tcMar>
              <w:bottom w:w="28" w:type="dxa"/>
            </w:tcMar>
            <w:vAlign w:val="center"/>
          </w:tcPr>
          <w:p>
            <w:pPr>
              <w:pStyle w:val="TableContents"/>
              <w:bidi w:val="0"/>
              <w:spacing w:before="60" w:after="60"/>
              <w:ind w:left="0" w:right="0" w:hanging="0"/>
              <w:jc w:val="left"/>
              <w:rPr>
                <w:rFonts w:ascii="Arial;Helvetica;sans-serif" w:hAnsi="Arial;Helvetica;sans-serif"/>
                <w:b/>
                <w:sz w:val="20"/>
              </w:rPr>
            </w:pPr>
            <w:r>
              <w:rPr>
                <w:rFonts w:ascii="Arial;Helvetica;sans-serif" w:hAnsi="Arial;Helvetica;sans-serif"/>
                <w:b/>
                <w:sz w:val="20"/>
              </w:rPr>
              <w:t>AUTHORIZED SHARE STRUCTURE</w:t>
            </w:r>
          </w:p>
        </w:tc>
      </w:tr>
      <w:tr>
        <w:trPr/>
        <w:tc>
          <w:tcPr>
            <w:tcW w:w="1681"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1.    No Maximum</w:t>
            </w:r>
          </w:p>
        </w:tc>
        <w:tc>
          <w:tcPr>
            <w:tcW w:w="2176"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Common Shares</w:t>
            </w:r>
          </w:p>
        </w:tc>
        <w:tc>
          <w:tcPr>
            <w:tcW w:w="2086"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681"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681"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c>
          <w:tcPr>
            <w:tcW w:w="2176"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c>
          <w:tcPr>
            <w:tcW w:w="2086"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r>
      <w:tr>
        <w:trPr/>
        <w:tc>
          <w:tcPr>
            <w:tcW w:w="1681" w:type="dxa"/>
            <w:tcBorders>
              <w:top w:val="dashed" w:sz="12" w:space="0" w:color="000000"/>
              <w:bottom w:val="single" w:sz="24" w:space="0" w:color="000000"/>
            </w:tcBorders>
            <w:tcMar>
              <w:top w:w="28" w:type="dxa"/>
              <w:bottom w:w="28" w:type="dxa"/>
            </w:tcMar>
            <w:vAlign w:val="center"/>
          </w:tcPr>
          <w:p>
            <w:pPr>
              <w:pStyle w:val="TableContents"/>
              <w:bidi w:val="0"/>
              <w:spacing w:before="0" w:after="0"/>
              <w:ind w:left="0" w:right="0" w:hanging="0"/>
              <w:jc w:val="left"/>
              <w:rPr/>
            </w:pPr>
            <w:r>
              <w:rPr/>
              <w:t>​</w:t>
            </w:r>
          </w:p>
        </w:tc>
        <w:tc>
          <w:tcPr>
            <w:tcW w:w="2176" w:type="dxa"/>
            <w:tcBorders>
              <w:top w:val="dashed" w:sz="12" w:space="0" w:color="000000"/>
              <w:bottom w:val="single" w:sz="24" w:space="0" w:color="000000"/>
            </w:tcBorders>
            <w:tcMar>
              <w:top w:w="28" w:type="dxa"/>
              <w:bottom w:w="28" w:type="dxa"/>
            </w:tcMar>
            <w:vAlign w:val="center"/>
          </w:tcPr>
          <w:p>
            <w:pPr>
              <w:pStyle w:val="TableContents"/>
              <w:bidi w:val="0"/>
              <w:spacing w:before="0" w:after="0"/>
              <w:ind w:left="0" w:right="0" w:hanging="0"/>
              <w:jc w:val="left"/>
              <w:rPr/>
            </w:pPr>
            <w:r>
              <w:rPr/>
              <w:t>​</w:t>
            </w:r>
          </w:p>
        </w:tc>
        <w:tc>
          <w:tcPr>
            <w:tcW w:w="2086" w:type="dxa"/>
            <w:tcBorders>
              <w:top w:val="dashed" w:sz="12" w:space="0" w:color="000000"/>
              <w:bottom w:val="single" w:sz="24"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681"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2.    No Maximum</w:t>
            </w:r>
          </w:p>
        </w:tc>
        <w:tc>
          <w:tcPr>
            <w:tcW w:w="2176"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Preferred Shares</w:t>
            </w:r>
          </w:p>
        </w:tc>
        <w:tc>
          <w:tcPr>
            <w:tcW w:w="2086"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681"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681"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c>
          <w:tcPr>
            <w:tcW w:w="2176"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c>
          <w:tcPr>
            <w:tcW w:w="2086"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r>
      <w:tr>
        <w:trPr/>
        <w:tc>
          <w:tcPr>
            <w:tcW w:w="1681" w:type="dxa"/>
            <w:tcBorders>
              <w:top w:val="dashed" w:sz="12" w:space="0" w:color="000000"/>
              <w:bottom w:val="single" w:sz="24" w:space="0" w:color="000000"/>
            </w:tcBorders>
            <w:tcMar>
              <w:top w:w="28" w:type="dxa"/>
              <w:bottom w:w="28" w:type="dxa"/>
            </w:tcMar>
            <w:vAlign w:val="center"/>
          </w:tcPr>
          <w:p>
            <w:pPr>
              <w:pStyle w:val="TableContents"/>
              <w:bidi w:val="0"/>
              <w:spacing w:before="0" w:after="0"/>
              <w:ind w:left="0" w:right="0" w:hanging="0"/>
              <w:jc w:val="left"/>
              <w:rPr/>
            </w:pPr>
            <w:r>
              <w:rPr/>
              <w:t>​</w:t>
            </w:r>
          </w:p>
        </w:tc>
        <w:tc>
          <w:tcPr>
            <w:tcW w:w="2176" w:type="dxa"/>
            <w:tcBorders>
              <w:top w:val="dashed" w:sz="12" w:space="0" w:color="000000"/>
              <w:bottom w:val="single" w:sz="24" w:space="0" w:color="000000"/>
            </w:tcBorders>
            <w:tcMar>
              <w:top w:w="28" w:type="dxa"/>
              <w:bottom w:w="28" w:type="dxa"/>
            </w:tcMar>
            <w:vAlign w:val="center"/>
          </w:tcPr>
          <w:p>
            <w:pPr>
              <w:pStyle w:val="TableContents"/>
              <w:bidi w:val="0"/>
              <w:spacing w:before="0" w:after="0"/>
              <w:ind w:left="0" w:right="0" w:hanging="0"/>
              <w:jc w:val="left"/>
              <w:rPr/>
            </w:pPr>
            <w:r>
              <w:rPr/>
              <w:t>​</w:t>
            </w:r>
          </w:p>
        </w:tc>
        <w:tc>
          <w:tcPr>
            <w:tcW w:w="2086" w:type="dxa"/>
            <w:tcBorders>
              <w:top w:val="dashed" w:sz="12" w:space="0" w:color="000000"/>
              <w:bottom w:val="single" w:sz="24"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681"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3.    5,000,000</w:t>
            </w:r>
          </w:p>
        </w:tc>
        <w:tc>
          <w:tcPr>
            <w:tcW w:w="2176"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Class A Special Shares</w:t>
            </w:r>
          </w:p>
        </w:tc>
        <w:tc>
          <w:tcPr>
            <w:tcW w:w="2086"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681"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Arial;Helvetica;sans-serif" w:hAnsi="Arial;Helvetica;sans-serif"/>
          <w:sz w:val="20"/>
        </w:rPr>
        <w:t>Page: 3</w:t>
      </w:r>
      <w:r>
        <w:rPr>
          <w:rFonts w:ascii="Times New Roman;Times;serif" w:hAnsi="Times New Roman;Times;serif"/>
          <w:sz w:val="20"/>
        </w:rPr>
        <w:t xml:space="preserve"> </w:t>
      </w:r>
      <w:r>
        <w:rPr>
          <w:rFonts w:ascii="Arial;Helvetica;sans-serif" w:hAnsi="Arial;Helvetica;sans-serif"/>
          <w:sz w:val="20"/>
        </w:rPr>
        <w:t>of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868" w:type="dxa"/>
        <w:jc w:val="left"/>
        <w:tblInd w:w="0" w:type="dxa"/>
        <w:tblLayout w:type="fixed"/>
        <w:tblCellMar>
          <w:top w:w="0" w:type="dxa"/>
          <w:left w:w="0" w:type="dxa"/>
          <w:bottom w:w="28" w:type="dxa"/>
          <w:right w:w="0" w:type="dxa"/>
        </w:tblCellMar>
      </w:tblPr>
      <w:tblGrid>
        <w:gridCol w:w="1591"/>
        <w:gridCol w:w="2191"/>
        <w:gridCol w:w="2086"/>
      </w:tblGrid>
      <w:tr>
        <w:trPr/>
        <w:tc>
          <w:tcPr>
            <w:tcW w:w="1591" w:type="dxa"/>
            <w:tcBorders>
              <w:bottom w:val="dashed" w:sz="12" w:space="0" w:color="000000"/>
            </w:tcBorders>
            <w:vAlign w:val="center"/>
          </w:tcPr>
          <w:p>
            <w:pPr>
              <w:pStyle w:val="TableContents"/>
              <w:bidi w:val="0"/>
              <w:spacing w:before="0" w:after="0"/>
              <w:ind w:left="0" w:right="0" w:hanging="0"/>
              <w:jc w:val="left"/>
              <w:rPr/>
            </w:pPr>
            <w:r>
              <w:rPr/>
              <w:t>​</w:t>
            </w:r>
          </w:p>
        </w:tc>
        <w:tc>
          <w:tcPr>
            <w:tcW w:w="2191" w:type="dxa"/>
            <w:tcBorders>
              <w:bottom w:val="dashed" w:sz="12" w:space="0" w:color="000000"/>
            </w:tcBorders>
            <w:vAlign w:val="center"/>
          </w:tcPr>
          <w:p>
            <w:pPr>
              <w:pStyle w:val="TableContents"/>
              <w:bidi w:val="0"/>
              <w:spacing w:before="0" w:after="0"/>
              <w:ind w:left="0" w:right="0" w:hanging="0"/>
              <w:jc w:val="left"/>
              <w:rPr/>
            </w:pPr>
            <w:r>
              <w:rPr/>
              <w:t>​</w:t>
            </w:r>
          </w:p>
        </w:tc>
        <w:tc>
          <w:tcPr>
            <w:tcW w:w="2086" w:type="dxa"/>
            <w:tcBorders>
              <w:bottom w:val="dashed" w:sz="12" w:space="0" w:color="000000"/>
            </w:tcBorders>
            <w:vAlign w:val="center"/>
          </w:tcPr>
          <w:p>
            <w:pPr>
              <w:pStyle w:val="TableContents"/>
              <w:bidi w:val="0"/>
              <w:spacing w:before="0" w:after="0"/>
              <w:ind w:left="0" w:right="0" w:hanging="0"/>
              <w:jc w:val="left"/>
              <w:rPr/>
            </w:pPr>
            <w:r>
              <w:rPr/>
              <w:t>​</w:t>
            </w:r>
          </w:p>
        </w:tc>
      </w:tr>
      <w:tr>
        <w:trPr/>
        <w:tc>
          <w:tcPr>
            <w:tcW w:w="1591" w:type="dxa"/>
            <w:tcBorders>
              <w:top w:val="dashed" w:sz="12" w:space="0" w:color="000000"/>
            </w:tcBorders>
            <w:tcMar>
              <w:top w:w="28" w:type="dxa"/>
              <w:bottom w:w="0" w:type="dxa"/>
            </w:tcMar>
            <w:vAlign w:val="center"/>
          </w:tcPr>
          <w:p>
            <w:pPr>
              <w:pStyle w:val="TableContents"/>
              <w:bidi w:val="0"/>
              <w:spacing w:before="0" w:after="0"/>
              <w:ind w:left="0" w:right="0" w:hanging="0"/>
              <w:jc w:val="left"/>
              <w:rPr/>
            </w:pPr>
            <w:r>
              <w:rPr/>
              <w:t>​</w:t>
            </w:r>
          </w:p>
        </w:tc>
        <w:tc>
          <w:tcPr>
            <w:tcW w:w="2191" w:type="dxa"/>
            <w:tcBorders>
              <w:top w:val="dashed" w:sz="12" w:space="0" w:color="000000"/>
            </w:tcBorders>
            <w:tcMar>
              <w:top w:w="28" w:type="dxa"/>
              <w:bottom w:w="0" w:type="dxa"/>
            </w:tcMar>
            <w:vAlign w:val="center"/>
          </w:tcPr>
          <w:p>
            <w:pPr>
              <w:pStyle w:val="TableContents"/>
              <w:bidi w:val="0"/>
              <w:spacing w:before="0" w:after="0"/>
              <w:ind w:left="0" w:right="0" w:hanging="0"/>
              <w:jc w:val="left"/>
              <w:rPr/>
            </w:pPr>
            <w:r>
              <w:rPr/>
              <w:t>​</w:t>
            </w:r>
          </w:p>
        </w:tc>
        <w:tc>
          <w:tcPr>
            <w:tcW w:w="2086" w:type="dxa"/>
            <w:tcBorders>
              <w:top w:val="dashed" w:sz="1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15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4.    10,000,000</w:t>
            </w:r>
          </w:p>
        </w:tc>
        <w:tc>
          <w:tcPr>
            <w:tcW w:w="21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Class B Special Shares</w:t>
            </w:r>
          </w:p>
        </w:tc>
        <w:tc>
          <w:tcPr>
            <w:tcW w:w="2086"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pPr>
            <w:r>
              <w:rPr/>
              <w:t>​</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591" w:type="dxa"/>
            <w:tcBorders>
              <w:bottom w:val="dashed" w:sz="12" w:space="0" w:color="000000"/>
            </w:tcBorders>
            <w:vAlign w:val="center"/>
          </w:tcPr>
          <w:p>
            <w:pPr>
              <w:pStyle w:val="TableContents"/>
              <w:bidi w:val="0"/>
              <w:spacing w:before="0" w:after="0"/>
              <w:ind w:left="0" w:right="0" w:hanging="0"/>
              <w:jc w:val="left"/>
              <w:rPr/>
            </w:pPr>
            <w:r>
              <w:rPr/>
              <w:t>​</w:t>
            </w:r>
          </w:p>
        </w:tc>
        <w:tc>
          <w:tcPr>
            <w:tcW w:w="2191" w:type="dxa"/>
            <w:tcBorders>
              <w:bottom w:val="dashed" w:sz="12" w:space="0" w:color="000000"/>
            </w:tcBorders>
            <w:vAlign w:val="center"/>
          </w:tcPr>
          <w:p>
            <w:pPr>
              <w:pStyle w:val="TableContents"/>
              <w:bidi w:val="0"/>
              <w:spacing w:before="0" w:after="0"/>
              <w:ind w:left="0" w:right="0" w:hanging="0"/>
              <w:jc w:val="left"/>
              <w:rPr/>
            </w:pPr>
            <w:r>
              <w:rPr/>
              <w:t>​</w:t>
            </w:r>
          </w:p>
        </w:tc>
        <w:tc>
          <w:tcPr>
            <w:tcW w:w="2086" w:type="dxa"/>
            <w:tcBorders>
              <w:bottom w:val="dashed" w:sz="12" w:space="0" w:color="000000"/>
            </w:tcBorders>
            <w:vAlign w:val="center"/>
          </w:tcPr>
          <w:p>
            <w:pPr>
              <w:pStyle w:val="TableContents"/>
              <w:bidi w:val="0"/>
              <w:spacing w:before="0" w:after="0"/>
              <w:ind w:left="0" w:right="0" w:hanging="0"/>
              <w:jc w:val="left"/>
              <w:rPr/>
            </w:pPr>
            <w:r>
              <w:rPr/>
              <w:t>​</w:t>
            </w:r>
          </w:p>
        </w:tc>
      </w:tr>
      <w:tr>
        <w:trPr/>
        <w:tc>
          <w:tcPr>
            <w:tcW w:w="15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1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086"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r>
      <w:tr>
        <w:trPr/>
        <w:tc>
          <w:tcPr>
            <w:tcW w:w="15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5.    10,000,000</w:t>
            </w:r>
          </w:p>
        </w:tc>
        <w:tc>
          <w:tcPr>
            <w:tcW w:w="21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Class C Special Shares</w:t>
            </w:r>
          </w:p>
        </w:tc>
        <w:tc>
          <w:tcPr>
            <w:tcW w:w="2086"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pPr>
            <w:r>
              <w:rPr/>
              <w:t>​</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591" w:type="dxa"/>
            <w:tcBorders>
              <w:bottom w:val="dashed" w:sz="12" w:space="0" w:color="000000"/>
            </w:tcBorders>
            <w:vAlign w:val="center"/>
          </w:tcPr>
          <w:p>
            <w:pPr>
              <w:pStyle w:val="TableContents"/>
              <w:bidi w:val="0"/>
              <w:spacing w:before="0" w:after="0"/>
              <w:ind w:left="0" w:right="0" w:hanging="0"/>
              <w:jc w:val="left"/>
              <w:rPr/>
            </w:pPr>
            <w:r>
              <w:rPr/>
              <w:t>​</w:t>
            </w:r>
          </w:p>
        </w:tc>
        <w:tc>
          <w:tcPr>
            <w:tcW w:w="2191" w:type="dxa"/>
            <w:tcBorders>
              <w:bottom w:val="dashed" w:sz="12" w:space="0" w:color="000000"/>
            </w:tcBorders>
            <w:vAlign w:val="center"/>
          </w:tcPr>
          <w:p>
            <w:pPr>
              <w:pStyle w:val="TableContents"/>
              <w:bidi w:val="0"/>
              <w:spacing w:before="0" w:after="0"/>
              <w:ind w:left="0" w:right="0" w:hanging="0"/>
              <w:jc w:val="left"/>
              <w:rPr/>
            </w:pPr>
            <w:r>
              <w:rPr/>
              <w:t>​</w:t>
            </w:r>
          </w:p>
        </w:tc>
        <w:tc>
          <w:tcPr>
            <w:tcW w:w="2086" w:type="dxa"/>
            <w:tcBorders>
              <w:bottom w:val="dashed" w:sz="12" w:space="0" w:color="000000"/>
            </w:tcBorders>
            <w:vAlign w:val="center"/>
          </w:tcPr>
          <w:p>
            <w:pPr>
              <w:pStyle w:val="TableContents"/>
              <w:bidi w:val="0"/>
              <w:spacing w:before="0" w:after="0"/>
              <w:ind w:left="0" w:right="0" w:hanging="0"/>
              <w:jc w:val="left"/>
              <w:rPr/>
            </w:pPr>
            <w:r>
              <w:rPr/>
              <w:t>​</w:t>
            </w:r>
          </w:p>
        </w:tc>
      </w:tr>
      <w:tr>
        <w:trPr/>
        <w:tc>
          <w:tcPr>
            <w:tcW w:w="15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1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086"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r>
      <w:tr>
        <w:trPr/>
        <w:tc>
          <w:tcPr>
            <w:tcW w:w="15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6.    20,000,000</w:t>
            </w:r>
          </w:p>
        </w:tc>
        <w:tc>
          <w:tcPr>
            <w:tcW w:w="21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Class D Special Shares</w:t>
            </w:r>
          </w:p>
        </w:tc>
        <w:tc>
          <w:tcPr>
            <w:tcW w:w="2086"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pPr>
            <w:r>
              <w:rPr/>
              <w:t>​</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591" w:type="dxa"/>
            <w:tcBorders>
              <w:bottom w:val="dashed" w:sz="12" w:space="0" w:color="000000"/>
            </w:tcBorders>
            <w:vAlign w:val="center"/>
          </w:tcPr>
          <w:p>
            <w:pPr>
              <w:pStyle w:val="TableContents"/>
              <w:bidi w:val="0"/>
              <w:spacing w:before="0" w:after="0"/>
              <w:ind w:left="0" w:right="0" w:hanging="0"/>
              <w:jc w:val="left"/>
              <w:rPr/>
            </w:pPr>
            <w:r>
              <w:rPr/>
              <w:t>​</w:t>
            </w:r>
          </w:p>
        </w:tc>
        <w:tc>
          <w:tcPr>
            <w:tcW w:w="2191" w:type="dxa"/>
            <w:tcBorders>
              <w:bottom w:val="dashed" w:sz="12" w:space="0" w:color="000000"/>
            </w:tcBorders>
            <w:vAlign w:val="center"/>
          </w:tcPr>
          <w:p>
            <w:pPr>
              <w:pStyle w:val="TableContents"/>
              <w:bidi w:val="0"/>
              <w:spacing w:before="0" w:after="0"/>
              <w:ind w:left="0" w:right="0" w:hanging="0"/>
              <w:jc w:val="left"/>
              <w:rPr/>
            </w:pPr>
            <w:r>
              <w:rPr/>
              <w:t>​</w:t>
            </w:r>
          </w:p>
        </w:tc>
        <w:tc>
          <w:tcPr>
            <w:tcW w:w="2086" w:type="dxa"/>
            <w:tcBorders>
              <w:bottom w:val="dashed" w:sz="12" w:space="0" w:color="000000"/>
            </w:tcBorders>
            <w:vAlign w:val="center"/>
          </w:tcPr>
          <w:p>
            <w:pPr>
              <w:pStyle w:val="TableContents"/>
              <w:bidi w:val="0"/>
              <w:spacing w:before="0" w:after="0"/>
              <w:ind w:left="0" w:right="0" w:hanging="0"/>
              <w:jc w:val="left"/>
              <w:rPr/>
            </w:pPr>
            <w:r>
              <w:rPr/>
              <w:t>​</w:t>
            </w:r>
          </w:p>
        </w:tc>
      </w:tr>
      <w:tr>
        <w:trPr/>
        <w:tc>
          <w:tcPr>
            <w:tcW w:w="15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1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086"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r>
      <w:tr>
        <w:trPr/>
        <w:tc>
          <w:tcPr>
            <w:tcW w:w="15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7.    20,000,000</w:t>
            </w:r>
          </w:p>
        </w:tc>
        <w:tc>
          <w:tcPr>
            <w:tcW w:w="21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Class E Special Shares</w:t>
            </w:r>
          </w:p>
        </w:tc>
        <w:tc>
          <w:tcPr>
            <w:tcW w:w="2086"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pPr>
            <w:r>
              <w:rPr/>
              <w:t>​</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591" w:type="dxa"/>
            <w:tcBorders>
              <w:bottom w:val="dashed" w:sz="12" w:space="0" w:color="000000"/>
            </w:tcBorders>
            <w:vAlign w:val="center"/>
          </w:tcPr>
          <w:p>
            <w:pPr>
              <w:pStyle w:val="TableContents"/>
              <w:bidi w:val="0"/>
              <w:spacing w:before="0" w:after="0"/>
              <w:ind w:left="0" w:right="0" w:hanging="0"/>
              <w:jc w:val="left"/>
              <w:rPr/>
            </w:pPr>
            <w:r>
              <w:rPr/>
              <w:t>​</w:t>
            </w:r>
          </w:p>
        </w:tc>
        <w:tc>
          <w:tcPr>
            <w:tcW w:w="2191" w:type="dxa"/>
            <w:tcBorders>
              <w:bottom w:val="dashed" w:sz="12" w:space="0" w:color="000000"/>
            </w:tcBorders>
            <w:vAlign w:val="center"/>
          </w:tcPr>
          <w:p>
            <w:pPr>
              <w:pStyle w:val="TableContents"/>
              <w:bidi w:val="0"/>
              <w:spacing w:before="0" w:after="0"/>
              <w:ind w:left="0" w:right="0" w:hanging="0"/>
              <w:jc w:val="left"/>
              <w:rPr/>
            </w:pPr>
            <w:r>
              <w:rPr/>
              <w:t>​</w:t>
            </w:r>
          </w:p>
        </w:tc>
        <w:tc>
          <w:tcPr>
            <w:tcW w:w="2086" w:type="dxa"/>
            <w:tcBorders>
              <w:bottom w:val="dashed" w:sz="12" w:space="0" w:color="000000"/>
            </w:tcBorders>
            <w:vAlign w:val="center"/>
          </w:tcPr>
          <w:p>
            <w:pPr>
              <w:pStyle w:val="TableContents"/>
              <w:bidi w:val="0"/>
              <w:spacing w:before="0" w:after="0"/>
              <w:ind w:left="0" w:right="0" w:hanging="0"/>
              <w:jc w:val="left"/>
              <w:rPr/>
            </w:pPr>
            <w:r>
              <w:rPr/>
              <w:t>​</w:t>
            </w:r>
          </w:p>
        </w:tc>
      </w:tr>
      <w:tr>
        <w:trPr/>
        <w:tc>
          <w:tcPr>
            <w:tcW w:w="15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1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086"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r>
      <w:tr>
        <w:trPr/>
        <w:tc>
          <w:tcPr>
            <w:tcW w:w="15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8.    20,000,000</w:t>
            </w:r>
          </w:p>
        </w:tc>
        <w:tc>
          <w:tcPr>
            <w:tcW w:w="21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Class F Special Shares</w:t>
            </w:r>
          </w:p>
        </w:tc>
        <w:tc>
          <w:tcPr>
            <w:tcW w:w="2086"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pPr>
            <w:r>
              <w:rPr/>
              <w:t>​</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591" w:type="dxa"/>
            <w:tcBorders>
              <w:bottom w:val="dashed" w:sz="12" w:space="0" w:color="000000"/>
            </w:tcBorders>
            <w:vAlign w:val="center"/>
          </w:tcPr>
          <w:p>
            <w:pPr>
              <w:pStyle w:val="TableContents"/>
              <w:bidi w:val="0"/>
              <w:spacing w:before="0" w:after="0"/>
              <w:ind w:left="0" w:right="0" w:hanging="0"/>
              <w:jc w:val="left"/>
              <w:rPr/>
            </w:pPr>
            <w:r>
              <w:rPr/>
              <w:t>​</w:t>
            </w:r>
          </w:p>
        </w:tc>
        <w:tc>
          <w:tcPr>
            <w:tcW w:w="2191" w:type="dxa"/>
            <w:tcBorders>
              <w:bottom w:val="dashed" w:sz="12" w:space="0" w:color="000000"/>
            </w:tcBorders>
            <w:vAlign w:val="center"/>
          </w:tcPr>
          <w:p>
            <w:pPr>
              <w:pStyle w:val="TableContents"/>
              <w:bidi w:val="0"/>
              <w:spacing w:before="0" w:after="0"/>
              <w:ind w:left="0" w:right="0" w:hanging="0"/>
              <w:jc w:val="left"/>
              <w:rPr/>
            </w:pPr>
            <w:r>
              <w:rPr/>
              <w:t>​</w:t>
            </w:r>
          </w:p>
        </w:tc>
        <w:tc>
          <w:tcPr>
            <w:tcW w:w="2086" w:type="dxa"/>
            <w:tcBorders>
              <w:bottom w:val="dashed" w:sz="12" w:space="0" w:color="000000"/>
            </w:tcBorders>
            <w:vAlign w:val="center"/>
          </w:tcPr>
          <w:p>
            <w:pPr>
              <w:pStyle w:val="TableContents"/>
              <w:bidi w:val="0"/>
              <w:spacing w:before="0" w:after="0"/>
              <w:ind w:left="0" w:right="0" w:hanging="0"/>
              <w:jc w:val="left"/>
              <w:rPr/>
            </w:pPr>
            <w:r>
              <w:rPr/>
              <w:t>​</w:t>
            </w:r>
          </w:p>
        </w:tc>
      </w:tr>
      <w:tr>
        <w:trPr/>
        <w:tc>
          <w:tcPr>
            <w:tcW w:w="15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1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086"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r>
      <w:tr>
        <w:trPr/>
        <w:tc>
          <w:tcPr>
            <w:tcW w:w="15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9.    25,000,000</w:t>
            </w:r>
          </w:p>
        </w:tc>
        <w:tc>
          <w:tcPr>
            <w:tcW w:w="21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Class G Special Shares</w:t>
            </w:r>
          </w:p>
        </w:tc>
        <w:tc>
          <w:tcPr>
            <w:tcW w:w="2086"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pPr>
            <w:r>
              <w:rPr/>
              <w:t>​</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591" w:type="dxa"/>
            <w:tcBorders>
              <w:bottom w:val="dashed" w:sz="12" w:space="0" w:color="000000"/>
            </w:tcBorders>
            <w:vAlign w:val="center"/>
          </w:tcPr>
          <w:p>
            <w:pPr>
              <w:pStyle w:val="TableContents"/>
              <w:bidi w:val="0"/>
              <w:spacing w:before="0" w:after="0"/>
              <w:ind w:left="0" w:right="0" w:hanging="0"/>
              <w:jc w:val="left"/>
              <w:rPr/>
            </w:pPr>
            <w:r>
              <w:rPr/>
              <w:t>​</w:t>
            </w:r>
          </w:p>
        </w:tc>
        <w:tc>
          <w:tcPr>
            <w:tcW w:w="2191" w:type="dxa"/>
            <w:tcBorders>
              <w:bottom w:val="dashed" w:sz="12" w:space="0" w:color="000000"/>
            </w:tcBorders>
            <w:vAlign w:val="center"/>
          </w:tcPr>
          <w:p>
            <w:pPr>
              <w:pStyle w:val="TableContents"/>
              <w:bidi w:val="0"/>
              <w:spacing w:before="0" w:after="0"/>
              <w:ind w:left="0" w:right="0" w:hanging="0"/>
              <w:jc w:val="left"/>
              <w:rPr/>
            </w:pPr>
            <w:r>
              <w:rPr/>
              <w:t>​</w:t>
            </w:r>
          </w:p>
        </w:tc>
        <w:tc>
          <w:tcPr>
            <w:tcW w:w="2086" w:type="dxa"/>
            <w:tcBorders>
              <w:bottom w:val="dashed" w:sz="12" w:space="0" w:color="000000"/>
            </w:tcBorders>
            <w:vAlign w:val="center"/>
          </w:tcPr>
          <w:p>
            <w:pPr>
              <w:pStyle w:val="TableContents"/>
              <w:bidi w:val="0"/>
              <w:spacing w:before="0" w:after="0"/>
              <w:ind w:left="0" w:right="0" w:hanging="0"/>
              <w:jc w:val="left"/>
              <w:rPr/>
            </w:pPr>
            <w:r>
              <w:rPr/>
              <w:t>​</w:t>
            </w:r>
          </w:p>
        </w:tc>
      </w:tr>
      <w:tr>
        <w:trPr/>
        <w:tc>
          <w:tcPr>
            <w:tcW w:w="15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191"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c>
          <w:tcPr>
            <w:tcW w:w="2086" w:type="dxa"/>
            <w:tcBorders>
              <w:top w:val="dashed" w:sz="12" w:space="0" w:color="000000"/>
              <w:bottom w:val="single" w:sz="24" w:space="0" w:color="000000"/>
            </w:tcBorders>
            <w:tcMar>
              <w:top w:w="28" w:type="dxa"/>
            </w:tcMar>
            <w:vAlign w:val="center"/>
          </w:tcPr>
          <w:p>
            <w:pPr>
              <w:pStyle w:val="TableContents"/>
              <w:bidi w:val="0"/>
              <w:spacing w:before="0" w:after="0"/>
              <w:ind w:left="0" w:right="0" w:hanging="0"/>
              <w:jc w:val="left"/>
              <w:rPr/>
            </w:pPr>
            <w:r>
              <w:rPr/>
              <w:t>​</w:t>
            </w:r>
          </w:p>
        </w:tc>
      </w:tr>
      <w:tr>
        <w:trPr/>
        <w:tc>
          <w:tcPr>
            <w:tcW w:w="15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10.    25,000,000</w:t>
            </w:r>
          </w:p>
        </w:tc>
        <w:tc>
          <w:tcPr>
            <w:tcW w:w="2191"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Class H Special Shares</w:t>
            </w:r>
          </w:p>
        </w:tc>
        <w:tc>
          <w:tcPr>
            <w:tcW w:w="2086" w:type="dxa"/>
            <w:tcBorders>
              <w:top w:val="single" w:sz="24" w:space="0" w:color="000000"/>
            </w:tcBorders>
            <w:tcMar>
              <w:top w:w="28" w:type="dxa"/>
              <w:bottom w:w="0"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pPr>
            <w:r>
              <w:rPr/>
              <w:t>​</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591" w:type="dxa"/>
            <w:tcBorders>
              <w:bottom w:val="dashed" w:sz="12" w:space="0" w:color="000000"/>
            </w:tcBorders>
            <w:vAlign w:val="center"/>
          </w:tcPr>
          <w:p>
            <w:pPr>
              <w:pStyle w:val="TableContents"/>
              <w:bidi w:val="0"/>
              <w:spacing w:before="0" w:after="0"/>
              <w:ind w:left="0" w:right="0" w:hanging="0"/>
              <w:jc w:val="left"/>
              <w:rPr/>
            </w:pPr>
            <w:r>
              <w:rPr/>
              <w:t>​</w:t>
            </w:r>
          </w:p>
        </w:tc>
        <w:tc>
          <w:tcPr>
            <w:tcW w:w="2191" w:type="dxa"/>
            <w:tcBorders>
              <w:bottom w:val="dashed" w:sz="12" w:space="0" w:color="000000"/>
            </w:tcBorders>
            <w:vAlign w:val="center"/>
          </w:tcPr>
          <w:p>
            <w:pPr>
              <w:pStyle w:val="TableContents"/>
              <w:bidi w:val="0"/>
              <w:spacing w:before="0" w:after="0"/>
              <w:ind w:left="0" w:right="0" w:hanging="0"/>
              <w:jc w:val="left"/>
              <w:rPr/>
            </w:pPr>
            <w:r>
              <w:rPr/>
              <w:t>​</w:t>
            </w:r>
          </w:p>
        </w:tc>
        <w:tc>
          <w:tcPr>
            <w:tcW w:w="2086" w:type="dxa"/>
            <w:tcBorders>
              <w:bottom w:val="dashed" w:sz="12" w:space="0" w:color="000000"/>
            </w:tcBorders>
            <w:vAlign w:val="center"/>
          </w:tcPr>
          <w:p>
            <w:pPr>
              <w:pStyle w:val="TableContents"/>
              <w:bidi w:val="0"/>
              <w:spacing w:before="0" w:after="0"/>
              <w:ind w:left="0" w:right="0" w:hanging="0"/>
              <w:jc w:val="left"/>
              <w:rPr/>
            </w:pPr>
            <w:r>
              <w:rPr/>
              <w:t>​</w:t>
            </w:r>
          </w:p>
        </w:tc>
      </w:tr>
      <w:tr>
        <w:trPr/>
        <w:tc>
          <w:tcPr>
            <w:tcW w:w="1591" w:type="dxa"/>
            <w:tcBorders>
              <w:top w:val="dashed" w:sz="12" w:space="0" w:color="000000"/>
            </w:tcBorders>
            <w:tcMar>
              <w:top w:w="28" w:type="dxa"/>
              <w:bottom w:w="0" w:type="dxa"/>
            </w:tcMar>
            <w:vAlign w:val="center"/>
          </w:tcPr>
          <w:p>
            <w:pPr>
              <w:pStyle w:val="TableContents"/>
              <w:bidi w:val="0"/>
              <w:spacing w:before="0" w:after="0"/>
              <w:ind w:left="0" w:right="0" w:hanging="0"/>
              <w:jc w:val="left"/>
              <w:rPr/>
            </w:pPr>
            <w:r>
              <w:rPr/>
              <w:t>​</w:t>
            </w:r>
          </w:p>
        </w:tc>
        <w:tc>
          <w:tcPr>
            <w:tcW w:w="2191" w:type="dxa"/>
            <w:tcBorders>
              <w:top w:val="dashed" w:sz="12" w:space="0" w:color="000000"/>
            </w:tcBorders>
            <w:tcMar>
              <w:top w:w="28" w:type="dxa"/>
              <w:bottom w:w="0" w:type="dxa"/>
            </w:tcMar>
            <w:vAlign w:val="center"/>
          </w:tcPr>
          <w:p>
            <w:pPr>
              <w:pStyle w:val="TableContents"/>
              <w:bidi w:val="0"/>
              <w:spacing w:before="0" w:after="0"/>
              <w:ind w:left="0" w:right="0" w:hanging="0"/>
              <w:jc w:val="left"/>
              <w:rPr/>
            </w:pPr>
            <w:r>
              <w:rPr/>
              <w:t>​</w:t>
            </w:r>
          </w:p>
        </w:tc>
        <w:tc>
          <w:tcPr>
            <w:tcW w:w="2086" w:type="dxa"/>
            <w:tcBorders>
              <w:top w:val="dashed" w:sz="1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1591" w:type="dxa"/>
            <w:tcBorders/>
            <w:tcMar>
              <w:bottom w:w="0" w:type="dxa"/>
            </w:tcMar>
            <w:vAlign w:val="center"/>
          </w:tcPr>
          <w:p>
            <w:pPr>
              <w:pStyle w:val="TableContents"/>
              <w:bidi w:val="0"/>
              <w:spacing w:before="0" w:after="0"/>
              <w:ind w:left="0" w:right="0" w:hanging="0"/>
              <w:jc w:val="left"/>
              <w:rPr/>
            </w:pPr>
            <w:r>
              <w:rPr/>
              <w:t>​</w:t>
            </w:r>
          </w:p>
        </w:tc>
        <w:tc>
          <w:tcPr>
            <w:tcW w:w="2191" w:type="dxa"/>
            <w:tcBorders/>
            <w:tcMar>
              <w:bottom w:w="0" w:type="dxa"/>
            </w:tcMar>
            <w:vAlign w:val="center"/>
          </w:tcPr>
          <w:p>
            <w:pPr>
              <w:pStyle w:val="TableContents"/>
              <w:bidi w:val="0"/>
              <w:spacing w:before="0" w:after="0"/>
              <w:ind w:left="0" w:right="0" w:hanging="0"/>
              <w:jc w:val="left"/>
              <w:rPr/>
            </w:pPr>
            <w:r>
              <w:rPr/>
              <w:t>​</w:t>
            </w:r>
          </w:p>
        </w:tc>
        <w:tc>
          <w:tcPr>
            <w:tcW w:w="2086" w:type="dxa"/>
            <w:tcBorders/>
            <w:tcMar>
              <w:bottom w:w="0" w:type="dxa"/>
            </w:tcMar>
            <w:vAlign w:val="center"/>
          </w:tcPr>
          <w:p>
            <w:pPr>
              <w:pStyle w:val="TableContents"/>
              <w:bidi w:val="0"/>
              <w:spacing w:before="0" w:after="0"/>
              <w:ind w:left="0" w:right="0" w:hanging="0"/>
              <w:jc w:val="left"/>
              <w:rPr/>
            </w:pPr>
            <w:r>
              <w:rPr/>
              <w:t>​</w:t>
            </w:r>
          </w:p>
        </w:tc>
      </w:tr>
      <w:tr>
        <w:trPr/>
        <w:tc>
          <w:tcPr>
            <w:tcW w:w="1591" w:type="dxa"/>
            <w:tcBorders>
              <w:top w:val="single" w:sz="24" w:space="0" w:color="000000"/>
            </w:tcBorders>
            <w:tcMar>
              <w:top w:w="28" w:type="dxa"/>
              <w:bottom w:w="0" w:type="dxa"/>
            </w:tcMar>
            <w:vAlign w:val="center"/>
          </w:tcPr>
          <w:p>
            <w:pPr>
              <w:pStyle w:val="TableContents"/>
              <w:bidi w:val="0"/>
              <w:spacing w:before="60" w:after="0"/>
              <w:ind w:left="0" w:right="0" w:hanging="0"/>
              <w:jc w:val="left"/>
              <w:rPr/>
            </w:pPr>
            <w:r>
              <w:rPr/>
              <w:t>​</w:t>
            </w:r>
          </w:p>
        </w:tc>
        <w:tc>
          <w:tcPr>
            <w:tcW w:w="2191" w:type="dxa"/>
            <w:tcBorders>
              <w:top w:val="single" w:sz="24" w:space="0" w:color="000000"/>
            </w:tcBorders>
            <w:tcMar>
              <w:top w:w="28" w:type="dxa"/>
              <w:bottom w:w="0" w:type="dxa"/>
            </w:tcMar>
            <w:vAlign w:val="center"/>
          </w:tcPr>
          <w:p>
            <w:pPr>
              <w:pStyle w:val="TableContents"/>
              <w:bidi w:val="0"/>
              <w:spacing w:before="60" w:after="0"/>
              <w:ind w:left="0" w:right="0" w:hanging="0"/>
              <w:jc w:val="left"/>
              <w:rPr/>
            </w:pPr>
            <w:r>
              <w:rPr/>
              <w:t>​</w:t>
            </w:r>
          </w:p>
        </w:tc>
        <w:tc>
          <w:tcPr>
            <w:tcW w:w="2086" w:type="dxa"/>
            <w:tcBorders>
              <w:top w:val="single" w:sz="24" w:space="0" w:color="000000"/>
            </w:tcBorders>
            <w:tcMar>
              <w:top w:w="28" w:type="dxa"/>
              <w:bottom w:w="0" w:type="dxa"/>
            </w:tcMar>
            <w:vAlign w:val="center"/>
          </w:tcPr>
          <w:p>
            <w:pPr>
              <w:pStyle w:val="TableContents"/>
              <w:bidi w:val="0"/>
              <w:spacing w:before="6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Arial;Helvetica;sans-serif" w:hAnsi="Arial;Helvetica;sans-serif"/>
          <w:sz w:val="20"/>
        </w:rPr>
        <w:t>Page: 4</w:t>
      </w:r>
      <w:r>
        <w:rPr>
          <w:rFonts w:ascii="Times New Roman;Times;serif" w:hAnsi="Times New Roman;Times;serif"/>
          <w:sz w:val="20"/>
        </w:rPr>
        <w:t xml:space="preserve"> </w:t>
      </w:r>
      <w:r>
        <w:rPr>
          <w:rFonts w:ascii="Arial;Helvetica;sans-serif" w:hAnsi="Arial;Helvetica;sans-serif"/>
          <w:sz w:val="20"/>
        </w:rPr>
        <w:t>of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553" w:type="dxa"/>
        <w:jc w:val="left"/>
        <w:tblInd w:w="0" w:type="dxa"/>
        <w:tblLayout w:type="fixed"/>
        <w:tblCellMar>
          <w:top w:w="0" w:type="dxa"/>
          <w:left w:w="0" w:type="dxa"/>
          <w:bottom w:w="0" w:type="dxa"/>
          <w:right w:w="0" w:type="dxa"/>
        </w:tblCellMar>
      </w:tblPr>
      <w:tblGrid>
        <w:gridCol w:w="1321"/>
        <w:gridCol w:w="2146"/>
        <w:gridCol w:w="2086"/>
      </w:tblGrid>
      <w:tr>
        <w:trPr/>
        <w:tc>
          <w:tcPr>
            <w:tcW w:w="1321" w:type="dxa"/>
            <w:tcBorders/>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11.    500,000</w:t>
            </w:r>
          </w:p>
        </w:tc>
        <w:tc>
          <w:tcPr>
            <w:tcW w:w="2146" w:type="dxa"/>
            <w:tcBorders/>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Class I Special Shares</w:t>
            </w:r>
          </w:p>
        </w:tc>
        <w:tc>
          <w:tcPr>
            <w:tcW w:w="2086" w:type="dxa"/>
            <w:tcBorders/>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321"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321"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c>
          <w:tcPr>
            <w:tcW w:w="2146"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c>
          <w:tcPr>
            <w:tcW w:w="2086"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r>
      <w:tr>
        <w:trPr/>
        <w:tc>
          <w:tcPr>
            <w:tcW w:w="1321" w:type="dxa"/>
            <w:tcBorders>
              <w:top w:val="dashed" w:sz="12" w:space="0" w:color="000000"/>
              <w:bottom w:val="single" w:sz="24" w:space="0" w:color="000000"/>
            </w:tcBorders>
            <w:tcMar>
              <w:top w:w="28" w:type="dxa"/>
              <w:bottom w:w="28" w:type="dxa"/>
            </w:tcMar>
            <w:vAlign w:val="center"/>
          </w:tcPr>
          <w:p>
            <w:pPr>
              <w:pStyle w:val="TableContents"/>
              <w:bidi w:val="0"/>
              <w:spacing w:before="0" w:after="0"/>
              <w:ind w:left="0" w:right="0" w:hanging="0"/>
              <w:jc w:val="left"/>
              <w:rPr/>
            </w:pPr>
            <w:r>
              <w:rPr/>
              <w:t>​</w:t>
            </w:r>
          </w:p>
        </w:tc>
        <w:tc>
          <w:tcPr>
            <w:tcW w:w="2146" w:type="dxa"/>
            <w:tcBorders>
              <w:top w:val="dashed" w:sz="12" w:space="0" w:color="000000"/>
              <w:bottom w:val="single" w:sz="24" w:space="0" w:color="000000"/>
            </w:tcBorders>
            <w:tcMar>
              <w:top w:w="28" w:type="dxa"/>
              <w:bottom w:w="28" w:type="dxa"/>
            </w:tcMar>
            <w:vAlign w:val="center"/>
          </w:tcPr>
          <w:p>
            <w:pPr>
              <w:pStyle w:val="TableContents"/>
              <w:bidi w:val="0"/>
              <w:spacing w:before="0" w:after="0"/>
              <w:ind w:left="0" w:right="0" w:hanging="0"/>
              <w:jc w:val="left"/>
              <w:rPr/>
            </w:pPr>
            <w:r>
              <w:rPr/>
              <w:t>​</w:t>
            </w:r>
          </w:p>
        </w:tc>
        <w:tc>
          <w:tcPr>
            <w:tcW w:w="2086" w:type="dxa"/>
            <w:tcBorders>
              <w:top w:val="dashed" w:sz="12" w:space="0" w:color="000000"/>
              <w:bottom w:val="single" w:sz="24"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321"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12.    741,000</w:t>
            </w:r>
          </w:p>
        </w:tc>
        <w:tc>
          <w:tcPr>
            <w:tcW w:w="2146"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Class J Special Shares</w:t>
            </w:r>
          </w:p>
        </w:tc>
        <w:tc>
          <w:tcPr>
            <w:tcW w:w="2086" w:type="dxa"/>
            <w:tcBorders>
              <w:top w:val="single" w:sz="24" w:space="0" w:color="000000"/>
            </w:tcBorders>
            <w:tcMar>
              <w:top w:w="28" w:type="dxa"/>
            </w:tcMar>
            <w:vAlign w:val="center"/>
          </w:tcPr>
          <w:p>
            <w:pPr>
              <w:pStyle w:val="TableContents"/>
              <w:bidi w:val="0"/>
              <w:spacing w:before="60" w:after="0"/>
              <w:ind w:left="0" w:right="0" w:hanging="0"/>
              <w:jc w:val="left"/>
              <w:rPr>
                <w:rFonts w:ascii="Arial;Helvetica;sans-serif" w:hAnsi="Arial;Helvetica;sans-serif"/>
                <w:sz w:val="20"/>
              </w:rPr>
            </w:pPr>
            <w:r>
              <w:rPr>
                <w:rFonts w:ascii="Arial;Helvetica;sans-serif" w:hAnsi="Arial;Helvetica;sans-serif"/>
                <w:sz w:val="20"/>
              </w:rPr>
              <w:t>Without Par Value</w:t>
            </w:r>
          </w:p>
        </w:tc>
      </w:tr>
      <w:tr>
        <w:trPr/>
        <w:tc>
          <w:tcPr>
            <w:tcW w:w="1321"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With Special Rights or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Restrictions attached</w:t>
            </w:r>
          </w:p>
        </w:tc>
      </w:tr>
      <w:tr>
        <w:trPr/>
        <w:tc>
          <w:tcPr>
            <w:tcW w:w="1321"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r>
        <w:trPr/>
        <w:tc>
          <w:tcPr>
            <w:tcW w:w="1321"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c>
          <w:tcPr>
            <w:tcW w:w="2146"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c>
          <w:tcPr>
            <w:tcW w:w="2086" w:type="dxa"/>
            <w:tcBorders>
              <w:bottom w:val="dashed" w:sz="12" w:space="0" w:color="000000"/>
            </w:tcBorders>
            <w:tcMar>
              <w:bottom w:w="28" w:type="dxa"/>
            </w:tcMar>
            <w:vAlign w:val="center"/>
          </w:tcPr>
          <w:p>
            <w:pPr>
              <w:pStyle w:val="TableContents"/>
              <w:bidi w:val="0"/>
              <w:spacing w:before="0" w:after="0"/>
              <w:ind w:left="0" w:right="0" w:hanging="0"/>
              <w:jc w:val="left"/>
              <w:rPr/>
            </w:pPr>
            <w:r>
              <w:rPr/>
              <w:t>​</w:t>
            </w:r>
          </w:p>
        </w:tc>
      </w:tr>
      <w:tr>
        <w:trPr/>
        <w:tc>
          <w:tcPr>
            <w:tcW w:w="1321" w:type="dxa"/>
            <w:tcBorders>
              <w:top w:val="dashed" w:sz="12" w:space="0" w:color="000000"/>
            </w:tcBorders>
            <w:tcMar>
              <w:top w:w="28" w:type="dxa"/>
            </w:tcMar>
            <w:vAlign w:val="center"/>
          </w:tcPr>
          <w:p>
            <w:pPr>
              <w:pStyle w:val="TableContents"/>
              <w:bidi w:val="0"/>
              <w:spacing w:before="0" w:after="0"/>
              <w:ind w:left="0" w:right="0" w:hanging="0"/>
              <w:jc w:val="left"/>
              <w:rPr/>
            </w:pPr>
            <w:r>
              <w:rPr/>
              <w:t>​</w:t>
            </w:r>
          </w:p>
        </w:tc>
        <w:tc>
          <w:tcPr>
            <w:tcW w:w="2146" w:type="dxa"/>
            <w:tcBorders>
              <w:top w:val="dashed" w:sz="12" w:space="0" w:color="000000"/>
            </w:tcBorders>
            <w:tcMar>
              <w:top w:w="28" w:type="dxa"/>
            </w:tcMar>
            <w:vAlign w:val="center"/>
          </w:tcPr>
          <w:p>
            <w:pPr>
              <w:pStyle w:val="TableContents"/>
              <w:bidi w:val="0"/>
              <w:spacing w:before="0" w:after="0"/>
              <w:ind w:left="0" w:right="0" w:hanging="0"/>
              <w:jc w:val="left"/>
              <w:rPr/>
            </w:pPr>
            <w:r>
              <w:rPr/>
              <w:t>​</w:t>
            </w:r>
          </w:p>
        </w:tc>
        <w:tc>
          <w:tcPr>
            <w:tcW w:w="2086" w:type="dxa"/>
            <w:tcBorders>
              <w:top w:val="dashed" w:sz="12" w:space="0" w:color="000000"/>
            </w:tcBorders>
            <w:tcMar>
              <w:top w:w="28" w:type="dxa"/>
            </w:tcMar>
            <w:vAlign w:val="center"/>
          </w:tcPr>
          <w:p>
            <w:pPr>
              <w:pStyle w:val="TableContents"/>
              <w:bidi w:val="0"/>
              <w:spacing w:before="0" w:after="0"/>
              <w:ind w:left="0" w:right="0" w:hanging="0"/>
              <w:jc w:val="left"/>
              <w:rPr/>
            </w:pPr>
            <w:r>
              <w:rPr/>
              <w:t>​</w:t>
            </w:r>
          </w:p>
        </w:tc>
      </w:tr>
      <w:tr>
        <w:trPr/>
        <w:tc>
          <w:tcPr>
            <w:tcW w:w="1321" w:type="dxa"/>
            <w:tcBorders/>
            <w:shd w:fill="D2D2D2" w:val="clear"/>
            <w:vAlign w:val="center"/>
          </w:tcPr>
          <w:p>
            <w:pPr>
              <w:pStyle w:val="TableContents"/>
              <w:bidi w:val="0"/>
              <w:spacing w:before="0" w:after="0"/>
              <w:ind w:left="0" w:right="0" w:hanging="0"/>
              <w:jc w:val="left"/>
              <w:rPr/>
            </w:pPr>
            <w:r>
              <w:rPr/>
              <w:t>​</w:t>
            </w:r>
          </w:p>
        </w:tc>
        <w:tc>
          <w:tcPr>
            <w:tcW w:w="2146" w:type="dxa"/>
            <w:tcBorders/>
            <w:shd w:fill="D2D2D2" w:val="clear"/>
            <w:vAlign w:val="center"/>
          </w:tcPr>
          <w:p>
            <w:pPr>
              <w:pStyle w:val="TableContents"/>
              <w:bidi w:val="0"/>
              <w:spacing w:before="0" w:after="0"/>
              <w:ind w:left="0" w:right="0" w:hanging="0"/>
              <w:jc w:val="left"/>
              <w:rPr/>
            </w:pPr>
            <w:r>
              <w:rPr/>
              <w:t>​</w:t>
            </w:r>
          </w:p>
        </w:tc>
        <w:tc>
          <w:tcPr>
            <w:tcW w:w="2086" w:type="dxa"/>
            <w:tcBorders/>
            <w:shd w:fill="D2D2D2" w:val="clear"/>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Arial;Helvetica;sans-serif" w:hAnsi="Arial;Helvetica;sans-serif"/>
          <w:sz w:val="20"/>
        </w:rPr>
        <w:t>Page: 5</w:t>
      </w:r>
      <w:r>
        <w:rPr>
          <w:rFonts w:ascii="Times New Roman;Times;serif" w:hAnsi="Times New Roman;Times;serif"/>
          <w:sz w:val="20"/>
        </w:rPr>
        <w:t xml:space="preserve"> </w:t>
      </w:r>
      <w:r>
        <w:rPr>
          <w:rFonts w:ascii="Arial;Helvetica;sans-serif" w:hAnsi="Arial;Helvetica;sans-serif"/>
          <w:sz w:val="20"/>
        </w:rPr>
        <w:t>of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05" w:name="tmc-20251231xex4d1.htm"/>
      <w:bookmarkStart w:id="2006" w:name="kstmc20251231xex4d1"/>
      <w:bookmarkEnd w:id="2005"/>
      <w:bookmarkEnd w:id="2006"/>
      <w:r>
        <w:rPr>
          <w:rFonts w:ascii="Times New Roman;Times;serif" w:hAnsi="Times New Roman;Times;serif"/>
          <w:b/>
          <w:sz w:val="20"/>
        </w:rPr>
        <w:t>Exhibit 4.1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REGISTERED PURSUANT TO SECTION 12 OF THE SECURITIES EXCHANGE ACT OF 1934, AS</w:t>
        <w:br/>
        <w:t>AMENDED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The following summary of the material terms of the authorized capital of TMC the metals company Inc. is not intended to be a complete summary of the rights and preferences of such securities, and is qualified by reference to our notice of articles and articles (“Notice and Articles”) and the provisions of applicable law, including the Business Corporations Act (British Columbia)</w:t>
      </w:r>
      <w:r>
        <w:rPr>
          <w:rFonts w:ascii="Times New Roman;Times;serif" w:hAnsi="Times New Roman;Times;serif"/>
          <w:sz w:val="20"/>
        </w:rPr>
        <w:t> (“</w:t>
      </w:r>
      <w:r>
        <w:rPr>
          <w:rFonts w:ascii="Times New Roman;Times;serif" w:hAnsi="Times New Roman;Times;serif"/>
          <w:i/>
          <w:sz w:val="20"/>
        </w:rPr>
        <w:t>BCBCA”) and the warrant-related documents described herein, each of which are incorporated by reference as an exhibit to the Annual Report on Form 10-K to which this Exhibit is filed,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and not to our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Authorized Share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authorized to issue (a) an unlimited number of Common Shares, without par value (“Common Shares”), (b) an unlimited number of preferred shares, issuable in series without par value, (c) 5,000,000 Class A Special Shares, without par value (“Class A Special Shares”), (d) 10,000,000 Class B Special Shares, without par value (“Class B Special Shares”), (e) 10,000,000 Class C Special Shares, without par value (“Class C Special Shares”), (f) 20,000,000 Class D Special Shares, without par value (“Class D Special Shares”), (g) 20,000,000 Class E Special Shares, without par value (“Class E Special Shares”), (h) 20,000,000 Class F Special Shares, without par value (“Class F Special Shares”), (i) 25,000,000 Class G Special Shares, without par value (“Class G Special Shares”), (j) 25,000,000 Class H Special Shares, without par value (“Class H Special Shares”), (k) 500,000 Class I Special Shares, without par value (“Class I Special Shares”) and (l) 741,000 Class J Special Shares, without par value (“Class J Special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Combination and Amalgamation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originally known as Sustainable Opportunities Acquisition Corp. (“SOAC”). On September 9, 2021 (the “Closing Date”), we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(“Legacy DeepGreen”).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herein and in the Notice and Articles;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applicable agreements; (v) the Notice and Articles became the governing documents of the Company; and (vi) SOAC’s name changed to “TMC the metals company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the Closing Date, pursuant to a court-approved plan of arrangement (the “Plan of Arrangement,” and the arrangement pursuant to such Plan of Arrangement, the “Arrangement”) under the BCBCA, (i) SOAC acquired all of the issued and outstanding common shares in the capital of Legacy DeepGreen (the “DeepGreen Common Shares”); (ii) the shareholders and the optionholders of Legacy DeepGreen became entitled to receive at the Effective Time, in exchange for their DeepGreen Common Shares and options to purchase DeepGreen Common Shares, as applicable, an aggregate of (a) 229,162,651 Common Shares (which includes Common Shares underlying options), (b) 4,999,973 Class A Special Shares (which includes Class A Special Shares underlying options), (c) 9,999,853 Class B Special Shares (which includes Class B Special Shares underlying options), (d) 9,999,853 Class C Special Shares (which includes Class C Special Shares underlying options), (e) 19,999,855 Class D Special Shares (which includes Class D Special Shares underlying options), (f) 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Legacy DeepGreen became a wholly-owned subsidiary of the Company; and (iv) Legacy DeepGreen and NewCo Sub amalgamated to continue as one unlimited liability company existing under the laws of British Columbia, Canada. In addition, we assumed a warrant issued to Allseas Group S.A.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based on an exchange ratio determined under the Combination Agreement. The time that the Arrangement became effective is referred to as the “Effective Time.”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Immediately prior to the Effective Time, Sustainable Opportunities Holdings LLC (the “Sponsor”), exchanged 741,000 Common Shares for 500,000 Class I Special Shares and 741,000 Class J Special Shares, each of which is automatically convertible into Common Shares on a one-for-one basis if certain Common Share price thresholds are met as described below.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foregoing and concurrently with the execution of the Business Combination Agreement, SOAC entered into subscription agreements with certain investors, pursuant to which such investors agreed to purchase an aggregate of 11,030,000 Common Shares at a purchase price of $10.00 per share, for aggregate gross proceeds of $110,300,000, which closed concurrently with the Business Combination.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January 1, 2026, we completed a vertical short-form amalgamation pursuant to the BCABC with our previously wholly owned subsidiary, DeepGreen Metals ULC (“DGM”), which was an intermediate holding company with no operations. We were a continuing entity in the amalgamation with no changes to our share capital, outstanding warrants to purchase Common Shares and outstanding equity incentive awards.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Common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non-cumulative dividends as, if and when declared by the board of directors. Subject to the prior rights of the holders of special shares (“Special Shares”) and preferred shares, and any other class ranking senior to the Common Shares, in the event of our liquidation, dissolution or winding-up or other distribution of our assets among our shareholders for the purpose of winding up our affairs, the holders of Common Shares will be entitled to share </w:t>
      </w:r>
      <w:r>
        <w:rPr>
          <w:rFonts w:ascii="Times New Roman;Times;serif" w:hAnsi="Times New Roman;Times;serif"/>
          <w:i/>
          <w:sz w:val="20"/>
        </w:rPr>
        <w:t>pro rata</w:t>
      </w:r>
      <w:r>
        <w:rPr>
          <w:rFonts w:ascii="Times New Roman;Times;serif" w:hAnsi="Times New Roman;Times;serif"/>
          <w:sz w:val="20"/>
        </w:rPr>
        <w:t>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or any other material restrictions. The special rights or restrictions attached to Common Shares are subject to and may be adversely affected by, the rights attached to any series of preferred shares that the board of directors may designate in the future.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Preferred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authorized to issue an unlimited number of preferred shares, issuable in series. Accordingly, the board of directors is authorized, without shareholder approval but subject to the provisions of the BCBCA and the Notice and Articles, to determine the maximum number of shares of each series, create or alter an identifying name for each series and alter or attach such special rights or restrictions, including dividend, liquidation and voting rights, as the board of directors may determine, and such special rights or restrictions, including dividend, liquidation and voting rights, may be superior to those of the Common Shares and Special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Special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for the purpose of winding up our affairs, the holders of Special Shares will be entitled to receive an amount equal to $0.00000000001 per Special Share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provisions of the BCBCA, any Special Shares then outstanding shall be redeemed by us without any action on the part of the holders of Special Shares (i) at any time after the 15</w:t>
      </w:r>
      <w:r>
        <w:rPr>
          <w:rFonts w:ascii="Times New Roman;Times;serif" w:hAnsi="Times New Roman;Times;serif"/>
          <w:sz w:val="15"/>
        </w:rPr>
        <w:t>th</w:t>
      </w:r>
      <w:r>
        <w:rPr>
          <w:rFonts w:ascii="Times New Roman;Times;serif" w:hAnsi="Times New Roman;Times;serif"/>
          <w:sz w:val="20"/>
        </w:rPr>
        <w:t> year anniversary of the original issue date of the Special Shares or (ii) at any time after a Change of Control, in each case at the Redemption Price. For the purposes of the Notice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Special Shares will automatically convert into Common Shares on a one (1) for one (1) basis (the “Conversion Rate”) (unless adjusted as described below) upon the occurrence of the following events: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March 24, 2026, there were an aggregate of 15,000,000 outstanding warrants issued in connection with the May 2020 initial public offering of (the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Redemptions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Once the warrants become exercisable, we may call the warrants for redemption:</w:t>
      </w:r>
    </w:p>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2673" w:type="dxa"/>
        <w:jc w:val="left"/>
        <w:tblInd w:w="0" w:type="dxa"/>
        <w:tblLayout w:type="fixed"/>
        <w:tblCellMar>
          <w:top w:w="0" w:type="dxa"/>
          <w:left w:w="0" w:type="dxa"/>
          <w:bottom w:w="0" w:type="dxa"/>
          <w:right w:w="0" w:type="dxa"/>
        </w:tblCellMar>
      </w:tblPr>
      <w:tblGrid>
        <w:gridCol w:w="23"/>
        <w:gridCol w:w="170"/>
        <w:gridCol w:w="24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bl>
    <w:tbl>
      <w:tblPr>
        <w:tblW w:w="7473" w:type="dxa"/>
        <w:jc w:val="left"/>
        <w:tblInd w:w="0" w:type="dxa"/>
        <w:tblLayout w:type="fixed"/>
        <w:tblCellMar>
          <w:top w:w="0" w:type="dxa"/>
          <w:left w:w="0" w:type="dxa"/>
          <w:bottom w:w="0" w:type="dxa"/>
          <w:right w:w="0" w:type="dxa"/>
        </w:tblCellMar>
      </w:tblPr>
      <w:tblGrid>
        <w:gridCol w:w="23"/>
        <w:gridCol w:w="170"/>
        <w:gridCol w:w="7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tc>
      </w:tr>
    </w:tbl>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If and when the warrants become redeemable by us, we may exercise our redemption right even if we are unable to register or qualify the underlying securities for sale under all applicable state securities laws.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Redemption Procedures and Cashless Exercise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Sustainable Opportunities Holdings LLC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Exercise Limitation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Anti-dilution Adjustments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number of outstanding Common Shares is decreased by a consolidation, combination, reverse share split or reclassification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case of any reclassification or reorganization of the outstanding Common Shares (other than those described above or that solely affects the par value of such Common Shares), or in the case of any merger or consolidation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Warrant Agent/Amendment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Annual Report of which this Exhibit is a part, for a complete description of the terms and conditions applicable to the warrants.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Rights as a Shareholder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warrant holders do not have the rights or privileges of holders of Common Shares and any voting rights until they exercise their warrants and receive Common Shares.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Fractional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Private Placement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24, 2026, there were 9,500,000 private placement warrants outstanding.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Class A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24, 2026, there were Class A warrants outstanding entitling the holders thereof to purchase an aggregate of 4,317,500 Common Shares. The Class A warrants were issued as part of the August 2023 registered direct offering.</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Exercisability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Class A warrants are exercisable at any time on or after the issuance date. The Class A warrants will be exercisable, at the option of each holder, in whole or in part by delivering to us a duly executed exercise notice and, at any time a registration statement registering the issuance of the Common Shares underlying the Class A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A warrants under the Securities Act is not then effective or available, the holder may only exercise the Class A warrant through a cashless exercise, in which case the holder would receive upon such exercise the net number of Common Shares determined according to the formula set forth in the Class A warrant. No fractional shares will be issued in connection with the exercise of a Class A warrant. In lieu of fractional shares, we will round down to the next whole share.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Exercise Limitation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holder will not have the right to exercise any portion of the Class A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A warrants. However, any holder may increase or decrease such percentage to any other percentage not in excess of 9.99% (or 19.99% with prior written approval of the Company) upon at least 61 days’ prior notice from the holder to us.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Exercise Price/Adjustment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exercise price per Common Share purchasable upon exercise of the Class A warrants is $2.00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Transferability/Warrant Agent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Subject to applicable laws, the Class A warrants may be offered for sale, sold, transferred or assigned without our consent. There is no trading market for the Class A warrants and a trading market is not expected to develop. The Company will initially act as warrant agent for the Class A warrants.</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Trading Market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do not plan on making the Class A warrants eligible to trade on any national securities exchange or any other nationally recognized trading system or market.</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Fundamental Transactions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 the event of a fundamental transaction, as described in the Class A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A warrants will be entitled to receive upon exercise of the Class A warrants the kind and amount of securities, cash or other property that the holders would have received had they exercised the Class A warrants immediately prior to such fundamental transaction.</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Call Provision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Subject to the terms of the Class A warrants, if (i) the volume weighted average price for each of 30 consecutive trading days exceeds $6.50 (subject to adjustment for forward and reverse stock splits, recapitalizations, stock dividends) and (ii) the holder of the Class A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A warrants for which a notice of exercise has not yet been delivered for consideration equal to $0.0001 per warrant share.</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Rights as a Shareholder</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Except as otherwise provided in the Class A warrants or by virtue of such holder’s ownership of Common Shares, the holder of a Class A warrant does not have the rights or privileges of a holder of our Common Share, including any voting rights, until the holder exercises the Class A warrant.</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Governing Law</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Class A warrants are governed by New York law.</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Class B Warrants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As of March 24, 2026, there were Class B warrants outstanding entitling the holders thereof to purchase an aggregate of 15,000 Common Shares. The Class B warrants were issued as part of the November 2024 registered direct offering.</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Exercisability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Class B warrants are exercisable at any time on or after the issuance date until five years after issuance. The Class B warrants will be exercisable, at the option of each holder, in whole or in part by delivering to us a duly executed exercise notice and, at any time a registration statement registering the issuance of the Common Shares underlying the Class B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The holder may exercise the Class B warrant through a cashless exercise, in which case the holder would receive upon such exercise the net number of Common Shares determined according to the formula set forth in the Class B warrant. No fractional shares will be issued in connection with the exercise of a Class B warrant. In lieu of fractional shares, we will round down to the next whole share.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Exercise Limitation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holder will not have the right to exercise any portion of the Class B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B warrants. However, any holder may increase or decrease such percentage to any other percentage not in excess of 9.99% (or 19.99% with prior written approval of the Company) upon at least 61 days’ prior notice from the holder to us.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Exercise Price; Adjustment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exercise price per Common Share purchasable upon exercise of the Class B warrants is $2.00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Transferability/Warrant Agent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Subject to applicable laws, the Class B warrants may be offered for sale, sold, transferred or assigned without our consent. There is no trading market for the Class B warrants and a trading market is not expected to develop. The Company will initially act as warrant agent for the Class B warrants.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Trading Market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do not plan on making the Class B warrants eligible to trade on any national securities exchange or any other nationally recognized trading system or market.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Fundamental Transactions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of a fundamental transaction, as described in the Class B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B warrants will be entitled to receive upon exercise of the Class B warrants the kind and amount of securities, cash or other property that the holders would have received had they exercised the Class B warrants immediately prior to such fundamental transaction.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Call Provision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Subject to the terms of the Class B warrants, if (i) the volume weighted average price for each of 30 consecutive trading days exceeds $5.00 (subject to adjustment for forward and reverse stock splits, recapitalizations, stock dividends) and (ii) the holder of the Class B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B warrants for which a notice of exercise has not yet been delivered for consideration equal to $0.0001 per warrant share.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Rights as a Shareholder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Except as otherwise provided in the Class B warrants or by virtue of such holder’s ownership of Common Shares, the holder of a Class B warrant does not have the rights or privileges of a holder of our Common Share, including any voting rights, until the holder exercises the Class B warrant.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Governing Law</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Class B warrants are governed by New York law.</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Class C Warrants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As of March 26, 2026, there were Class C warrants outstanding entitling the holders thereof to purchase an aggregate of 10,003,333 Common Shares. The Class C warrants were issued as part of the May 2025 registered direct offering.</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Exercisability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Class C warrants are exercisable until May 12, 2028. The Class C warrants will be exercisable, at the option of each holder, in whole or in part by delivering to us a duly executed exercise notice and, at any time a registration statement registering the issuance of the Common Shares underlying the Class C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C warrants under the Securities Act is not then effective or available, the holder may exercise the Class C warrants through a cashless exercise, in which case the holder would receive upon such exercise the net number of Common Shares determined according to the formula set forth in the Class C warrants. No fractional shares will be issued in connection with the exercise of a Class C warrant. In lieu of fractional shares, we will round down to the next whole share.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Exercise Limitation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holder will not have the right to exercise any portion of the Class C warrant if the holder (together with its affiliates and attribution parties) would beneficially own in excess of 4.99%, 9.99% or 19.99% (depending on the holder) of the number of Common Shares outstanding immediately after giving effect to the exercise, as such percentage ownership is determined in accordance with the terms of the Class C warrants. However, any holder may increase or decrease such percentage to any other percentage not in excess of 9.99% (or 19.99% with prior written approval of the Company) upon at least 61 days’ prior notice from the holder to us.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Exercise Price;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exercise price per Common Share purchasable upon exercise of the Class C warrants is $4.50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Transferability/Warrant Agent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applicable laws, the Class C warrants may be offered for sale, sold, transferred or assigned without our consent. There is no trading market for the Class C warrants and a trading market is not expected to develop. The Company will initially act as warrant agent for the Class C warrants.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Trading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plan on making the Class C warrants eligible to trade on any national securities exchange or any other nationally recognized trading system or market.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Fundamental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 fundamental transaction, as described in the Class C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C warrants will be entitled to receive upon exercise of the Class C warrants the kind and amount of securities, cash or other property that the holders would have received had they exercised the Class C warrants immediately prior to such fundamental transaction.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Call Provision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Subject to the terms of the Class C warrants, if (i) the volume weighted average price for each of 20 consecutive trading days exceeds $7.00 (subject to adjustment for forward and reverse stock splits, recapitalizations, stock dividends) and (ii) the holder of the Class C warrant is not in possession of any information that constitutes, or might constitute, material non-public information which was provided by the Company, then the Company may, within one trading day of the end of such 20-day period, call for cancellation of all or any portion of the Class C warrants for which a notice of exercise has not yet been delivered for consideration equal to $0.0001 per warrant share.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Rights as a Shareholder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Except as otherwise provided in the Class C warrants or by virtue of such holder’s ownership of Common Shares, the holder of a Class C warrant does not have the rights or privileges of a holder of our Common Shares, including any voting rights, until the holder exercises the Class C warrant.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Governing Law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Class C warrants are governed by New York law.</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Other Outstanding Warrants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May 30, 2025, the Company issued a warrant to the Republic of Nauru to purchase 9,146,268 Common Shares. This warrant has an initial exercise price of $4.72 per share, is exercisable upon the achievement of certain conditions related to U.S. regulatory approvals and the Company’s commercial recovery efforts, and will expire five years from the date of issuance.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August 4, 2025, the Company issued to the Kingdom of Tonga, acting through the Tonga Seabed Minerals Authority, a warrant to purchase 1,000,000 Common Shares. This warrant has an initial exercise price of $5.87 per share, becomes exercisable upon the satisfaction of certain conditions related to U.S. regulatory approvals and the Company’s commercial recovery efforts, as set forth in this warrant, and expires five years from the date of issuance.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part of the June 2025 private placement of common shares, on June 25, 2025, the Company issued a warrant to Korea Zinc Company, Ltd. to purchase up to 6,868,181 Common Shares. This warrant has a term of three years from the date of issuance, and an initial exercise price of $7.00 per share, and contains a call/compulsory exercise provisions should the Common Shares trade above $10.00 for 20 consecutive trading days.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Registration Rights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the closing of the Business Combination, we, the initial shareholders, including the Sponsor (the “Sponsor Group Holders”), and certain holders of Legacy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(a) the securities purchase agreement entered into on August 14, 2023, (b) the securities purchase agreement entered into on November 14, 2024, as amended, and (c) the securities purchase agreement entered into on May 12, 2025, provide the investors under each agreement with certain registration rights with respect to the Common Shares and, as applicable, warrants to purchase Common Shares purchased pursuant to such agreements. The Company has filed registration statements, which remain effective, in connection with these registration rights.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Participation Right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June 2025 private placement financing, we granted the investor in the financing, subject to certain exceptions, a right to participate in any public offering or private placement of any Common Shares or Common Share equivalents primarily for capital raising purposes (each a “Proposed Offering”) up to such amount of securities to maintain its percentage ownership at the time of such Proposed Offering. Such right to participate in future financings will expire upon the earlier to occur of (i) June 16, 2030, (ii) the date on which the investor owns less than all of the Common Shares it purchased in the financing and (iii) immediately after a closing of a Proposed Offering where the investor does not exercise its participation right in full.</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Certain Important Provisions of the Notice and Articles and the BCBCA</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Stated Objects or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Notice and Articles do not contain stated objects or purposes and do not place any limitations on the business that we may carry 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Power to vote on matters in which a director is materially interested. </w:t>
      </w:r>
      <w:r>
        <w:rPr>
          <w:rFonts w:ascii="Times New Roman;Times;serif" w:hAnsi="Times New Roman;Times;serif"/>
          <w:sz w:val="20"/>
        </w:rPr>
        <w:t>Under the BCBCA, a director of a company is liable to account to the company for any profit that accrues to the director under or as a result of a contract or transaction in which the director holds a disclosable interest if the contract or transaction is material to the company, the company has entered, or proposes to enter, into the contract or transaction, and either the director has a material interest in the contract or transaction or is a director of, or has a material interest in, a person who has a material interest in the contract or transaction, unless otherwise provided for in the BCBCA. A director does not hold a disclosable interest in a contract or transaction merely because the contract or transaction: (i) is an arrangement by way of security granted by the company for money loaned to, or obligations undertaken by, the director, or a person in whom the director has a material interest, for the benefit of the company or one of its affiliates; (ii) relates to an indemnity or insurance permitted under the BCBCA; (iii) relates to the remuneration of the director in his or her capacity as director, officer, employee or agent of the company or one of its affiliates; (iv) relates to a loan to the company, and the director, or a person in whom the director has a material interest, is or is to be a guarantor of some or all of the loan; or (v) is, has been or will be made with or for the benefit of a company that is affiliated with the company and the director is also a director or senior officer of that company or an affiliate of that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director who holds a disclosable interest may also be liable to account to the company for any profit that accrues to the director under or as a result of a contract or transaction in which the director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the disclosable interest was disclosed to the other directors or shareholders, as applicable, and the director who holds the disclosable interest does not vote on any decision or resolution touching on the contract or transaction. Directors are also required to comply with certain other relevant provisions of the BCBCA regarding conflicts of interest. A director who holds such disclosable interest in respect of any material contract or transaction into which the company has entered or proposes to enter may be required to absent himself or herself from the meeting while discussions and voting with respect to the matter are taking place.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Directors’ power to determine the remuneration of directors. </w:t>
      </w:r>
      <w:r>
        <w:rPr>
          <w:rFonts w:ascii="Times New Roman;Times;serif" w:hAnsi="Times New Roman;Times;serif"/>
          <w:sz w:val="20"/>
        </w:rPr>
        <w:t>The remuneration of our directors, if any, may be determined by our directors subject to our Articles. The remuneration may be in addition to any salary or other remuneration paid to any of our employees (including senior officers) who are also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Number of shares required to be owned by a director. </w:t>
      </w:r>
      <w:r>
        <w:rPr>
          <w:rFonts w:ascii="Times New Roman;Times;serif" w:hAnsi="Times New Roman;Times;serif"/>
          <w:sz w:val="20"/>
        </w:rPr>
        <w:t>Our Articles do not and the BCBCA does not provide that a director is required to hold any shares in the capital of the Company as a qualification for holding his or her office.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Shareholder Meetings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or other communications medium.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Articles provide that a quorum for meetings of shareholders is present if at least two shareholders who, in the aggregate, hold at least 5% of the issued shares entitled to vote at the meeting, are present in person or represented by proxy at the meeting. Additionally, the Nasdaq requires that a quorum of at least 33 1/3% of the issued shares entitled to vote at the meeting be so present. If a quorum is not present within one half hour from the time set for the holding of any meeting of shareholders, the meeting stands adjourned to the same day in the next week at the same time and place or at such other date, time or location as the chair of the meeting specifies on the adjournment, unless the meeting was requisitioned by shareholders, in which case the meeting is dissolved.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Holders of Common Shares are entitled to attend and vote at meetings of our shareholders except meetings at which only holders of another class of shares are entitled to vote. Except as otherwise provided with respect to any particular series of preferred shares or Special Shares, and except as otherwise required by law, the holders of our preferred shares and/or Special Shares are not entitled to receive notice of, or to attend or vote at any meetings of our shareholders. Our directors and officers, our auditor and any other persons invited by our directors are entitled to attend any meeting of our shareholders but will not be counted in the quorum or be entitled to vote at the meeting unless he or she is a shareholder or proxyholder entitled to vote at the meeting.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Shareholder Proposals and Advance Notice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BCBCA, qualified shareholders holding, directly or indirectly, at least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an uninterrupted period of at least two years before the date of signing the proposal.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 Our board of directors may, in their sole discretion, waive any and all requirements set forth in our Articles in respect of the Advance Notice Provisions.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w:t>
      </w:r>
      <w:r>
        <w:rPr>
          <w:rFonts w:ascii="Times New Roman;Times;serif" w:hAnsi="Times New Roman;Times;serif"/>
          <w:sz w:val="15"/>
        </w:rPr>
        <w:t>th</w:t>
      </w:r>
      <w:r>
        <w:rPr>
          <w:rFonts w:ascii="Times New Roman;Times;serif" w:hAnsi="Times New Roman;Times;serif"/>
          <w:sz w:val="20"/>
        </w:rPr>
        <w:t> day following the Notice Date; and (ii) in the case of a special meeting (which is not also an annual meeting) of shareholders called for any purpose which includes electing directors, not later than the close of business on the 15</w:t>
      </w:r>
      <w:r>
        <w:rPr>
          <w:rFonts w:ascii="Times New Roman;Times;serif" w:hAnsi="Times New Roman;Times;serif"/>
          <w:sz w:val="15"/>
        </w:rPr>
        <w:t>th</w:t>
      </w:r>
      <w:r>
        <w:rPr>
          <w:rFonts w:ascii="Times New Roman;Times;serif" w:hAnsi="Times New Roman;Times;serif"/>
          <w:sz w:val="20"/>
        </w:rPr>
        <w:t> day following the Notice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provisions could have the effect of delaying until the next shareholder meeting the nomination of certain persons for director that are favored by the holders of a majority of our outstanding voting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Forum Selection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 unless we consent in writing to the selection of an alternative forum.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Limitation of Liability and Indemnification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civil, criminal, administrative or other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Ownership and Exchange Controls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is no limitation imposed by Canadian law or by the Notice and Articles on the right of a non-resident to hold or vote Common Shares, other than discussed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Competition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Limitations on the ability to acquire and hold Common Shares may be imposed by the </w:t>
      </w:r>
      <w:r>
        <w:rPr>
          <w:rFonts w:ascii="Times New Roman;Times;serif" w:hAnsi="Times New Roman;Times;serif"/>
          <w:i/>
          <w:sz w:val="20"/>
        </w:rPr>
        <w:t>Competition Act </w:t>
      </w:r>
      <w:r>
        <w:rPr>
          <w:rFonts w:ascii="Times New Roman;Times;serif" w:hAnsi="Times New Roman;Times;serif"/>
          <w:sz w:val="20"/>
        </w:rPr>
        <w:t>(Canada). This legislation permits the Commissioner of Competition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where the Commissioner has been notified of the acquisition (or up to three years where no notice has been given to the Commissioner),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Investment Canada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i/>
          <w:sz w:val="20"/>
        </w:rPr>
        <w:t>Investment Canada Act </w:t>
      </w:r>
      <w:r>
        <w:rPr>
          <w:rFonts w:ascii="Times New Roman;Times;serif" w:hAnsi="Times New Roman;Times;serif"/>
          <w:sz w:val="20"/>
        </w:rPr>
        <w:t>requires each “non-Canadian” (as defined in the </w:t>
      </w:r>
      <w:r>
        <w:rPr>
          <w:rFonts w:ascii="Times New Roman;Times;serif" w:hAnsi="Times New Roman;Times;serif"/>
          <w:i/>
          <w:sz w:val="20"/>
        </w:rPr>
        <w:t>Investment Canada Act</w:t>
      </w:r>
      <w:r>
        <w:rPr>
          <w:rFonts w:ascii="Times New Roman;Times;serif" w:hAnsi="Times New Roman;Times;serif"/>
          <w:sz w:val="20"/>
        </w:rPr>
        <w:t>)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Times New Roman;Times;serif" w:hAnsi="Times New Roman;Times;serif"/>
          <w:i/>
          <w:sz w:val="20"/>
        </w:rPr>
        <w:t>Investment Canada Act</w:t>
      </w:r>
      <w:r>
        <w:rPr>
          <w:rFonts w:ascii="Times New Roman;Times;serif" w:hAnsi="Times New Roman;Times;serif"/>
          <w:sz w:val="20"/>
        </w:rPr>
        <w:t>. Subject to certain exemptions, a transaction that is reviewable under the </w:t>
      </w:r>
      <w:r>
        <w:rPr>
          <w:rFonts w:ascii="Times New Roman;Times;serif" w:hAnsi="Times New Roman;Times;serif"/>
          <w:i/>
          <w:sz w:val="20"/>
        </w:rPr>
        <w:t>Investment Canada Act </w:t>
      </w:r>
      <w:r>
        <w:rPr>
          <w:rFonts w:ascii="Times New Roman;Times;serif" w:hAnsi="Times New Roman;Times;serif"/>
          <w:sz w:val="20"/>
        </w:rPr>
        <w:t>may not be implemented until an application for review has been filed and the responsible Minister of the federal cabinet has determined that the investment is likely to be of “net benefit to Canada” taking into account certain factors set out in the </w:t>
      </w:r>
      <w:r>
        <w:rPr>
          <w:rFonts w:ascii="Times New Roman;Times;serif" w:hAnsi="Times New Roman;Times;serif"/>
          <w:i/>
          <w:sz w:val="20"/>
        </w:rPr>
        <w:t>Investment Canada Act</w:t>
      </w:r>
      <w:r>
        <w:rPr>
          <w:rFonts w:ascii="Times New Roman;Times;serif" w:hAnsi="Times New Roman;Times;serif"/>
          <w:sz w:val="20"/>
        </w:rPr>
        <w:t>. Under the </w:t>
      </w:r>
      <w:r>
        <w:rPr>
          <w:rFonts w:ascii="Times New Roman;Times;serif" w:hAnsi="Times New Roman;Times;serif"/>
          <w:i/>
          <w:sz w:val="20"/>
        </w:rPr>
        <w:t>Investment Canada Act</w:t>
      </w:r>
      <w:r>
        <w:rPr>
          <w:rFonts w:ascii="Times New Roman;Times;serif" w:hAnsi="Times New Roman;Times;serif"/>
          <w:sz w:val="20"/>
        </w:rPr>
        <w:t>, an investment in Common Shares by a non-Canadian who is an investor originating from a country with which Canada has a free trade agreement, including a United States investor, would be reviewable only if it were an investment to acquire control of us pursuant to the </w:t>
      </w:r>
      <w:r>
        <w:rPr>
          <w:rFonts w:ascii="Times New Roman;Times;serif" w:hAnsi="Times New Roman;Times;serif"/>
          <w:i/>
          <w:sz w:val="20"/>
        </w:rPr>
        <w:t>Investment Canada Act </w:t>
      </w:r>
      <w:r>
        <w:rPr>
          <w:rFonts w:ascii="Times New Roman;Times;serif" w:hAnsi="Times New Roman;Times;serif"/>
          <w:sz w:val="20"/>
        </w:rPr>
        <w:t>and our enterprise value (as determined pursuant to the </w:t>
      </w:r>
      <w:r>
        <w:rPr>
          <w:rFonts w:ascii="Times New Roman;Times;serif" w:hAnsi="Times New Roman;Times;serif"/>
          <w:i/>
          <w:sz w:val="20"/>
        </w:rPr>
        <w:t>Investment Canada Act </w:t>
      </w:r>
      <w:r>
        <w:rPr>
          <w:rFonts w:ascii="Times New Roman;Times;serif" w:hAnsi="Times New Roman;Times;serif"/>
          <w:sz w:val="20"/>
        </w:rPr>
        <w:t>and its regulations) was equal to or greater than the amount specified, which is currently CAD$2.179 billion. For most other investors who are not state-owned enterprises the threshold is currently CAD$1.452 billion for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i/>
          <w:sz w:val="20"/>
        </w:rPr>
        <w:t>Investment Canada Act </w:t>
      </w:r>
      <w:r>
        <w:rPr>
          <w:rFonts w:ascii="Times New Roman;Times;serif" w:hAnsi="Times New Roman;Times;serif"/>
          <w:sz w:val="20"/>
        </w:rPr>
        <w:t>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national-security-review regime in the </w:t>
      </w:r>
      <w:r>
        <w:rPr>
          <w:rFonts w:ascii="Times New Roman;Times;serif" w:hAnsi="Times New Roman;Times;serif"/>
          <w:i/>
          <w:sz w:val="20"/>
        </w:rPr>
        <w:t>Investment Canada Act</w:t>
      </w:r>
      <w:r>
        <w:rPr>
          <w:rFonts w:ascii="Times New Roman;Times;serif" w:hAnsi="Times New Roman;Times;serif"/>
          <w:sz w:val="20"/>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transactions relating to Common Shares will generally be exempt from the </w:t>
      </w:r>
      <w:r>
        <w:rPr>
          <w:rFonts w:ascii="Times New Roman;Times;serif" w:hAnsi="Times New Roman;Times;serif"/>
          <w:i/>
          <w:sz w:val="20"/>
        </w:rPr>
        <w:t>Investment Canada Act</w:t>
      </w:r>
      <w:r>
        <w:rPr>
          <w:rFonts w:ascii="Times New Roman;Times;serif" w:hAnsi="Times New Roman;Times;serif"/>
          <w:sz w:val="20"/>
        </w:rPr>
        <w:t>, subject to the federal government’s prerogative to conduct a national-security review, including: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Common Shares by a person in the ordinary course of that person’s business as a trader or dealer in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control of us in connection with the realization of security granted for a loan or other financial assistance and not for any purpose related to the provisions of the Investment Canada Act;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control of us by reason of an amalgamation, merger, consolidation or corporate reorganization following which the ultimate direct or indirect control in fact of us, through ownership of Common Shares, remains unchanged.</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is no law, governmental decree or regulation in Canada that restricts the export or import of capital, or that would affect the remittance of dividends (if any) or other payments by us to non-resident holders of Common Shares, other than sanctions, anti-terrorism, anti-money laundering or withholding tax requirements, and the requirements of the BCBCA, including relating generally to dividends, returns of capital and redemptions.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Transfer Agent, Warrant Agent and Registrar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transfer agent for our Common Shares and the Warrant Agent for the Public Warrants is Continental Stock Transfer &amp; Trust Company.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Exchange Listing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Common Shares and Public Warrants to purchase Common Shares are listed for trading on The Nasdaq Global Select Market under the symbol “TMC” and “TMCWW”, respectively.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Material U.S. Federal Income Tax Considerations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(generally, property held for investment) within the meaning of Section 1221 of the Internal Revenue Code of 1986, as amended, or the Code. This summary does not discuss all aspects of U.S. federal income taxation that may be relevant to particular investors in light of their particular circumstances, or to investors subject to special tax rules, such as:</w:t>
      </w:r>
    </w:p>
    <w:tbl>
      <w:tblPr>
        <w:tblW w:w="1968" w:type="dxa"/>
        <w:jc w:val="left"/>
        <w:tblInd w:w="0" w:type="dxa"/>
        <w:tblLayout w:type="fixed"/>
        <w:tblCellMar>
          <w:top w:w="0" w:type="dxa"/>
          <w:left w:w="0" w:type="dxa"/>
          <w:bottom w:w="0" w:type="dxa"/>
          <w:right w:w="0" w:type="dxa"/>
        </w:tblCellMar>
      </w:tblPr>
      <w:tblGrid>
        <w:gridCol w:w="23"/>
        <w:gridCol w:w="170"/>
        <w:gridCol w:w="17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w:t>
            </w:r>
          </w:p>
        </w:tc>
      </w:tr>
    </w:tbl>
    <w:tbl>
      <w:tblPr>
        <w:tblW w:w="1968" w:type="dxa"/>
        <w:jc w:val="left"/>
        <w:tblInd w:w="0" w:type="dxa"/>
        <w:tblLayout w:type="fixed"/>
        <w:tblCellMar>
          <w:top w:w="0" w:type="dxa"/>
          <w:left w:w="0" w:type="dxa"/>
          <w:bottom w:w="0" w:type="dxa"/>
          <w:right w:w="0" w:type="dxa"/>
        </w:tblCellMar>
      </w:tblPr>
      <w:tblGrid>
        <w:gridCol w:w="23"/>
        <w:gridCol w:w="170"/>
        <w:gridCol w:w="17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338" w:type="dxa"/>
        <w:jc w:val="left"/>
        <w:tblInd w:w="0" w:type="dxa"/>
        <w:tblLayout w:type="fixed"/>
        <w:tblCellMar>
          <w:top w:w="0" w:type="dxa"/>
          <w:left w:w="0" w:type="dxa"/>
          <w:bottom w:w="0" w:type="dxa"/>
          <w:right w:w="0" w:type="dxa"/>
        </w:tblCellMar>
      </w:tblPr>
      <w:tblGrid>
        <w:gridCol w:w="23"/>
        <w:gridCol w:w="170"/>
        <w:gridCol w:w="1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w:t>
            </w:r>
          </w:p>
        </w:tc>
      </w:tr>
    </w:tbl>
    <w:tbl>
      <w:tblPr>
        <w:tblW w:w="1398" w:type="dxa"/>
        <w:jc w:val="left"/>
        <w:tblInd w:w="0" w:type="dxa"/>
        <w:tblLayout w:type="fixed"/>
        <w:tblCellMar>
          <w:top w:w="0" w:type="dxa"/>
          <w:left w:w="0" w:type="dxa"/>
          <w:bottom w:w="0" w:type="dxa"/>
          <w:right w:w="0" w:type="dxa"/>
        </w:tblCellMar>
      </w:tblPr>
      <w:tblGrid>
        <w:gridCol w:w="23"/>
        <w:gridCol w:w="170"/>
        <w:gridCol w:w="1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tbl>
      <w:tblPr>
        <w:tblW w:w="1443" w:type="dxa"/>
        <w:jc w:val="left"/>
        <w:tblInd w:w="0" w:type="dxa"/>
        <w:tblLayout w:type="fixed"/>
        <w:tblCellMar>
          <w:top w:w="0" w:type="dxa"/>
          <w:left w:w="0" w:type="dxa"/>
          <w:bottom w:w="0" w:type="dxa"/>
          <w:right w:w="0" w:type="dxa"/>
        </w:tblCellMar>
      </w:tblPr>
      <w:tblGrid>
        <w:gridCol w:w="23"/>
        <w:gridCol w:w="170"/>
        <w:gridCol w:w="1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corporations;</w:t>
            </w:r>
          </w:p>
        </w:tc>
      </w:tr>
    </w:tbl>
    <w:tbl>
      <w:tblPr>
        <w:tblW w:w="1428" w:type="dxa"/>
        <w:jc w:val="left"/>
        <w:tblInd w:w="0" w:type="dxa"/>
        <w:tblLayout w:type="fixed"/>
        <w:tblCellMar>
          <w:top w:w="0" w:type="dxa"/>
          <w:left w:w="0" w:type="dxa"/>
          <w:bottom w:w="0" w:type="dxa"/>
          <w:right w:w="0" w:type="dxa"/>
        </w:tblCellMar>
      </w:tblPr>
      <w:tblGrid>
        <w:gridCol w:w="23"/>
        <w:gridCol w:w="170"/>
        <w:gridCol w:w="12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in securities that elect mark-to-market treatment;</w:t>
            </w:r>
          </w:p>
        </w:tc>
      </w:tr>
    </w:tbl>
    <w:tbl>
      <w:tblPr>
        <w:tblW w:w="2898" w:type="dxa"/>
        <w:jc w:val="left"/>
        <w:tblInd w:w="0" w:type="dxa"/>
        <w:tblLayout w:type="fixed"/>
        <w:tblCellMar>
          <w:top w:w="0" w:type="dxa"/>
          <w:left w:w="0" w:type="dxa"/>
          <w:bottom w:w="0" w:type="dxa"/>
          <w:right w:w="0" w:type="dxa"/>
        </w:tblCellMar>
      </w:tblPr>
      <w:tblGrid>
        <w:gridCol w:w="23"/>
        <w:gridCol w:w="170"/>
        <w:gridCol w:w="2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508" w:type="dxa"/>
        <w:jc w:val="left"/>
        <w:tblInd w:w="0" w:type="dxa"/>
        <w:tblLayout w:type="fixed"/>
        <w:tblCellMar>
          <w:top w:w="0" w:type="dxa"/>
          <w:left w:w="0" w:type="dxa"/>
          <w:bottom w:w="0" w:type="dxa"/>
          <w:right w:w="0" w:type="dxa"/>
        </w:tblCellMar>
      </w:tblPr>
      <w:tblGrid>
        <w:gridCol w:w="23"/>
        <w:gridCol w:w="170"/>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1638" w:type="dxa"/>
        <w:jc w:val="left"/>
        <w:tblInd w:w="0" w:type="dxa"/>
        <w:tblLayout w:type="fixed"/>
        <w:tblCellMar>
          <w:top w:w="0" w:type="dxa"/>
          <w:left w:w="0" w:type="dxa"/>
          <w:bottom w:w="0" w:type="dxa"/>
          <w:right w:w="0" w:type="dxa"/>
        </w:tblCellMar>
      </w:tblPr>
      <w:tblGrid>
        <w:gridCol w:w="23"/>
        <w:gridCol w:w="170"/>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trusts and estates;</w:t>
            </w:r>
          </w:p>
        </w:tc>
      </w:tr>
    </w:tbl>
    <w:tbl>
      <w:tblPr>
        <w:tblW w:w="4938" w:type="dxa"/>
        <w:jc w:val="left"/>
        <w:tblInd w:w="0" w:type="dxa"/>
        <w:tblLayout w:type="fixed"/>
        <w:tblCellMar>
          <w:top w:w="0" w:type="dxa"/>
          <w:left w:w="0" w:type="dxa"/>
          <w:bottom w:w="0" w:type="dxa"/>
          <w:right w:w="0" w:type="dxa"/>
        </w:tblCellMar>
      </w:tblPr>
      <w:tblGrid>
        <w:gridCol w:w="23"/>
        <w:gridCol w:w="170"/>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organizations (including private foundations);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hold our Common Shares or public warrants as part of a “straddle,” “hedge,” “conversion,” “synthetic security,” “constructive ownership transaction,” “constructive sale” or other integrated transaction for U.S. federal income tax purposes;</w:t>
            </w:r>
          </w:p>
        </w:tc>
      </w:tr>
    </w:tbl>
    <w:tbl>
      <w:tblPr>
        <w:tblW w:w="6078" w:type="dxa"/>
        <w:jc w:val="left"/>
        <w:tblInd w:w="0" w:type="dxa"/>
        <w:tblLayout w:type="fixed"/>
        <w:tblCellMar>
          <w:top w:w="0" w:type="dxa"/>
          <w:left w:w="0" w:type="dxa"/>
          <w:bottom w:w="0" w:type="dxa"/>
          <w:right w:w="0" w:type="dxa"/>
        </w:tblCellMar>
      </w:tblPr>
      <w:tblGrid>
        <w:gridCol w:w="23"/>
        <w:gridCol w:w="170"/>
        <w:gridCol w:w="5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subject to the alternative minimum tax provisions of the Code;</w:t>
            </w:r>
          </w:p>
        </w:tc>
      </w:tr>
    </w:tbl>
    <w:tbl>
      <w:tblPr>
        <w:tblW w:w="5913" w:type="dxa"/>
        <w:jc w:val="left"/>
        <w:tblInd w:w="0" w:type="dxa"/>
        <w:tblLayout w:type="fixed"/>
        <w:tblCellMar>
          <w:top w:w="0" w:type="dxa"/>
          <w:left w:w="0" w:type="dxa"/>
          <w:bottom w:w="0" w:type="dxa"/>
          <w:right w:w="0" w:type="dxa"/>
        </w:tblCellMar>
      </w:tblPr>
      <w:tblGrid>
        <w:gridCol w:w="23"/>
        <w:gridCol w:w="170"/>
        <w:gridCol w:w="5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that have a functional currency other than the U.S. dollar;</w:t>
            </w:r>
          </w:p>
        </w:tc>
      </w:tr>
    </w:tbl>
    <w:tbl>
      <w:tblPr>
        <w:tblW w:w="5553" w:type="dxa"/>
        <w:jc w:val="left"/>
        <w:tblInd w:w="0" w:type="dxa"/>
        <w:tblLayout w:type="fixed"/>
        <w:tblCellMar>
          <w:top w:w="0" w:type="dxa"/>
          <w:left w:w="0" w:type="dxa"/>
          <w:bottom w:w="0" w:type="dxa"/>
          <w:right w:w="0" w:type="dxa"/>
        </w:tblCellMar>
      </w:tblPr>
      <w:tblGrid>
        <w:gridCol w:w="23"/>
        <w:gridCol w:w="170"/>
        <w:gridCol w:w="5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expatriates or former long-term residents of the United States;</w:t>
            </w:r>
          </w:p>
        </w:tc>
      </w:tr>
    </w:tbl>
    <w:tbl>
      <w:tblPr>
        <w:tblW w:w="3948" w:type="dxa"/>
        <w:jc w:val="left"/>
        <w:tblInd w:w="0" w:type="dxa"/>
        <w:tblLayout w:type="fixed"/>
        <w:tblCellMar>
          <w:top w:w="0" w:type="dxa"/>
          <w:left w:w="0" w:type="dxa"/>
          <w:bottom w:w="0" w:type="dxa"/>
          <w:right w:w="0" w:type="dxa"/>
        </w:tblCellMar>
      </w:tblPr>
      <w:tblGrid>
        <w:gridCol w:w="23"/>
        <w:gridCol w:w="170"/>
        <w:gridCol w:w="37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subject to the U.S. “inversion” rules;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owning or considered as owning (directly, indirectly, or through attribution) 5% (measured by vote or value) or more of our Common Shares;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acquired our Common Shares or public warrants pursuant to an exercise of employee share options, in connection with employee share incentive plans or otherwise as compensation for the performance of services;</w:t>
            </w:r>
          </w:p>
        </w:tc>
      </w:tr>
    </w:tbl>
    <w:tbl>
      <w:tblPr>
        <w:tblW w:w="2808" w:type="dxa"/>
        <w:jc w:val="left"/>
        <w:tblInd w:w="0" w:type="dxa"/>
        <w:tblLayout w:type="fixed"/>
        <w:tblCellMar>
          <w:top w:w="0" w:type="dxa"/>
          <w:left w:w="0" w:type="dxa"/>
          <w:bottom w:w="0" w:type="dxa"/>
          <w:right w:w="0" w:type="dxa"/>
        </w:tblCellMar>
      </w:tblPr>
      <w:tblGrid>
        <w:gridCol w:w="23"/>
        <w:gridCol w:w="170"/>
        <w:gridCol w:w="2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bl>
    <w:tbl>
      <w:tblPr>
        <w:tblW w:w="9063" w:type="dxa"/>
        <w:jc w:val="left"/>
        <w:tblInd w:w="0" w:type="dxa"/>
        <w:tblLayout w:type="fixed"/>
        <w:tblCellMar>
          <w:top w:w="0" w:type="dxa"/>
          <w:left w:w="0" w:type="dxa"/>
          <w:bottom w:w="0" w:type="dxa"/>
          <w:right w:w="0" w:type="dxa"/>
        </w:tblCellMar>
      </w:tblPr>
      <w:tblGrid>
        <w:gridCol w:w="23"/>
        <w:gridCol w:w="170"/>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method taxpayers that file applicable financial statements as described in Section 451(b) of the Code;</w:t>
            </w:r>
          </w:p>
        </w:tc>
      </w:tr>
    </w:tbl>
    <w:tbl>
      <w:tblPr>
        <w:tblW w:w="4458" w:type="dxa"/>
        <w:jc w:val="left"/>
        <w:tblInd w:w="0" w:type="dxa"/>
        <w:tblLayout w:type="fixed"/>
        <w:tblCellMar>
          <w:top w:w="0" w:type="dxa"/>
          <w:left w:w="0" w:type="dxa"/>
          <w:bottom w:w="0" w:type="dxa"/>
          <w:right w:w="0" w:type="dxa"/>
        </w:tblCellMar>
      </w:tblPr>
      <w:tblGrid>
        <w:gridCol w:w="23"/>
        <w:gridCol w:w="170"/>
        <w:gridCol w:w="4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 (“PFIC”);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are not U.S. Holders, all of whom may be subject to tax rules that differ materially from those summarized below.</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this discussion, a “U.S. Holder” is a beneficial owner of Common Shares or public warrants, as the case may be, that is:</w:t>
      </w:r>
    </w:p>
    <w:tbl>
      <w:tblPr>
        <w:tblW w:w="5583" w:type="dxa"/>
        <w:jc w:val="left"/>
        <w:tblInd w:w="0" w:type="dxa"/>
        <w:tblLayout w:type="fixed"/>
        <w:tblCellMar>
          <w:top w:w="0" w:type="dxa"/>
          <w:left w:w="0" w:type="dxa"/>
          <w:bottom w:w="0" w:type="dxa"/>
          <w:right w:w="0" w:type="dxa"/>
        </w:tblCellMar>
      </w:tblPr>
      <w:tblGrid>
        <w:gridCol w:w="23"/>
        <w:gridCol w:w="170"/>
        <w:gridCol w:w="5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U.S. citizen or resident of the United States;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(including an entity treated as a corporation for U.S. federal income tax purposes) created or organized in or under the laws of the United States, any state thereof or the District of Columbia;</w:t>
            </w:r>
          </w:p>
        </w:tc>
      </w:tr>
    </w:tbl>
    <w:tbl>
      <w:tblPr>
        <w:tblW w:w="10098" w:type="dxa"/>
        <w:jc w:val="left"/>
        <w:tblInd w:w="0" w:type="dxa"/>
        <w:tblLayout w:type="fixed"/>
        <w:tblCellMar>
          <w:top w:w="0" w:type="dxa"/>
          <w:left w:w="0" w:type="dxa"/>
          <w:bottom w:w="0" w:type="dxa"/>
          <w:right w:w="0" w:type="dxa"/>
        </w:tblCellMar>
      </w:tblPr>
      <w:tblGrid>
        <w:gridCol w:w="23"/>
        <w:gridCol w:w="170"/>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includible in gross income for U.S. federal income tax purposes regardless of its source;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Tax Consequences of Ownership and Disposition of Common Shares and Public Warrants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Dividends and Other Distributions on Common Shares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PFIC rules discussed below under the heading “- </w:t>
      </w:r>
      <w:r>
        <w:rPr>
          <w:rFonts w:ascii="Times New Roman;Times;serif" w:hAnsi="Times New Roman;Times;serif"/>
          <w:i/>
          <w:sz w:val="20"/>
        </w:rPr>
        <w:t>Passive Foreign Investment Company Rules</w:t>
      </w:r>
      <w:r>
        <w:rPr>
          <w:rFonts w:ascii="Times New Roman;Times;serif" w:hAnsi="Times New Roman;Times;serif"/>
          <w:sz w:val="20"/>
        </w:rPr>
        <w:t>,”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Times;serif" w:hAnsi="Times New Roman;Times;serif"/>
          <w:i/>
          <w:sz w:val="20"/>
        </w:rPr>
        <w:t>Tax Consequences of Ownership and Disposition of Common Shares and Public Warrants - Sale, Taxable Exchange or Other Taxable Disposition of Common Shares and Public Warrants.</w:t>
      </w:r>
      <w:r>
        <w:rPr>
          <w:rFonts w:ascii="Times New Roman;Times;serif" w:hAnsi="Times New Roman;Times;serif"/>
          <w:sz w:val="20"/>
        </w:rPr>
        <w:t>” The amount of any such distribution will include any amounts withheld by us (or another applicable withholding agent) in respect of Canadian income taxes. Any amount treated as dividend income will be treated as foreign-source dividend income. Amounts treated as dividends that the Company pays to a U.S. Holder that is a taxable corporation generally will be taxed at regular corporate income tax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in the year that the dividend is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applicable limitations, non-refundable Canadian income taxes withheld from dividends on Common Shares at a rate not exceeding the rate provided by the applicable treaty with the United States will be eligible for credit against the U.S. Holder’s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Sale, Taxable Exchange or Other Taxable Disposition of Common Shares and Public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PFIC rules discussed below under the heading “- </w:t>
      </w:r>
      <w:r>
        <w:rPr>
          <w:rFonts w:ascii="Times New Roman;Times;serif" w:hAnsi="Times New Roman;Times;serif"/>
          <w:i/>
          <w:sz w:val="20"/>
        </w:rPr>
        <w:t>Passive Foreign Investment Company Rules</w:t>
      </w:r>
      <w:r>
        <w:rPr>
          <w:rFonts w:ascii="Times New Roman;Times;serif" w:hAnsi="Times New Roman;Times;serif"/>
          <w:sz w:val="20"/>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under the heading “</w:t>
      </w:r>
      <w:r>
        <w:rPr>
          <w:rFonts w:ascii="Times New Roman;Times;serif" w:hAnsi="Times New Roman;Times;serif"/>
          <w:i/>
          <w:sz w:val="20"/>
        </w:rPr>
        <w:t>- Tax Consequences of Ownership and Disposition of Common Shares and Public Warrants - Exercise or Lapse of a Public Warrant</w:t>
      </w:r>
      <w:r>
        <w:rPr>
          <w:rFonts w:ascii="Times New Roman;Times;serif" w:hAnsi="Times New Roman;Times;serif"/>
          <w:sz w:val="20"/>
        </w:rPr>
        <w:t>”). Any such gain or loss generally will be capital gain or loss and will be long-term capital gain or loss if the U.S. Holder’s holding period for such Common Shares or public warrants exceeds one (1) year. Long-term capital gain realized by a non-corporate U.S. Holder generally will be taxable at a reduced rate. The deduction of capital losses is subject to limitations. This gain or loss generally will be treated as U.S. source gain or loss.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Exercise or Lapse of a Public Warrant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Times;serif" w:hAnsi="Times New Roman;Times;serif"/>
          <w:i/>
          <w:sz w:val="20"/>
        </w:rPr>
        <w:t>i.e., </w:t>
      </w:r>
      <w:r>
        <w:rPr>
          <w:rFonts w:ascii="Times New Roman;Times;serif" w:hAnsi="Times New Roman;Times;serif"/>
          <w:sz w:val="20"/>
        </w:rPr>
        <w:t>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redeems public warrants for cash or if the Company purchases public warrants in an open market transaction, such redemption or purchase generally will be treated as a taxable disposition to the U.S. Holder, taxed as described above under the heading “- </w:t>
      </w:r>
      <w:r>
        <w:rPr>
          <w:rFonts w:ascii="Times New Roman;Times;serif" w:hAnsi="Times New Roman;Times;serif"/>
          <w:i/>
          <w:sz w:val="20"/>
        </w:rPr>
        <w:t>Tax Consequences of Ownership and Disposition of Common Shares and Public Warrants - Sale, Taxable Exchange or Other Taxable Disposition of Common Shares and Public Warrants</w:t>
      </w:r>
      <w:r>
        <w:rPr>
          <w:rFonts w:ascii="Times New Roman;Times;serif" w:hAnsi="Times New Roman;Times;serif"/>
          <w:sz w:val="2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Adjustment to Exercise Price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Times;serif" w:hAnsi="Times New Roman;Times;serif"/>
          <w:i/>
          <w:sz w:val="20"/>
        </w:rPr>
        <w:t>Tax Consequences of Ownership and Disposition of Common Shares and Public Warrants - Dividends and Other Distributions on Common Shares</w:t>
      </w:r>
      <w:r>
        <w:rPr>
          <w:rFonts w:ascii="Times New Roman;Times;serif" w:hAnsi="Times New Roman;Times;serif"/>
          <w:sz w:val="20"/>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treatment of U.S. Holders of Common Shares and public warrants could be materially different from that described above if the Company is treated as a PFIC for U.S. federal income tax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our initial assessment, we do not believe that the Company was classified as a PFIC for U.S. federal income tax purposes for the taxable year ending December 31, 2025.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these rules: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ratably over the U.S. Holder’s holding period for the Common Shares;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other taxable years (or portions thereof) of the U.S. Holder and included in its holding period will be taxed at the highest tax rate in effect for that year and applicable to the U.S. Holder;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PFIC Elections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mark-to-market election is available only for “marketable stock,” generally, stock that is regularly traded on a national securities exchange that is registered with the SEC, including the Nasdaq (on which Common Shares are currently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Related PFIC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amount of any backup withholding from a payment to a U.S. Holder will be allowed as a credit against the holder’s U.S. federal income tax liability and may entitle it to a refund, provided that the required information is timely furnished to the IRS.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Material Canadian Federal Income Tax Considerations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as of the date hereof, a summary of the principal Canadian federal income tax considerations pursuant to the </w:t>
      </w:r>
      <w:r>
        <w:rPr>
          <w:rFonts w:ascii="Times New Roman;Times;serif" w:hAnsi="Times New Roman;Times;serif"/>
          <w:i/>
          <w:sz w:val="20"/>
        </w:rPr>
        <w:t>Income Tax Act </w:t>
      </w:r>
      <w:r>
        <w:rPr>
          <w:rFonts w:ascii="Times New Roman;Times;serif" w:hAnsi="Times New Roman;Times;serif"/>
          <w:sz w:val="20"/>
        </w:rPr>
        <w:t>(Canada) and the regulations thereunder,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 (a “Non-Resident Holder”).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summary applies only to a Non-Resident Holder who, at all relevant times, for purposes of the Tax Act:</w:t>
      </w:r>
    </w:p>
    <w:tbl>
      <w:tblPr>
        <w:tblW w:w="5493" w:type="dxa"/>
        <w:jc w:val="left"/>
        <w:tblInd w:w="0" w:type="dxa"/>
        <w:tblLayout w:type="fixed"/>
        <w:tblCellMar>
          <w:top w:w="0" w:type="dxa"/>
          <w:left w:w="0" w:type="dxa"/>
          <w:bottom w:w="0" w:type="dxa"/>
          <w:right w:w="0" w:type="dxa"/>
        </w:tblCellMar>
      </w:tblPr>
      <w:tblGrid>
        <w:gridCol w:w="23"/>
        <w:gridCol w:w="170"/>
        <w:gridCol w:w="5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holds Common Shares and/or public warrants as capital property;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and is not deemed to, use or hold Common Shares or public warrants in the course of carrying on a business in Canada; and</w:t>
            </w:r>
          </w:p>
        </w:tc>
      </w:tr>
    </w:tbl>
    <w:tbl>
      <w:tblPr>
        <w:tblW w:w="4173" w:type="dxa"/>
        <w:jc w:val="left"/>
        <w:tblInd w:w="0" w:type="dxa"/>
        <w:tblLayout w:type="fixed"/>
        <w:tblCellMar>
          <w:top w:w="0" w:type="dxa"/>
          <w:left w:w="0" w:type="dxa"/>
          <w:bottom w:w="0" w:type="dxa"/>
          <w:right w:w="0" w:type="dxa"/>
        </w:tblCellMar>
      </w:tblPr>
      <w:tblGrid>
        <w:gridCol w:w="23"/>
        <w:gridCol w:w="170"/>
        <w:gridCol w:w="3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deals at arm’s length and is not affiliated with us.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Special rules, which are not discussed in this summary, may apply to a Non-Resident Holder that is an insurer that carries on an insurance business in Canada and elsewhere or an “authorized foreign bank” (as defined in the Tax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Generally, for the purposes of the Tax Act, all amounts relating to the acquisition, holding and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Adjusted Cost Base of Common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adjusted cost base to a Non-Resident Holder of a Common Share acquired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Exercise of Public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Dividends on Common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that are or are deemed to be paid or credited to a Non-Resident Holder who is resident in the U.S. for purposes of the Treaty, the beneficial owner of such dividends, and entitled to benefits under the Treaty, to 15% of the gross amount of the dividend. The Company is required to withhold the applicable tax from dividends that are or are deemed to be paid or credited to the Non-Resident Holder, and to remit the tax to the Receiver General of Canada for the account of the Non-Resident Holder.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Dispositions of Common Shares and Public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(as applicable) are “taxable Canadian property” of the Non-Resident Holder for purposes of the Tax Act and the Non-Resident Holder is not entitled to relief under the Treaty or any other applicable income tax treaty or convention.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Generally, the Common Shares and public warrants will not constitute “taxable Canadian property” of a Non-Resident Holder for purposes of the Tax Act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tbl>
      <w:tblPr>
        <w:tblW w:w="10205" w:type="dxa"/>
        <w:jc w:val="left"/>
        <w:tblInd w:w="0" w:type="dxa"/>
        <w:tblLayout w:type="fixed"/>
        <w:tblCellMar>
          <w:top w:w="0" w:type="dxa"/>
          <w:left w:w="0" w:type="dxa"/>
          <w:bottom w:w="0" w:type="dxa"/>
          <w:right w:w="0" w:type="dxa"/>
        </w:tblCellMar>
      </w:tblPr>
      <w:tblGrid>
        <w:gridCol w:w="23"/>
        <w:gridCol w:w="136"/>
        <w:gridCol w:w="10046"/>
      </w:tblGrid>
      <w:tr>
        <w:trPr/>
        <w:tc>
          <w:tcPr>
            <w:tcW w:w="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Non-Resident Holder, (b) persons with whom the Non-Resident Holder does not deal at arm’s length (for the purposes of the Tax Act), (c) partnerships in which the Non-Resident Holder or a person described in (b) holds an interest directly or indirectly through one or more partnerships, or (d) any combination of persons or partnerships described in (a) to (c), owned 25% or more of the issued shares of any class or series of our capital stock; and</w:t>
            </w:r>
          </w:p>
        </w:tc>
      </w:tr>
    </w:tbl>
    <w:tbl>
      <w:tblPr>
        <w:tblW w:w="10205" w:type="dxa"/>
        <w:jc w:val="left"/>
        <w:tblInd w:w="0" w:type="dxa"/>
        <w:tblLayout w:type="fixed"/>
        <w:tblCellMar>
          <w:top w:w="0" w:type="dxa"/>
          <w:left w:w="0" w:type="dxa"/>
          <w:bottom w:w="0" w:type="dxa"/>
          <w:right w:w="0" w:type="dxa"/>
        </w:tblCellMar>
      </w:tblPr>
      <w:tblGrid>
        <w:gridCol w:w="23"/>
        <w:gridCol w:w="136"/>
        <w:gridCol w:w="10046"/>
      </w:tblGrid>
      <w:tr>
        <w:trPr/>
        <w:tc>
          <w:tcPr>
            <w:tcW w:w="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any of the foregoing property, whether or not the property exists.</w:t>
            </w:r>
          </w:p>
        </w:tc>
      </w:tr>
    </w:tbl>
    <w:p>
      <w:pPr>
        <w:pStyle w:val="TextBody"/>
        <w:bidi w:val="0"/>
        <w:spacing w:before="0" w:after="0"/>
        <w:ind w:left="80" w:right="0" w:hanging="0"/>
        <w:jc w:val="both"/>
        <w:rPr>
          <w:rFonts w:ascii="Times New Roman;Times;serif" w:hAnsi="Times New Roman;Times;serif"/>
          <w:b/>
          <w:sz w:val="20"/>
        </w:rPr>
      </w:pPr>
      <w:r>
        <w:rPr>
          <w:rFonts w:ascii="Times New Roman;Times;serif" w:hAnsi="Times New Roman;Times;serif"/>
          <w:b/>
          <w:sz w:val="20"/>
        </w:rPr>
        <w:t>NOTWITHSTANDING THE FOREGOING, IN CERTAIN CIRCUMSTANCES SET OUT IN THE TAX ACT, COMMON SHARES AND PUBLIC WARRANTS MAY CONSTITUTE DEEMED TO BE TAXABLE CANADIAN PROPERTY. NON-RESIDENT HOLDERS WHOSE COMMON SHARES OR PUBLIC WARRANTS MAY CONSTITUTE TAXABLE CANADIAN PROPERTY SHOULD CONSULT THEIR OWN TAX ADVISORS.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007" w:name="tmc-20251231xex19.htm"/>
      <w:bookmarkStart w:id="2008" w:name="kstmc20251231xex19"/>
      <w:bookmarkEnd w:id="2007"/>
      <w:bookmarkEnd w:id="2008"/>
      <w:r>
        <w:rPr/>
        <w:t>​</w:t>
      </w:r>
      <w:r>
        <w:br w:type="page"/>
      </w:r>
    </w:p>
    <w:p>
      <w:pPr>
        <w:pStyle w:val="TextBody"/>
        <w:bidi w:val="0"/>
        <w:spacing w:before="0" w:after="279"/>
        <w:ind w:left="0" w:right="0" w:hanging="0"/>
        <w:jc w:val="right"/>
        <w:rPr>
          <w:rFonts w:ascii="Times New Roman;Times;serif" w:hAnsi="Times New Roman;Times;serif"/>
          <w:sz w:val="20"/>
        </w:rPr>
      </w:pPr>
      <w:r>
        <w:rPr>
          <w:rFonts w:ascii="Times New Roman;Times;serif" w:hAnsi="Times New Roman;Times;serif"/>
          <w:sz w:val="20"/>
        </w:rPr>
        <w:t>Exhibit 19</w:t>
      </w:r>
    </w:p>
    <w:p>
      <w:pPr>
        <w:pStyle w:val="TextBody"/>
        <w:bidi w:val="0"/>
        <w:spacing w:before="0" w:after="279"/>
        <w:ind w:left="0" w:right="0" w:hanging="0"/>
        <w:jc w:val="right"/>
        <w:rPr/>
      </w:pPr>
      <w:r>
        <w:rPr/>
        <w:drawing>
          <wp:inline distT="0" distB="0" distL="0" distR="0">
            <wp:extent cx="1655445" cy="414655"/>
            <wp:effectExtent l="0" t="0" r="0" b="0"/>
            <wp:docPr id="47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5" descr=""/>
                    <pic:cNvPicPr>
                      <a:picLocks noChangeAspect="1" noChangeArrowheads="1"/>
                    </pic:cNvPicPr>
                  </pic:nvPicPr>
                  <pic:blipFill>
                    <a:blip r:embed="rId79"/>
                    <a:stretch>
                      <a:fillRect/>
                    </a:stretch>
                  </pic:blipFill>
                  <pic:spPr bwMode="auto">
                    <a:xfrm>
                      <a:off x="0" y="0"/>
                      <a:ext cx="1655445" cy="414655"/>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8899" w:type="dxa"/>
        <w:jc w:val="center"/>
        <w:tblInd w:w="0" w:type="dxa"/>
        <w:tblLayout w:type="fixed"/>
        <w:tblCellMar>
          <w:top w:w="0" w:type="dxa"/>
          <w:left w:w="0" w:type="dxa"/>
          <w:bottom w:w="0" w:type="dxa"/>
          <w:right w:w="0" w:type="dxa"/>
        </w:tblCellMar>
      </w:tblPr>
      <w:tblGrid>
        <w:gridCol w:w="481"/>
        <w:gridCol w:w="7531"/>
        <w:gridCol w:w="346"/>
        <w:gridCol w:w="541"/>
      </w:tblGrid>
      <w:tr>
        <w:trPr/>
        <w:tc>
          <w:tcPr>
            <w:tcW w:w="48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Need for an Insider Trading Policy</w:t>
            </w:r>
          </w:p>
        </w:tc>
        <w:tc>
          <w:tcPr>
            <w:tcW w:w="346" w:type="dxa"/>
            <w:tcBorders/>
            <w:vAlign w:val="center"/>
          </w:tcPr>
          <w:p>
            <w:pPr>
              <w:pStyle w:val="TableContents"/>
              <w:bidi w:val="0"/>
              <w:spacing w:before="0" w:after="0"/>
              <w:ind w:left="0" w:right="0" w:hanging="0"/>
              <w:jc w:val="left"/>
              <w:rPr/>
            </w:pPr>
            <w:r>
              <w:rPr/>
              <w:t>​</w:t>
            </w:r>
          </w:p>
        </w:tc>
        <w:tc>
          <w:tcPr>
            <w:tcW w:w="5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What is Material Non-Public Information?</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III.</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Consequences of Insider Trading</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- 2 -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IV.</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Policy</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48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Prohibition on Trading</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48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Transactions by Family Members, Others in Your Household and Entities You Control</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48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Companies’ Non-public Information</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48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Personal or Independent Reasons Are Not Exceptions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48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Policy Administrator</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48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When Information Becomes Public</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48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Prohibited Trading Periods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48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Exceptions for Certain Transactions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- 5 -</w:t>
            </w:r>
          </w:p>
        </w:tc>
      </w:tr>
      <w:tr>
        <w:trPr/>
        <w:tc>
          <w:tcPr>
            <w:tcW w:w="48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Pre-Clearance of All Acquisitions, Sales and Other Transfers by Certain Company Personnel</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- 6 -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Individual Responsibility</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- 7 -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Prohibited Transactions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- 8 -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VII.</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Post-Termination Transactions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- 8 -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VIII.</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Assistance</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- 8 -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w:t>
            </w:r>
          </w:p>
        </w:tc>
        <w:tc>
          <w:tcPr>
            <w:tcW w:w="7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Certifications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- 8 -</w:t>
            </w:r>
          </w:p>
        </w:tc>
      </w:tr>
    </w:tbl>
    <w:p>
      <w:pPr>
        <w:pStyle w:val="TextBody"/>
        <w:bidi w:val="0"/>
        <w:spacing w:before="0" w:after="0"/>
        <w:ind w:left="0" w:right="0" w:hanging="0"/>
        <w:jc w:val="left"/>
        <w:rPr/>
      </w:pPr>
      <w:r>
        <w:rPr/>
        <w:t>​</w:t>
      </w:r>
    </w:p>
    <w:p>
      <w:pPr>
        <w:pStyle w:val="TextBody"/>
        <w:bidi w:val="0"/>
        <w:spacing w:before="0" w:after="5664"/>
        <w:ind w:left="0" w:right="0" w:hanging="0"/>
        <w:jc w:val="left"/>
        <w:rPr/>
      </w:pPr>
      <w:r>
        <w:rPr/>
        <w:t>​</w:t>
      </w:r>
    </w:p>
    <w:p>
      <w:pPr>
        <w:pStyle w:val="TextBody"/>
        <w:bidi w:val="0"/>
        <w:spacing w:before="0" w:after="5664"/>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pPr>
      <w:r>
        <w:rPr/>
        <w:drawing>
          <wp:inline distT="0" distB="0" distL="0" distR="0">
            <wp:extent cx="1655445" cy="414655"/>
            <wp:effectExtent l="0" t="0" r="0" b="0"/>
            <wp:docPr id="47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6" descr=""/>
                    <pic:cNvPicPr>
                      <a:picLocks noChangeAspect="1" noChangeArrowheads="1"/>
                    </pic:cNvPicPr>
                  </pic:nvPicPr>
                  <pic:blipFill>
                    <a:blip r:embed="rId80"/>
                    <a:stretch>
                      <a:fillRect/>
                    </a:stretch>
                  </pic:blipFill>
                  <pic:spPr bwMode="auto">
                    <a:xfrm>
                      <a:off x="0" y="0"/>
                      <a:ext cx="1655445" cy="414655"/>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Insider Trading Policy</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TMC the metals company Inc. (the “</w:t>
      </w:r>
      <w:r>
        <w:rPr>
          <w:rFonts w:ascii="Times New Roman;Times;serif" w:hAnsi="Times New Roman;Times;serif"/>
          <w:sz w:val="20"/>
          <w:u w:val="single"/>
        </w:rPr>
        <w:t>Company</w:t>
      </w:r>
      <w:r>
        <w:rPr>
          <w:rFonts w:ascii="Times New Roman;Times;serif" w:hAnsi="Times New Roman;Times;serif"/>
          <w:sz w:val="20"/>
        </w:rPr>
        <w:t>”) has adopted the following policy regarding trading by Company personnel (including contractors) in the Company’s securities (the “</w:t>
      </w:r>
      <w:r>
        <w:rPr>
          <w:rFonts w:ascii="Times New Roman;Times;serif" w:hAnsi="Times New Roman;Times;serif"/>
          <w:sz w:val="20"/>
          <w:u w:val="single"/>
        </w:rPr>
        <w:t>Insider Trading Policy</w:t>
      </w:r>
      <w:r>
        <w:rPr>
          <w:rFonts w:ascii="Times New Roman;Times;serif" w:hAnsi="Times New Roman;Times;serif"/>
          <w:sz w:val="20"/>
        </w:rPr>
        <w:t>,” or this “</w:t>
      </w:r>
      <w:r>
        <w:rPr>
          <w:rFonts w:ascii="Times New Roman;Times;serif" w:hAnsi="Times New Roman;Times;serif"/>
          <w:sz w:val="20"/>
          <w:u w:val="single"/>
        </w:rPr>
        <w:t>Policy</w:t>
      </w:r>
      <w:r>
        <w:rPr>
          <w:rFonts w:ascii="Times New Roman;Times;serif" w:hAnsi="Times New Roman;Times;serif"/>
          <w:sz w:val="20"/>
        </w:rPr>
        <w:t xml:space="preserve">”). This Policy applies to </w:t>
      </w:r>
      <w:r>
        <w:rPr>
          <w:rFonts w:ascii="Times New Roman;Times;serif" w:hAnsi="Times New Roman;Times;serif"/>
          <w:i/>
          <w:sz w:val="20"/>
        </w:rPr>
        <w:t xml:space="preserve">all </w:t>
      </w:r>
      <w:r>
        <w:rPr>
          <w:rFonts w:ascii="Times New Roman;Times;serif" w:hAnsi="Times New Roman;Times;serif"/>
          <w:sz w:val="20"/>
        </w:rPr>
        <w:t xml:space="preserve">Company personnel, including directors, officers, employees and consultants of the Company and its subsidiaries. This Policy also applies to certain family members, other members of a person’s household and entities controlled by Company personnel, as described in </w:t>
      </w:r>
      <w:r>
        <w:rPr>
          <w:rFonts w:ascii="Times New Roman;Times;serif" w:hAnsi="Times New Roman;Times;serif"/>
          <w:sz w:val="20"/>
          <w:u w:val="single"/>
        </w:rPr>
        <w:t>Section IV</w:t>
      </w:r>
      <w:r>
        <w:rPr>
          <w:rFonts w:ascii="Times New Roman;Times;serif" w:hAnsi="Times New Roman;Times;serif"/>
          <w:sz w:val="20"/>
        </w:rPr>
        <w:t xml:space="preserve">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The Need for an Insider Trading Policy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Policy has been developed:</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to educate all Company personnel as to the federal securities laws and the rules of the Securities and Exchange Commission (the “</w:t>
            </w:r>
            <w:r>
              <w:rPr>
                <w:rFonts w:ascii="Times New Roman;Times;serif" w:hAnsi="Times New Roman;Times;serif"/>
                <w:b w:val="false"/>
                <w:i w:val="false"/>
                <w:caps w:val="false"/>
                <w:smallCaps w:val="false"/>
                <w:sz w:val="20"/>
                <w:u w:val="single"/>
              </w:rPr>
              <w:t>SEC</w:t>
            </w:r>
            <w:r>
              <w:rPr>
                <w:caps w:val="false"/>
                <w:smallCaps w:val="false"/>
              </w:rPr>
              <w:t>”</w:t>
            </w:r>
            <w:r>
              <w:rPr>
                <w:rFonts w:ascii="Times New Roman;Times;serif" w:hAnsi="Times New Roman;Times;serif"/>
                <w:b w:val="false"/>
                <w:i w:val="false"/>
                <w:caps w:val="false"/>
                <w:smallCaps w:val="false"/>
                <w:sz w:val="20"/>
              </w:rPr>
              <w:t>) and other applicable jurisdictions on insider trading in public company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set forth requirements that apply to Company personnel and other persons covered by this Policy who seek to trade in the Company’s securities;</w:t>
            </w:r>
          </w:p>
        </w:tc>
      </w:tr>
    </w:tbl>
    <w:tbl>
      <w:tblPr>
        <w:tblW w:w="5538" w:type="dxa"/>
        <w:jc w:val="left"/>
        <w:tblInd w:w="0" w:type="dxa"/>
        <w:tblLayout w:type="fixed"/>
        <w:tblCellMar>
          <w:top w:w="0" w:type="dxa"/>
          <w:left w:w="0" w:type="dxa"/>
          <w:bottom w:w="0" w:type="dxa"/>
          <w:right w:w="0" w:type="dxa"/>
        </w:tblCellMar>
      </w:tblPr>
      <w:tblGrid>
        <w:gridCol w:w="23"/>
        <w:gridCol w:w="170"/>
        <w:gridCol w:w="5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the Company and its personnel from legal liability; and</w:t>
            </w:r>
          </w:p>
        </w:tc>
      </w:tr>
    </w:tbl>
    <w:tbl>
      <w:tblPr>
        <w:tblW w:w="7773" w:type="dxa"/>
        <w:jc w:val="left"/>
        <w:tblInd w:w="0" w:type="dxa"/>
        <w:tblLayout w:type="fixed"/>
        <w:tblCellMar>
          <w:top w:w="0" w:type="dxa"/>
          <w:left w:w="0" w:type="dxa"/>
          <w:bottom w:w="0" w:type="dxa"/>
          <w:right w:w="0" w:type="dxa"/>
        </w:tblCellMar>
      </w:tblPr>
      <w:tblGrid>
        <w:gridCol w:w="23"/>
        <w:gridCol w:w="170"/>
        <w:gridCol w:w="7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preserve the reputation of the Company and its personnel for integrity and ethical conduct.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Because the Company is a public company, transactions in the Company’s securities are subject to the federal securities laws and regulations adopted by the SEC and other applicable jurisdictions. These laws and regulations make it illegal for an individual to buy or sell securities of the Company while aware of </w:t>
      </w:r>
      <w:r>
        <w:rPr>
          <w:rFonts w:ascii="Times New Roman;Times;serif" w:hAnsi="Times New Roman;Times;serif"/>
          <w:b/>
          <w:i/>
          <w:sz w:val="20"/>
        </w:rPr>
        <w:t>material non-public information</w:t>
      </w:r>
      <w:r>
        <w:rPr>
          <w:rFonts w:ascii="Times New Roman;Times;serif" w:hAnsi="Times New Roman;Times;serif"/>
          <w:sz w:val="20"/>
        </w:rPr>
        <w:t>. The SEC and other applicable jurisdictions take insider trading very seriously and devotes significant resources to uncovering the activity and to prosecuting offenders. Liability may extend not only to the individuals who trade while in possession of material non-public information but also to their “tippers,” people who leak material non-public information to individuals who then trade based on that information. The Company and “controlling persons” of the Company may also be liable for violations by Company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II.</w:t>
      </w:r>
      <w:r>
        <w:rPr>
          <w:rFonts w:ascii="Times New Roman;Times;serif" w:hAnsi="Times New Roman;Times;serif"/>
          <w:b/>
          <w:sz w:val="20"/>
        </w:rPr>
        <w:t>What is Material Non-Public Information?</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Definition.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Material non-public information is any information (positive or negative) that:</w:t>
      </w:r>
    </w:p>
    <w:tbl>
      <w:tblPr>
        <w:tblW w:w="3543" w:type="dxa"/>
        <w:jc w:val="left"/>
        <w:tblInd w:w="0" w:type="dxa"/>
        <w:tblLayout w:type="fixed"/>
        <w:tblCellMar>
          <w:top w:w="0" w:type="dxa"/>
          <w:left w:w="0" w:type="dxa"/>
          <w:bottom w:w="0" w:type="dxa"/>
          <w:right w:w="0" w:type="dxa"/>
        </w:tblCellMar>
      </w:tblPr>
      <w:tblGrid>
        <w:gridCol w:w="23"/>
        <w:gridCol w:w="170"/>
        <w:gridCol w:w="33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generally known to the public, and</w:t>
            </w:r>
          </w:p>
        </w:tc>
      </w:tr>
    </w:tbl>
    <w:p>
      <w:pPr>
        <w:pStyle w:val="TextBody"/>
        <w:bidi w:val="0"/>
        <w:ind w:left="1080" w:right="0" w:hanging="0"/>
        <w:jc w:val="left"/>
        <w:rPr/>
      </w:pPr>
      <w:r>
        <w:rPr/>
        <w:t>●</w:t>
      </w:r>
      <w:r>
        <w:rPr>
          <w:rFonts w:ascii="Times New Roman;Times;serif" w:hAnsi="Times New Roman;Times;serif"/>
          <w:sz w:val="20"/>
        </w:rPr>
        <w:t>which, if publicly known, would likely affect either the market price of the Company’s securities or a person’s decision to buy, sell or hold the Company’s securities.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b/>
          <w:i/>
          <w:sz w:val="20"/>
        </w:rPr>
        <w:t xml:space="preserve">Examples. </w:t>
      </w:r>
      <w:r>
        <w:rPr>
          <w:rFonts w:ascii="Times New Roman;Times;serif" w:hAnsi="Times New Roman;Times;serif"/>
          <w:sz w:val="20"/>
        </w:rPr>
        <w:t>Common examples of information that will frequently be regarded as material include, but are not limited to:</w:t>
      </w:r>
    </w:p>
    <w:tbl>
      <w:tblPr>
        <w:tblW w:w="3123" w:type="dxa"/>
        <w:jc w:val="left"/>
        <w:tblInd w:w="0" w:type="dxa"/>
        <w:tblLayout w:type="fixed"/>
        <w:tblCellMar>
          <w:top w:w="0" w:type="dxa"/>
          <w:left w:w="0" w:type="dxa"/>
          <w:bottom w:w="0" w:type="dxa"/>
          <w:right w:w="0" w:type="dxa"/>
        </w:tblCellMar>
      </w:tblPr>
      <w:tblGrid>
        <w:gridCol w:w="23"/>
        <w:gridCol w:w="170"/>
        <w:gridCol w:w="29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or annual earnings results;</w:t>
            </w:r>
          </w:p>
        </w:tc>
      </w:tr>
    </w:tbl>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projections of future financial results;</w:t>
            </w:r>
          </w:p>
        </w:tc>
      </w:tr>
    </w:tbl>
    <w:tbl>
      <w:tblPr>
        <w:tblW w:w="4458" w:type="dxa"/>
        <w:jc w:val="left"/>
        <w:tblInd w:w="0" w:type="dxa"/>
        <w:tblLayout w:type="fixed"/>
        <w:tblCellMar>
          <w:top w:w="0" w:type="dxa"/>
          <w:left w:w="0" w:type="dxa"/>
          <w:bottom w:w="0" w:type="dxa"/>
          <w:right w:w="0" w:type="dxa"/>
        </w:tblCellMar>
      </w:tblPr>
      <w:tblGrid>
        <w:gridCol w:w="23"/>
        <w:gridCol w:w="170"/>
        <w:gridCol w:w="4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or loss of a significant customer or supplier;</w:t>
            </w:r>
          </w:p>
        </w:tc>
      </w:tr>
    </w:tbl>
    <w:tbl>
      <w:tblPr>
        <w:tblW w:w="8343" w:type="dxa"/>
        <w:jc w:val="left"/>
        <w:tblInd w:w="0" w:type="dxa"/>
        <w:tblLayout w:type="fixed"/>
        <w:tblCellMar>
          <w:top w:w="0" w:type="dxa"/>
          <w:left w:w="0" w:type="dxa"/>
          <w:bottom w:w="0" w:type="dxa"/>
          <w:right w:w="0" w:type="dxa"/>
        </w:tblCellMar>
      </w:tblPr>
      <w:tblGrid>
        <w:gridCol w:w="23"/>
        <w:gridCol w:w="170"/>
        <w:gridCol w:w="81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 acquisitions, tender offers, joint ventures, divestitures or other significant changes in assets;</w:t>
            </w:r>
          </w:p>
        </w:tc>
      </w:tr>
    </w:tbl>
    <w:tbl>
      <w:tblPr>
        <w:tblW w:w="2238" w:type="dxa"/>
        <w:jc w:val="left"/>
        <w:tblInd w:w="0" w:type="dxa"/>
        <w:tblLayout w:type="fixed"/>
        <w:tblCellMar>
          <w:top w:w="0" w:type="dxa"/>
          <w:left w:w="0" w:type="dxa"/>
          <w:bottom w:w="0" w:type="dxa"/>
          <w:right w:w="0" w:type="dxa"/>
        </w:tblCellMar>
      </w:tblPr>
      <w:tblGrid>
        <w:gridCol w:w="23"/>
        <w:gridCol w:w="170"/>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restructuring;</w:t>
            </w:r>
          </w:p>
        </w:tc>
      </w:tr>
    </w:tbl>
    <w:tbl>
      <w:tblPr>
        <w:tblW w:w="8118" w:type="dxa"/>
        <w:jc w:val="left"/>
        <w:tblInd w:w="0" w:type="dxa"/>
        <w:tblLayout w:type="fixed"/>
        <w:tblCellMar>
          <w:top w:w="0" w:type="dxa"/>
          <w:left w:w="0" w:type="dxa"/>
          <w:bottom w:w="0" w:type="dxa"/>
          <w:right w:w="0" w:type="dxa"/>
        </w:tblCellMar>
      </w:tblPr>
      <w:tblGrid>
        <w:gridCol w:w="23"/>
        <w:gridCol w:w="170"/>
        <w:gridCol w:w="7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news or developments in the Company’s business and/or product development efforts;</w:t>
            </w:r>
          </w:p>
        </w:tc>
      </w:tr>
    </w:tbl>
    <w:tbl>
      <w:tblPr>
        <w:tblW w:w="3138" w:type="dxa"/>
        <w:jc w:val="left"/>
        <w:tblInd w:w="0" w:type="dxa"/>
        <w:tblLayout w:type="fixed"/>
        <w:tblCellMar>
          <w:top w:w="0" w:type="dxa"/>
          <w:left w:w="0" w:type="dxa"/>
          <w:bottom w:w="0" w:type="dxa"/>
          <w:right w:w="0" w:type="dxa"/>
        </w:tblCellMar>
      </w:tblPr>
      <w:tblGrid>
        <w:gridCol w:w="23"/>
        <w:gridCol w:w="170"/>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 of significant technologies;</w:t>
            </w:r>
          </w:p>
        </w:tc>
      </w:tr>
    </w:tbl>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into, modification or termination of significant strategic alliances or collaborations;</w:t>
            </w:r>
          </w:p>
        </w:tc>
      </w:tr>
    </w:tbl>
    <w:tbl>
      <w:tblPr>
        <w:tblW w:w="9078" w:type="dxa"/>
        <w:jc w:val="left"/>
        <w:tblInd w:w="0" w:type="dxa"/>
        <w:tblLayout w:type="fixed"/>
        <w:tblCellMar>
          <w:top w:w="0" w:type="dxa"/>
          <w:left w:w="0" w:type="dxa"/>
          <w:bottom w:w="0" w:type="dxa"/>
          <w:right w:w="0" w:type="dxa"/>
        </w:tblCellMar>
      </w:tblPr>
      <w:tblGrid>
        <w:gridCol w:w="23"/>
        <w:gridCol w:w="170"/>
        <w:gridCol w:w="8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into agreements with significant new customers or for a significant quantity of the Company’s products;</w:t>
            </w:r>
          </w:p>
        </w:tc>
      </w:tr>
    </w:tbl>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transactions with officers, directors or greater than 5% shareholders;</w:t>
            </w:r>
          </w:p>
        </w:tc>
      </w:tr>
    </w:tbl>
    <w:tbl>
      <w:tblPr>
        <w:tblW w:w="1083" w:type="dxa"/>
        <w:jc w:val="left"/>
        <w:tblInd w:w="0" w:type="dxa"/>
        <w:tblLayout w:type="fixed"/>
        <w:tblCellMar>
          <w:top w:w="0" w:type="dxa"/>
          <w:left w:w="0" w:type="dxa"/>
          <w:bottom w:w="0" w:type="dxa"/>
          <w:right w:w="0" w:type="dxa"/>
        </w:tblCellMar>
      </w:tblPr>
      <w:tblGrid>
        <w:gridCol w:w="23"/>
        <w:gridCol w:w="170"/>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r>
    </w:tbl>
    <w:tbl>
      <w:tblPr>
        <w:tblW w:w="1188" w:type="dxa"/>
        <w:jc w:val="left"/>
        <w:tblInd w:w="0" w:type="dxa"/>
        <w:tblLayout w:type="fixed"/>
        <w:tblCellMar>
          <w:top w:w="0" w:type="dxa"/>
          <w:left w:w="0" w:type="dxa"/>
          <w:bottom w:w="0" w:type="dxa"/>
          <w:right w:w="0" w:type="dxa"/>
        </w:tblCellMar>
      </w:tblPr>
      <w:tblGrid>
        <w:gridCol w:w="23"/>
        <w:gridCol w:w="170"/>
        <w:gridCol w:w="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splits;</w:t>
            </w:r>
          </w:p>
        </w:tc>
      </w:tr>
    </w:tbl>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changes or changes in control;</w:t>
            </w:r>
          </w:p>
        </w:tc>
      </w:tr>
    </w:tbl>
    <w:tbl>
      <w:tblPr>
        <w:tblW w:w="5583" w:type="dxa"/>
        <w:jc w:val="left"/>
        <w:tblInd w:w="0" w:type="dxa"/>
        <w:tblLayout w:type="fixed"/>
        <w:tblCellMar>
          <w:top w:w="0" w:type="dxa"/>
          <w:left w:w="0" w:type="dxa"/>
          <w:bottom w:w="0" w:type="dxa"/>
          <w:right w:w="0" w:type="dxa"/>
        </w:tblCellMar>
      </w:tblPr>
      <w:tblGrid>
        <w:gridCol w:w="23"/>
        <w:gridCol w:w="170"/>
        <w:gridCol w:w="5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or private sale of additional securities by the Company;</w:t>
            </w:r>
          </w:p>
        </w:tc>
      </w:tr>
    </w:tbl>
    <w:tbl>
      <w:tblPr>
        <w:tblW w:w="6333" w:type="dxa"/>
        <w:jc w:val="left"/>
        <w:tblInd w:w="0" w:type="dxa"/>
        <w:tblLayout w:type="fixed"/>
        <w:tblCellMar>
          <w:top w:w="0" w:type="dxa"/>
          <w:left w:w="0" w:type="dxa"/>
          <w:bottom w:w="0" w:type="dxa"/>
          <w:right w:w="0" w:type="dxa"/>
        </w:tblCellMar>
      </w:tblPr>
      <w:tblGrid>
        <w:gridCol w:w="23"/>
        <w:gridCol w:w="170"/>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threatened significant litigation, arbitrations or similar disputes;</w:t>
            </w:r>
          </w:p>
        </w:tc>
      </w:tr>
    </w:tbl>
    <w:tbl>
      <w:tblPr>
        <w:tblW w:w="6633" w:type="dxa"/>
        <w:jc w:val="left"/>
        <w:tblInd w:w="0" w:type="dxa"/>
        <w:tblLayout w:type="fixed"/>
        <w:tblCellMar>
          <w:top w:w="0" w:type="dxa"/>
          <w:left w:w="0" w:type="dxa"/>
          <w:bottom w:w="0" w:type="dxa"/>
          <w:right w:w="0" w:type="dxa"/>
        </w:tblCellMar>
      </w:tblPr>
      <w:tblGrid>
        <w:gridCol w:w="23"/>
        <w:gridCol w:w="170"/>
        <w:gridCol w:w="64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by the Company of a program to buy the Company’s own shares;</w:t>
            </w:r>
          </w:p>
        </w:tc>
      </w:tr>
    </w:tbl>
    <w:tbl>
      <w:tblPr>
        <w:tblW w:w="5058" w:type="dxa"/>
        <w:jc w:val="left"/>
        <w:tblInd w:w="0" w:type="dxa"/>
        <w:tblLayout w:type="fixed"/>
        <w:tblCellMar>
          <w:top w:w="0" w:type="dxa"/>
          <w:left w:w="0" w:type="dxa"/>
          <w:bottom w:w="0" w:type="dxa"/>
          <w:right w:w="0" w:type="dxa"/>
        </w:tblCellMar>
      </w:tblPr>
      <w:tblGrid>
        <w:gridCol w:w="23"/>
        <w:gridCol w:w="17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into, amendment or termination of a material contract;</w:t>
            </w:r>
          </w:p>
        </w:tc>
      </w:tr>
    </w:tbl>
    <w:tbl>
      <w:tblPr>
        <w:tblW w:w="6498" w:type="dxa"/>
        <w:jc w:val="left"/>
        <w:tblInd w:w="0" w:type="dxa"/>
        <w:tblLayout w:type="fixed"/>
        <w:tblCellMar>
          <w:top w:w="0" w:type="dxa"/>
          <w:left w:w="0" w:type="dxa"/>
          <w:bottom w:w="0" w:type="dxa"/>
          <w:right w:w="0" w:type="dxa"/>
        </w:tblCellMar>
      </w:tblPr>
      <w:tblGrid>
        <w:gridCol w:w="23"/>
        <w:gridCol w:w="170"/>
        <w:gridCol w:w="6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or loss of a significant contract, license, registration or collaboration;</w:t>
            </w:r>
          </w:p>
        </w:tc>
      </w:tr>
    </w:tbl>
    <w:tbl>
      <w:tblPr>
        <w:tblW w:w="9513" w:type="dxa"/>
        <w:jc w:val="left"/>
        <w:tblInd w:w="0" w:type="dxa"/>
        <w:tblLayout w:type="fixed"/>
        <w:tblCellMar>
          <w:top w:w="0" w:type="dxa"/>
          <w:left w:w="0" w:type="dxa"/>
          <w:bottom w:w="0" w:type="dxa"/>
          <w:right w:w="0" w:type="dxa"/>
        </w:tblCellMar>
      </w:tblPr>
      <w:tblGrid>
        <w:gridCol w:w="23"/>
        <w:gridCol w:w="17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disagreements with auditors, or a notification that the auditor’s reports may no longer be relied upon;</w:t>
            </w:r>
          </w:p>
        </w:tc>
      </w:tr>
    </w:tbl>
    <w:tbl>
      <w:tblPr>
        <w:tblW w:w="4038" w:type="dxa"/>
        <w:jc w:val="left"/>
        <w:tblInd w:w="0" w:type="dxa"/>
        <w:tblLayout w:type="fixed"/>
        <w:tblCellMar>
          <w:top w:w="0" w:type="dxa"/>
          <w:left w:w="0" w:type="dxa"/>
          <w:bottom w:w="0" w:type="dxa"/>
          <w:right w:w="0" w:type="dxa"/>
        </w:tblCellMar>
      </w:tblPr>
      <w:tblGrid>
        <w:gridCol w:w="23"/>
        <w:gridCol w:w="170"/>
        <w:gridCol w:w="38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deterioration in the Company’s credit status; or</w:t>
            </w:r>
          </w:p>
        </w:tc>
      </w:tr>
    </w:tbl>
    <w:tbl>
      <w:tblPr>
        <w:tblW w:w="6708" w:type="dxa"/>
        <w:jc w:val="left"/>
        <w:tblInd w:w="0" w:type="dxa"/>
        <w:tblLayout w:type="fixed"/>
        <w:tblCellMar>
          <w:top w:w="0" w:type="dxa"/>
          <w:left w:w="0" w:type="dxa"/>
          <w:bottom w:w="0" w:type="dxa"/>
          <w:right w:w="0" w:type="dxa"/>
        </w:tblCellMar>
      </w:tblPr>
      <w:tblGrid>
        <w:gridCol w:w="23"/>
        <w:gridCol w:w="170"/>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that require the filing of a Current Report on Form 8-K with the SEC.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Twenty-Twenty Hindsight. </w:t>
      </w:r>
      <w:r>
        <w:rPr>
          <w:rFonts w:ascii="Times New Roman;Times;serif" w:hAnsi="Times New Roman;Times;serif"/>
          <w:sz w:val="20"/>
        </w:rPr>
        <w:t>In determining whether information is material, the SEC and other regulators will view the information after-the-fact with the benefit of hindsight. As a result, in determining whether any information is material, we will, and you should, carefully 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addressing the relevant statutes and regulations in this area, we are adopting this Policy to avoid even the appearance of improper conduct on the part of anyone employed by or associated with the Company and certain related persons, not just members of senior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III.</w:t>
      </w:r>
      <w:r>
        <w:rPr>
          <w:rFonts w:ascii="Times New Roman;Times;serif" w:hAnsi="Times New Roman;Times;serif"/>
          <w:b/>
          <w:sz w:val="20"/>
        </w:rPr>
        <w:t>The Consequences of Insider Trading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consequences of insider trading violations can be severe, including the following under US federal securities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u w:val="single"/>
        </w:rPr>
        <w:t>For individuals</w:t>
      </w:r>
      <w:r>
        <w:rPr>
          <w:rFonts w:ascii="Times New Roman;Times;serif" w:hAnsi="Times New Roman;Times;serif"/>
          <w:sz w:val="20"/>
        </w:rPr>
        <w:t xml:space="preserve"> who trade while in possession of material non-public information (or tip information to others):</w:t>
      </w:r>
    </w:p>
    <w:tbl>
      <w:tblPr>
        <w:tblW w:w="5718" w:type="dxa"/>
        <w:jc w:val="left"/>
        <w:tblInd w:w="0" w:type="dxa"/>
        <w:tblLayout w:type="fixed"/>
        <w:tblCellMar>
          <w:top w:w="0" w:type="dxa"/>
          <w:left w:w="0" w:type="dxa"/>
          <w:bottom w:w="0" w:type="dxa"/>
          <w:right w:w="0" w:type="dxa"/>
        </w:tblCellMar>
      </w:tblPr>
      <w:tblGrid>
        <w:gridCol w:w="23"/>
        <w:gridCol w:w="170"/>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civil penalty of up to three times the profit gained or loss avoided;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958" w:type="dxa"/>
        <w:jc w:val="left"/>
        <w:tblInd w:w="0" w:type="dxa"/>
        <w:tblLayout w:type="fixed"/>
        <w:tblCellMar>
          <w:top w:w="0" w:type="dxa"/>
          <w:left w:w="0" w:type="dxa"/>
          <w:bottom w:w="0" w:type="dxa"/>
          <w:right w:w="0" w:type="dxa"/>
        </w:tblCellMar>
      </w:tblPr>
      <w:tblGrid>
        <w:gridCol w:w="23"/>
        <w:gridCol w:w="170"/>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criminal fine (no matter how small the profit) of up to $5 million; and</w:t>
            </w:r>
          </w:p>
        </w:tc>
      </w:tr>
    </w:tbl>
    <w:tbl>
      <w:tblPr>
        <w:tblW w:w="2463" w:type="dxa"/>
        <w:jc w:val="left"/>
        <w:tblInd w:w="0" w:type="dxa"/>
        <w:tblLayout w:type="fixed"/>
        <w:tblCellMar>
          <w:top w:w="0" w:type="dxa"/>
          <w:left w:w="0" w:type="dxa"/>
          <w:bottom w:w="0" w:type="dxa"/>
          <w:right w:w="0" w:type="dxa"/>
        </w:tblCellMar>
      </w:tblPr>
      <w:tblGrid>
        <w:gridCol w:w="23"/>
        <w:gridCol w:w="170"/>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jail term of up to 20 years.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penalties can apply even if the individual is not a member of the Board of Directors or an officer of the Company. Moreover, if an employee violates this Policy, he or she may also be subject to Company-imposed sanctions, including termination for cause.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For a company</w:t>
      </w:r>
      <w:r>
        <w:rPr>
          <w:rFonts w:ascii="Times New Roman;Times;serif" w:hAnsi="Times New Roman;Times;serif"/>
          <w:sz w:val="20"/>
        </w:rPr>
        <w:t xml:space="preserve"> (as well as possibly any supervisory person) that fails to take appropriate steps to prevent illegal trading: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civil penalty of the greater of $1 million or three times the profit gained or loss avoided as a result of the employee’s violation; and</w:t>
            </w:r>
          </w:p>
        </w:tc>
      </w:tr>
    </w:tbl>
    <w:tbl>
      <w:tblPr>
        <w:tblW w:w="3408" w:type="dxa"/>
        <w:jc w:val="left"/>
        <w:tblInd w:w="0" w:type="dxa"/>
        <w:tblLayout w:type="fixed"/>
        <w:tblCellMar>
          <w:top w:w="0" w:type="dxa"/>
          <w:left w:w="0" w:type="dxa"/>
          <w:bottom w:w="0" w:type="dxa"/>
          <w:right w:w="0" w:type="dxa"/>
        </w:tblCellMar>
      </w:tblPr>
      <w:tblGrid>
        <w:gridCol w:w="23"/>
        <w:gridCol w:w="170"/>
        <w:gridCol w:w="32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criminal penalty of up to $25 million.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 above consequences, including an SEC investigation that does not result in prosecution, can tarnish the Company’s or an individual’s reputation and irreparably damage a career.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IV.</w:t>
      </w:r>
      <w:r>
        <w:rPr>
          <w:rFonts w:ascii="Times New Roman;Times;serif" w:hAnsi="Times New Roman;Times;serif"/>
          <w:b/>
          <w:sz w:val="20"/>
        </w:rPr>
        <w:t>Our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General Prohibition on Trading. </w:t>
      </w:r>
      <w:r>
        <w:rPr>
          <w:rFonts w:ascii="Times New Roman;Times;serif" w:hAnsi="Times New Roman;Times;serif"/>
          <w:sz w:val="20"/>
        </w:rPr>
        <w:t xml:space="preserve">Company personnel and Related Persons (as defined below in this </w:t>
      </w:r>
      <w:r>
        <w:rPr>
          <w:rFonts w:ascii="Times New Roman;Times;serif" w:hAnsi="Times New Roman;Times;serif"/>
          <w:sz w:val="20"/>
          <w:u w:val="single"/>
        </w:rPr>
        <w:t>Section IV</w:t>
      </w:r>
      <w:r>
        <w:rPr>
          <w:rFonts w:ascii="Times New Roman;Times;serif" w:hAnsi="Times New Roman;Times;serif"/>
          <w:sz w:val="20"/>
        </w:rPr>
        <w:t xml:space="preserve">) may not buy or sell securities of the Company while in possession of material non-public information or engage in any other action to take advantage of, or pass on to others, that information, subject to the specific exceptions noted below in this </w:t>
      </w:r>
      <w:r>
        <w:rPr>
          <w:rFonts w:ascii="Times New Roman;Times;serif" w:hAnsi="Times New Roman;Times;serif"/>
          <w:sz w:val="20"/>
          <w:u w:val="single"/>
        </w:rPr>
        <w:t>Section IV</w:t>
      </w:r>
      <w:r>
        <w:rPr>
          <w:rFonts w:ascii="Times New Roman;Times;serif" w:hAnsi="Times New Roman;Times;serif"/>
          <w:sz w:val="20"/>
        </w:rPr>
        <w:t xml:space="preserve"> under the caption “Exceptions for Certain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Transactions by Family Members, Others in Your Household and Entities You Control. </w:t>
      </w:r>
      <w:r>
        <w:rPr>
          <w:rFonts w:ascii="Times New Roman;Times;serif" w:hAnsi="Times New Roman;Times;serif"/>
          <w:sz w:val="20"/>
        </w:rPr>
        <w:t>The restrictions in this Policy also apply to (1) immediate family members who reside with you, (2) others living in your household (whether or not related to you), (3) family members who do not live in your household but whose transactions in the Company’s securities are directed by you or are subject to your influence or control (e.g., parents or children who consult with you before they trade in the Company’s securities) and (4) any entities that you influence or control, including any corporations, limited liability companies, partnerships or trusts (each person or entity identified in clauses (1) – (4), a “</w:t>
      </w:r>
      <w:r>
        <w:rPr>
          <w:rFonts w:ascii="Times New Roman;Times;serif" w:hAnsi="Times New Roman;Times;serif"/>
          <w:sz w:val="20"/>
          <w:u w:val="single"/>
        </w:rPr>
        <w:t>Related Person</w:t>
      </w:r>
      <w:r>
        <w:rPr>
          <w:rFonts w:ascii="Times New Roman;Times;serif" w:hAnsi="Times New Roman;Times;serif"/>
          <w:sz w:val="20"/>
        </w:rPr>
        <w:t>”). SEC regulations specifically provide that any material non-public information about the Company communicated to any spouse, parent, child or sibling is considered to have been communicated under a duty of trust or confidence; and that any trading in the Company’s securities by such family members while they are aware of such information may, therefore, violate insider trading laws and regulations. Company personnel are expected to be responsible for the compliance of all Related Persons with this Policy. This means that, to the extent such Related Persons of Company personnel intend to trade in the Company’s securities, the Related Persons need to comply with the black-out periods and all other restrictions in this Policy. Furthermore, you should not participate in any investment club (i.e., groups of people who pool their money to make investments) that may invest in the Company’s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Other Companies’ Non-public Information. </w:t>
      </w:r>
      <w:r>
        <w:rPr>
          <w:rFonts w:ascii="Times New Roman;Times;serif" w:hAnsi="Times New Roman;Times;serif"/>
          <w:sz w:val="20"/>
        </w:rPr>
        <w:t>This Policy also applies with equal force to information relating to any other company, including our customers or suppliers, obtained by Company personnel during the course of their service to or employment by the Company. Specifically, no Company personnel who, in the course of work on behalf of the Company, learns of material non-public information about a company with which the Company does business may trade in the other company’s securities until the information becomes public or is no longer material.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Personal or Independent Reasons Are Not Exceptions. </w:t>
      </w:r>
      <w:r>
        <w:rPr>
          <w:rFonts w:ascii="Times New Roman;Times;serif" w:hAnsi="Times New Roman;Times;serif"/>
          <w:sz w:val="20"/>
        </w:rPr>
        <w:t>Transactions in the Company’s securities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Policy Administrator. </w:t>
      </w:r>
      <w:r>
        <w:rPr>
          <w:rFonts w:ascii="Times New Roman;Times;serif" w:hAnsi="Times New Roman;Times;serif"/>
          <w:sz w:val="20"/>
        </w:rPr>
        <w:t>This Policy shall be administered by the “</w:t>
      </w:r>
      <w:r>
        <w:rPr>
          <w:rFonts w:ascii="Times New Roman;Times;serif" w:hAnsi="Times New Roman;Times;serif"/>
          <w:sz w:val="20"/>
          <w:u w:val="single"/>
        </w:rPr>
        <w:t>Policy Administrator</w:t>
      </w:r>
      <w:r>
        <w:rPr>
          <w:rFonts w:ascii="Times New Roman;Times;serif" w:hAnsi="Times New Roman;Times;serif"/>
          <w:sz w:val="20"/>
        </w:rPr>
        <w:t>,” who shall initially be the Chief Financial Officer, and the General Counsel shall serve as the alternate Policy Administrator. The Policy Administrator may, however, change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When Information Becomes Public</w:t>
      </w:r>
      <w:r>
        <w:rPr>
          <w:rFonts w:ascii="Times New Roman;Times;serif" w:hAnsi="Times New Roman;Times;serif"/>
          <w:b/>
          <w:sz w:val="20"/>
        </w:rPr>
        <w:t xml:space="preserve">. </w:t>
      </w:r>
      <w:r>
        <w:rPr>
          <w:rFonts w:ascii="Times New Roman;Times;serif" w:hAnsi="Times New Roman;Times;serif"/>
          <w:sz w:val="20"/>
        </w:rPr>
        <w:t xml:space="preserve">This Policy applies to material </w:t>
      </w:r>
      <w:r>
        <w:rPr>
          <w:rFonts w:ascii="Times New Roman;Times;serif" w:hAnsi="Times New Roman;Times;serif"/>
          <w:i/>
          <w:sz w:val="20"/>
        </w:rPr>
        <w:t xml:space="preserve">non-public </w:t>
      </w:r>
      <w:r>
        <w:rPr>
          <w:rFonts w:ascii="Times New Roman;Times;serif" w:hAnsi="Times New Roman;Times;serif"/>
          <w:sz w:val="20"/>
        </w:rPr>
        <w:t>information about the Company, which means that trading is permitted once the information becomes known to the public (unless some other Company policy or legal obligation restricts trading at that time). Because the Company’s shareholders and the investing public should be afforded time to receive and absorb information, as a general rule, you should not engage in any transactions until the beginning of the second business day after material information has been released. Thus, if an announcement is made before the market opens on a Monday, Wednesday generally would be the first day on which you may trade. If an announcement is made before the market opens on a Friday, Tuesday generally would be the first day on which you may trade. However, if the information released is complex, such as a major financing or other significant transaction, it may be necessary to allow additional time for the information to be absorbed by the investing public. In such circumstances, you will be notified by the Policy Administrator regarding a suitable waiting period before trading. In addition, we have established specified black-out periods, as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Prohibited Trading Periods</w:t>
      </w:r>
      <w:r>
        <w:rPr>
          <w:rFonts w:ascii="Times New Roman;Times;serif" w:hAnsi="Times New Roman;Times;serif"/>
          <w:b/>
          <w:sz w:val="20"/>
        </w:rPr>
        <w:t xml:space="preserve">. </w:t>
      </w:r>
      <w:r>
        <w:rPr>
          <w:rFonts w:ascii="Times New Roman;Times;serif" w:hAnsi="Times New Roman;Times;serif"/>
          <w:sz w:val="20"/>
        </w:rPr>
        <w:t>While it is never permissible to trade based on material non-public information, we are implementing the following procedures to help prevent inadvertent violations of this Policy and avoid even the appearance of an improper transaction (which could result, for example, where Company personnel engage in a trade while unaware of a pending major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Company-Wide Black-Out Periods Applicable to All Company Personnel</w:t>
      </w:r>
      <w:r>
        <w:rPr>
          <w:rFonts w:ascii="Times New Roman;Times;serif" w:hAnsi="Times New Roman;Times;serif"/>
          <w:sz w:val="20"/>
        </w:rPr>
        <w:t>. All Company personnel and Related Persons are prohibited from trading in any of the Company’s securities during the following periods: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time each such individual becomes aware of the material information (the black-out start times often vary), until the beginning of the second business day after the day the Company has made a public announcement of material information, including earnings releases, unless the information released is complex, in which case it may be necessary to extend this period and the Policy Administrator will notify you of any such extension of the black-out period;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other specified periods when significant developments or announcements are anticipated, as notified by the Policy Administrator.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You will be notified by e-mail when you may not trade in the Company’s securities during periods when significant developments or announcements are anticipated, in which event you will also be notified when trading restrictions are lifted. </w:t>
      </w:r>
      <w:r>
        <w:rPr>
          <w:rFonts w:ascii="Times New Roman;Times;serif" w:hAnsi="Times New Roman;Times;serif"/>
          <w:i/>
          <w:sz w:val="20"/>
        </w:rPr>
        <w:t>Of course, even during periods when trading is permitted, no one, including persons or entities who do not fall within the definition of Related Persons, should trade in the Company’s securities if he or she possesses material non-public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Additional Black-Out Periods Applicable to the Board of Directors, Senior Management,  Financial Team Members and Designated Employees</w:t>
      </w:r>
      <w:r>
        <w:rPr>
          <w:rFonts w:ascii="Times New Roman;Times;serif" w:hAnsi="Times New Roman;Times;serif"/>
          <w:sz w:val="20"/>
        </w:rPr>
        <w:t>. In addition to being subject to the trading procedures applicable to all Company personnel (above), members of the Company’s Board of Directors, Senior Management, Financial Team Members, Designated Employees (each as defined below) and Related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 w:right="0" w:hanging="0"/>
        <w:jc w:val="both"/>
        <w:rPr>
          <w:rFonts w:ascii="Times New Roman;Times;serif" w:hAnsi="Times New Roman;Times;serif"/>
          <w:sz w:val="20"/>
        </w:rPr>
      </w:pPr>
      <w:r>
        <w:rPr>
          <w:rFonts w:ascii="Times New Roman;Times;serif" w:hAnsi="Times New Roman;Times;serif"/>
          <w:sz w:val="20"/>
        </w:rPr>
        <w:t>Persons of such individuals are also subject to additional trading procedures and restrictions during the following periods: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periods from the close of each fiscal quarter until the beginning of the second business day after the release of the Company’s financial results for each quarter and, in the case of the fourth quarter, financial results for the year end; and</w:t>
            </w:r>
          </w:p>
        </w:tc>
      </w:tr>
    </w:tbl>
    <w:tbl>
      <w:tblPr>
        <w:tblW w:w="4233" w:type="dxa"/>
        <w:jc w:val="left"/>
        <w:tblInd w:w="0" w:type="dxa"/>
        <w:tblLayout w:type="fixed"/>
        <w:tblCellMar>
          <w:top w:w="0" w:type="dxa"/>
          <w:left w:w="0" w:type="dxa"/>
          <w:bottom w:w="0" w:type="dxa"/>
          <w:right w:w="0" w:type="dxa"/>
        </w:tblCellMar>
      </w:tblPr>
      <w:tblGrid>
        <w:gridCol w:w="23"/>
        <w:gridCol w:w="170"/>
        <w:gridCol w:w="4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periods as determined by the Company.</w:t>
            </w:r>
          </w:p>
        </w:tc>
      </w:tr>
    </w:tbl>
    <w:p>
      <w:pPr>
        <w:pStyle w:val="TextBody"/>
        <w:bidi w:val="0"/>
        <w:spacing w:before="0" w:after="240"/>
        <w:ind w:left="0" w:right="0" w:firstLine="792"/>
        <w:jc w:val="both"/>
        <w:rPr>
          <w:rFonts w:ascii="Times New Roman;Times;serif" w:hAnsi="Times New Roman;Times;serif"/>
          <w:sz w:val="20"/>
        </w:rPr>
      </w:pPr>
      <w:r>
        <w:rPr>
          <w:rFonts w:ascii="Times New Roman;Times;serif" w:hAnsi="Times New Roman;Times;serif"/>
          <w:sz w:val="20"/>
        </w:rPr>
        <w:t>The following members of management constitute the “</w:t>
      </w:r>
      <w:r>
        <w:rPr>
          <w:rFonts w:ascii="Times New Roman;Times;serif" w:hAnsi="Times New Roman;Times;serif"/>
          <w:sz w:val="20"/>
          <w:u w:val="single"/>
        </w:rPr>
        <w:t>Senior Management</w:t>
      </w:r>
      <w:r>
        <w:rPr>
          <w:rFonts w:ascii="Times New Roman;Times;serif" w:hAnsi="Times New Roman;Times;serif"/>
          <w:sz w:val="20"/>
        </w:rPr>
        <w:t xml:space="preserve">” of the Company: all Executive (Section 16) Officers, as listed on </w:t>
      </w:r>
      <w:r>
        <w:rPr>
          <w:rFonts w:ascii="Times New Roman;Times;serif" w:hAnsi="Times New Roman;Times;serif"/>
          <w:sz w:val="20"/>
          <w:u w:val="single"/>
        </w:rPr>
        <w:t>Exhibit A</w:t>
      </w:r>
      <w:r>
        <w:rPr>
          <w:rFonts w:ascii="Times New Roman;Times;serif" w:hAnsi="Times New Roman;Times;serif"/>
          <w:sz w:val="20"/>
        </w:rPr>
        <w:t xml:space="preserve"> hereto, which list shall be amended from time to time to reflect the then-current group of such individuals.</w:t>
      </w:r>
    </w:p>
    <w:p>
      <w:pPr>
        <w:pStyle w:val="TextBody"/>
        <w:bidi w:val="0"/>
        <w:spacing w:before="0" w:after="240"/>
        <w:ind w:left="0" w:right="0" w:firstLine="792"/>
        <w:jc w:val="both"/>
        <w:rPr>
          <w:rFonts w:ascii="Times New Roman;Times;serif" w:hAnsi="Times New Roman;Times;serif"/>
          <w:sz w:val="20"/>
        </w:rPr>
      </w:pPr>
      <w:r>
        <w:rPr>
          <w:rFonts w:ascii="Times New Roman;Times;serif" w:hAnsi="Times New Roman;Times;serif"/>
          <w:sz w:val="20"/>
        </w:rPr>
        <w:t>The following individuals constitute the “</w:t>
      </w:r>
      <w:r>
        <w:rPr>
          <w:rFonts w:ascii="Times New Roman;Times;serif" w:hAnsi="Times New Roman;Times;serif"/>
          <w:sz w:val="20"/>
          <w:u w:val="single"/>
        </w:rPr>
        <w:t>Financial Team Members</w:t>
      </w:r>
      <w:r>
        <w:rPr>
          <w:rFonts w:ascii="Times New Roman;Times;serif" w:hAnsi="Times New Roman;Times;serif"/>
          <w:sz w:val="20"/>
        </w:rPr>
        <w:t xml:space="preserve">” of the Company: all members of the Company’s financial team, as listed on </w:t>
      </w:r>
      <w:r>
        <w:rPr>
          <w:rFonts w:ascii="Times New Roman;Times;serif" w:hAnsi="Times New Roman;Times;serif"/>
          <w:sz w:val="20"/>
          <w:u w:val="single"/>
        </w:rPr>
        <w:t>Exhibit B</w:t>
      </w:r>
      <w:r>
        <w:rPr>
          <w:rFonts w:ascii="Times New Roman;Times;serif" w:hAnsi="Times New Roman;Times;serif"/>
          <w:sz w:val="20"/>
        </w:rPr>
        <w:t xml:space="preserve"> hereto, which list shall be amended from time to time to reflect the then-current group of such individuals.</w:t>
      </w:r>
    </w:p>
    <w:p>
      <w:pPr>
        <w:pStyle w:val="TextBody"/>
        <w:bidi w:val="0"/>
        <w:spacing w:before="0" w:after="240"/>
        <w:ind w:left="0" w:right="0" w:firstLine="792"/>
        <w:jc w:val="both"/>
        <w:rPr>
          <w:rFonts w:ascii="Times New Roman;Times;serif" w:hAnsi="Times New Roman;Times;serif"/>
          <w:sz w:val="20"/>
        </w:rPr>
      </w:pPr>
      <w:r>
        <w:rPr>
          <w:rFonts w:ascii="Times New Roman;Times;serif" w:hAnsi="Times New Roman;Times;serif"/>
          <w:sz w:val="20"/>
        </w:rPr>
        <w:t>The following individuals constitute other “</w:t>
      </w:r>
      <w:r>
        <w:rPr>
          <w:rFonts w:ascii="Times New Roman;Times;serif" w:hAnsi="Times New Roman;Times;serif"/>
          <w:sz w:val="20"/>
          <w:u w:val="single"/>
        </w:rPr>
        <w:t>Designated Employees</w:t>
      </w:r>
      <w:r>
        <w:rPr>
          <w:rFonts w:ascii="Times New Roman;Times;serif" w:hAnsi="Times New Roman;Times;serif"/>
          <w:sz w:val="20"/>
        </w:rPr>
        <w:t xml:space="preserve">” of the Company: certain additional members of Company personnel, as listed on </w:t>
      </w:r>
      <w:r>
        <w:rPr>
          <w:rFonts w:ascii="Times New Roman;Times;serif" w:hAnsi="Times New Roman;Times;serif"/>
          <w:sz w:val="20"/>
          <w:u w:val="single"/>
        </w:rPr>
        <w:t>Exhibit C</w:t>
      </w:r>
      <w:r>
        <w:rPr>
          <w:rFonts w:ascii="Times New Roman;Times;serif" w:hAnsi="Times New Roman;Times;serif"/>
          <w:sz w:val="20"/>
        </w:rPr>
        <w:t xml:space="preserve"> hereto, which list shall be amended from time to time to reflect the then-current group of such individuals.</w:t>
      </w:r>
    </w:p>
    <w:p>
      <w:pPr>
        <w:pStyle w:val="TextBody"/>
        <w:bidi w:val="0"/>
        <w:spacing w:before="0" w:after="240"/>
        <w:ind w:left="0" w:right="0" w:firstLine="792"/>
        <w:jc w:val="both"/>
        <w:rPr>
          <w:rFonts w:ascii="Times New Roman;Times;serif" w:hAnsi="Times New Roman;Times;serif"/>
          <w:sz w:val="20"/>
        </w:rPr>
      </w:pPr>
      <w:r>
        <w:rPr>
          <w:rFonts w:ascii="Times New Roman;Times;serif" w:hAnsi="Times New Roman;Times;serif"/>
          <w:sz w:val="20"/>
        </w:rPr>
        <w:t>The Policy Administrator may, from time to time, amend the list of and/or designate other employees as Senior Management, Financial Team Members or Designated Employees, in which case the Policy Administrator shall notify the affected individuals.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Exceptions for Certain Transactions.</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u w:val="single"/>
        </w:rPr>
        <w:t>(1)</w:t>
      </w:r>
      <w:r>
        <w:rPr>
          <w:rFonts w:ascii="Times New Roman;Times;serif" w:hAnsi="Times New Roman;Times;serif"/>
          <w:sz w:val="20"/>
          <w:u w:val="single"/>
        </w:rPr>
        <w:t>Gifts</w:t>
      </w:r>
      <w:r>
        <w:rPr>
          <w:rFonts w:ascii="Times New Roman;Times;serif" w:hAnsi="Times New Roman;Times;serif"/>
          <w:sz w:val="20"/>
        </w:rPr>
        <w:t xml:space="preserve">. </w:t>
      </w:r>
      <w:r>
        <w:rPr>
          <w:rFonts w:ascii="Times New Roman;Times;serif" w:hAnsi="Times New Roman;Times;serif"/>
          <w:i/>
          <w:sz w:val="20"/>
        </w:rPr>
        <w:t xml:space="preserve">Bona fide </w:t>
      </w:r>
      <w:r>
        <w:rPr>
          <w:rFonts w:ascii="Times New Roman;Times;serif" w:hAnsi="Times New Roman;Times;serif"/>
          <w:sz w:val="20"/>
        </w:rPr>
        <w:t>gifts are not transactions that are subject to this Policy, unless the person making the gift (the donor) has reason to believe that the recipient of the gift intends to sell the Company’s securities while the donor is in possession of material non-public information.</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u w:val="single"/>
        </w:rPr>
        <w:t>(2)</w:t>
      </w:r>
      <w:r>
        <w:rPr>
          <w:rFonts w:ascii="Times New Roman;Times;serif" w:hAnsi="Times New Roman;Times;serif"/>
          <w:sz w:val="20"/>
          <w:u w:val="single"/>
        </w:rPr>
        <w:t>Mutual Funds</w:t>
      </w:r>
      <w:r>
        <w:rPr>
          <w:rFonts w:ascii="Times New Roman;Times;serif" w:hAnsi="Times New Roman;Times;serif"/>
          <w:sz w:val="20"/>
        </w:rPr>
        <w:t>. Transactions in mutual funds that are invested in the Company’s securities are not transactions subject to this Policy.</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u w:val="single"/>
        </w:rPr>
        <w:t>(3)</w:t>
      </w:r>
      <w:r>
        <w:rPr>
          <w:rFonts w:ascii="Times New Roman;Times;serif" w:hAnsi="Times New Roman;Times;serif"/>
          <w:sz w:val="20"/>
          <w:u w:val="single"/>
        </w:rPr>
        <w:t>Transactions Involving Company Equity Plans</w:t>
      </w:r>
      <w:r>
        <w:rPr>
          <w:rFonts w:ascii="Times New Roman;Times;serif" w:hAnsi="Times New Roman;Times;serif"/>
          <w:sz w:val="20"/>
        </w:rPr>
        <w:t>. Except as otherwise noted below, this Policy does not apply to the following transactions: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Stock Option Exercises. </w:t>
            </w:r>
            <w:r>
              <w:rPr>
                <w:rFonts w:ascii="Times New Roman;Times;serif" w:hAnsi="Times New Roman;Times;serif"/>
                <w:b w:val="false"/>
                <w:i w:val="false"/>
                <w:caps w:val="false"/>
                <w:smallCaps w:val="false"/>
                <w:sz w:val="20"/>
              </w:rPr>
              <w:t>This Policy does not apply to the exercise of an employee stock option acquired pursuant to the 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of stock for the purpose of generating the cash needed to pay the exercise price and or taxes upon the exercise of an option.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Restricted Stock Awards and Restricted Stock Unit Awards. </w:t>
            </w:r>
            <w:r>
              <w:rPr>
                <w:rFonts w:ascii="Times New Roman;Times;serif" w:hAnsi="Times New Roman;Times;serif"/>
                <w:b w:val="false"/>
                <w:i w:val="false"/>
                <w:caps w:val="false"/>
                <w:smallCaps w:val="false"/>
                <w:sz w:val="20"/>
              </w:rPr>
              <w:t>This Policy does not apply to the vesting of restricted stock or restricted stock units, or the exercise of a tax withholding right pursuant to which a person elects to have the Company withhold shares of stock to satisfy tax withholding requirements upon the vesting of any restricted stock or restricted stock unit. This Policy does apply, however, to any market sale of restricted stock or shares received upon vesting of restricted stock units.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Employee Stock Purchase Plan. </w:t>
            </w:r>
            <w:r>
              <w:rPr>
                <w:rFonts w:ascii="Times New Roman;Times;serif" w:hAnsi="Times New Roman;Times;serif"/>
                <w:b w:val="false"/>
                <w:i w:val="false"/>
                <w:caps w:val="false"/>
                <w:smallCaps w:val="false"/>
                <w:sz w:val="20"/>
              </w:rPr>
              <w:t>This Policy does not apply to purchases of the Company’s securities under any employee stock purchase plan of the Company. This Policy does apply, however, to subsequent sales or other transfers of such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Other Transactions with the Company. </w:t>
            </w:r>
            <w:r>
              <w:rPr>
                <w:rFonts w:ascii="Times New Roman;Times;serif" w:hAnsi="Times New Roman;Times;serif"/>
                <w:b w:val="false"/>
                <w:i w:val="false"/>
                <w:caps w:val="false"/>
                <w:smallCaps w:val="false"/>
                <w:sz w:val="20"/>
              </w:rPr>
              <w:t>Any other purchase of the Company’s securities from the Company or sales of the Company’s securities to the Company are not subject to this Policy.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Rule 10b5-1 Trading Plans</w:t>
      </w:r>
      <w:r>
        <w:rPr>
          <w:rFonts w:ascii="Times New Roman;Times;serif" w:hAnsi="Times New Roman;Times;serif"/>
          <w:sz w:val="20"/>
        </w:rPr>
        <w:t>. Notwithstanding the restrictions and prohibitions on trading in the Company’s securities set forth in this Policy, persons subject to this Policy are permitted to effect transactions in the Company’s securities pursuant to approved trading plans established under Rule 10b5-1 of the Securities Exchange Act of 1934, as amended (“</w:t>
      </w:r>
      <w:r>
        <w:rPr>
          <w:rFonts w:ascii="Times New Roman;Times;serif" w:hAnsi="Times New Roman;Times;serif"/>
          <w:sz w:val="20"/>
          <w:u w:val="single"/>
        </w:rPr>
        <w:t>Trading Plans</w:t>
      </w:r>
      <w:r>
        <w:rPr>
          <w:rFonts w:ascii="Times New Roman;Times;serif" w:hAnsi="Times New Roman;Times;serif"/>
          <w:sz w:val="20"/>
        </w:rPr>
        <w:t>”), which may include transactions during the prohibited periods discussed above. Rule 10b5-1 requires that these transactions be made pursuant to a plan that was established while the person was not in possession of material non-public information, and the SEC requires that these plans not be entered into during any applicable Company-imposed black-out period. In order to comply with this Policy, the Company must pre-approve any such Trading Plan prior to its effectiveness. After a Trading Plan is approved, you must wait for a cooling-off period before the first trade is made under the Trading Plan, the length of which will be determined by the Policy Administrator. Once the Trading Plan is adopted, you must not exercise any influence over the amount of securities to be traded, the price at which they are to be traded or the dates of the trades. The Trading Plan must either specify the amount, pricing and timing of transactions in advance or delegate discretion on these matters to an independent third party. Any modification of a Trading Plan is the equivalent of entering into a new Trading Plan and cancelling the old Trading Plan. Company personnel seeking to establish, modify or cancel a Trading Plan should contact the Policy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Pre-Clearance of All Acquisitions, Sales and Other Transfers by Certain Company Personnel. </w:t>
      </w:r>
      <w:r>
        <w:rPr>
          <w:rFonts w:ascii="Times New Roman;Times;serif" w:hAnsi="Times New Roman;Times;serif"/>
          <w:sz w:val="20"/>
        </w:rPr>
        <w:t xml:space="preserve">In order to ensure compliance with this Policy and with any Section 16 reporting requirements, all transactions in the Company’s securities (including acquisitions, sales, gifts and other transfers, whether or not for value), including the execution of Trading Plans, by members of the Company’s Board of Directors, Senior Management, Financial Team Members, Designated Employees and Related Persons, must be pre-cleared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or her reasonable best efforts to provide approval or disapproval within two business days. You must wait until receiving pre-clearance to execute the transaction. Neither the Company nor the Policy Administrator shall be liable for any delays that may occur due to the pre-clearance process. If the transaction is pre-cleared by the Policy Administrator, it must be executed by the end of the second business day after receipt of pre-clearance. Notwithstanding receipt of pre-clearance of a transaction, if you become aware of material non-public information about the Company after receiving the pre-clearance but prior to the execution of the transaction, you may not execute the transaction. The responsibility for determining whether you are in possession of material non-public information rests with you, as discussed below in </w:t>
      </w:r>
      <w:r>
        <w:rPr>
          <w:rFonts w:ascii="Times New Roman;Times;serif" w:hAnsi="Times New Roman;Times;serif"/>
          <w:sz w:val="20"/>
          <w:u w:val="single"/>
        </w:rPr>
        <w:t>Section V</w:t>
      </w:r>
      <w:r>
        <w:rPr>
          <w:rFonts w:ascii="Times New Roman;Times;serif" w:hAnsi="Times New Roman;Times;serif"/>
          <w:sz w:val="20"/>
        </w:rPr>
        <w:t>. If you are a Section 16 reporting person, promptly following execution of the transaction, but in no event later than the end of the first business day after the execution of the transaction, you must notify the Policy Administrator and provide details regarding the transaction sufficient to complete the required Section 16 filing.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Employees of the Company who are not Directors, members of Senior Management, Financial Team Members or Designated Employees may, but are not required to, pre-clear transactions in the Company’s securities in the same manner as set forth above. Such employees are not required to notify the Policy Administrator following execution of the transaction.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Please note that pre-clearance does not provide Company personnel with immunity from investigation or suit, for which it is the responsibility of the individual to comply with the federal securities regulations and securities regulations of any other applicable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V.</w:t>
      </w:r>
      <w:r>
        <w:rPr>
          <w:rFonts w:ascii="Times New Roman;Times;serif" w:hAnsi="Times New Roman;Times;serif"/>
          <w:b/>
          <w:sz w:val="20"/>
        </w:rPr>
        <w:t>Individual Responsibility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Persons subject to this Policy have ethical and legal obligations to maintain the confidentiality of information about the Company and to refrain from engaging in transactions in the Company’s securities while in possession of material non-public information. Each individual is responsible for making sure that he or she complies with this Policy, and that any Related Person, whose transactions are subject to this Policy, also comply with this Policy. In all cases, the responsibility for determining whether an individual is in possession of material non-public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You may be subject to legal penalties and disciplinary action by law enforcement officials and/or the Company for any conduct prohibited by this Policy or applicable securities laws, as described in </w:t>
      </w:r>
      <w:r>
        <w:rPr>
          <w:rFonts w:ascii="Times New Roman;Times;serif" w:hAnsi="Times New Roman;Times;serif"/>
          <w:sz w:val="20"/>
          <w:u w:val="single"/>
        </w:rPr>
        <w:t>Section III</w:t>
      </w:r>
      <w:r>
        <w:rPr>
          <w:rFonts w:ascii="Times New Roman;Times;serif" w:hAnsi="Times New Roman;Times;serif"/>
          <w:sz w:val="20"/>
        </w:rPr>
        <w:t xml:space="preserve">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Tipping Information to Others. </w:t>
      </w:r>
      <w:r>
        <w:rPr>
          <w:rFonts w:ascii="Times New Roman;Times;serif" w:hAnsi="Times New Roman;Times;serif"/>
          <w:sz w:val="20"/>
        </w:rPr>
        <w:t>Company personnel must not disclose non-public information about the Company to others outside the Company who do not have an obligation to maintain the confidentiality of such information. If the outsider trades on such information, penalties for insider trading may apply in these situations whether or not you derive any monetary benefit from the other person’s trading activities. Material non-public information is sometimes inadvertently disclosed or overheard in casual, social conversations. Please take care to avoid such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Prevention of Insider Trading by Others. </w:t>
      </w:r>
      <w:r>
        <w:rPr>
          <w:rFonts w:ascii="Times New Roman;Times;serif" w:hAnsi="Times New Roman;Times;serif"/>
          <w:sz w:val="20"/>
        </w:rPr>
        <w:t>If you become aware of a potential insider trading violation, you must immediately advise our Policy Administrator and/or report the matter using the Company’s anonymous whistleblower reporting procedures. You should also take steps, where appropriate, to prevent persons under your supervision and/or control from using material non-public information for trading purposes. Moreover, Company-imposed sanctions, including termination for cause, could result if an employee fails to comply with this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Confidentiality. </w:t>
      </w:r>
      <w:r>
        <w:rPr>
          <w:rFonts w:ascii="Times New Roman;Times;serif" w:hAnsi="Times New Roman;Times;serif"/>
          <w:sz w:val="20"/>
        </w:rPr>
        <w:t>Serious problems could be caused for the Company by the unauthorized disclosure of internal information about the Company, whether or not for the purpose of facilitating improper trading in the Company’s securities. Company personnel should not discuss internal Company matters or developments (whether or not you think such information is material) with anyone outside of the Company (including, but not limited to, family, friends, 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such as Facebook, Twitter, etc. It is important that all such communications on behalf of the Company be made only through an authorized officer under carefully controlled circumstances. Unless you are expressly authorized to the contrary, if you receive any inquiries of this nature, you should decline comment and refer the inquirer to the General Counsel and Corporate Secretary. Please review the Company’s separate Regulation FD Policy, which governs all public communications with people outside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VI.</w:t>
      </w:r>
      <w:r>
        <w:rPr>
          <w:rFonts w:ascii="Times New Roman;Times;serif" w:hAnsi="Times New Roman;Times;serif"/>
          <w:b/>
          <w:sz w:val="20"/>
        </w:rPr>
        <w:t>Additional Prohibited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believe it is generally improper and inappropriate for Company personnel to engage in short-term or speculative transactions involving the Company’s securities, it is our general policy that Company personnel and Related Persons not engage in any of the following activities: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in the Company’s securities on a short-term basis. Any shares of Company common stock purchased in the open market must be held for a minimum of six months and ideally longer;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purchasing of financial instruments (including prepaid variable forward contracts, equity swaps, puts, calls, straddles, collars and exchange funds) that are designed to hedge or offset any decrease in the market value of the Company’s equity securities and entering into other transactions with the same economic effect, including short sales;</w:t>
            </w:r>
          </w:p>
        </w:tc>
      </w:tr>
    </w:tbl>
    <w:tbl>
      <w:tblPr>
        <w:tblW w:w="5733" w:type="dxa"/>
        <w:jc w:val="left"/>
        <w:tblInd w:w="0" w:type="dxa"/>
        <w:tblLayout w:type="fixed"/>
        <w:tblCellMar>
          <w:top w:w="0" w:type="dxa"/>
          <w:left w:w="0" w:type="dxa"/>
          <w:bottom w:w="0" w:type="dxa"/>
          <w:right w:w="0" w:type="dxa"/>
        </w:tblCellMar>
      </w:tblPr>
      <w:tblGrid>
        <w:gridCol w:w="23"/>
        <w:gridCol w:w="17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or other arrangements involving pledge of securities;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 security future that establishes a position that increases in value as the value of the underlying equity security decreases.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VII.</w:t>
      </w:r>
      <w:r>
        <w:rPr>
          <w:rFonts w:ascii="Times New Roman;Times;serif" w:hAnsi="Times New Roman;Times;serif"/>
          <w:b/>
          <w:sz w:val="20"/>
        </w:rPr>
        <w:t>Post-Termination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will no longer apply after termination of service to the Company. However, if an individual is in possession of material non-public information when his or her service terminates, that individual may not trade in the Company’s securities until that information has become public or is no longer material, and it would be prudent for the individual, if he or she is subject to a black-out period upon termination of service, to refrain from trading until those restrictions no longer apply to Company personnel.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VIII.</w:t>
      </w:r>
      <w:r>
        <w:rPr>
          <w:rFonts w:ascii="Times New Roman;Times;serif" w:hAnsi="Times New Roman;Times;serif"/>
          <w:b/>
          <w:sz w:val="20"/>
        </w:rPr>
        <w:t>Company Assistance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person who has any questions about specific transactions or this Policy in general may obtain additional guidance or request a waiver from the Policy Administrator. Remember, however, the ultimate responsibility for adhering to this Policy and avoiding improper transactions rests with you. In this regard, please use your best judgment when considering a transaction in the Company’s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IX.</w:t>
      </w:r>
      <w:r>
        <w:rPr>
          <w:rFonts w:ascii="Times New Roman;Times;serif" w:hAnsi="Times New Roman;Times;serif"/>
          <w:b/>
          <w:sz w:val="20"/>
        </w:rPr>
        <w:t>Certifications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to employment, all employees will be required to certify their understanding of and intent to comply with this Policy. Members of the Board of Directors, Senior Management and other personnel may be required to certify compliance on an annual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09" w:name="tmc-20251231xex21d1.htm"/>
      <w:bookmarkStart w:id="2010" w:name="kstmc20251231xex21d1"/>
      <w:bookmarkEnd w:id="2009"/>
      <w:bookmarkEnd w:id="2010"/>
      <w:r>
        <w:rPr>
          <w:rFonts w:ascii="Times New Roman;Times;serif" w:hAnsi="Times New Roman;Times;serif"/>
          <w:b/>
          <w:sz w:val="20"/>
        </w:rPr>
        <w:t>Exhibit 21.1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Registrant</w:t>
      </w:r>
    </w:p>
    <w:p>
      <w:pPr>
        <w:pStyle w:val="TextBody"/>
        <w:bidi w:val="0"/>
        <w:spacing w:before="0" w:after="0"/>
        <w:ind w:left="0" w:right="0" w:hanging="0"/>
        <w:jc w:val="left"/>
        <w:rPr/>
      </w:pPr>
      <w:r>
        <w:rPr/>
        <w:t>​</w:t>
      </w:r>
    </w:p>
    <w:tbl>
      <w:tblPr>
        <w:tblW w:w="6303" w:type="dxa"/>
        <w:jc w:val="center"/>
        <w:tblInd w:w="0" w:type="dxa"/>
        <w:tblLayout w:type="fixed"/>
        <w:tblCellMar>
          <w:top w:w="0" w:type="dxa"/>
          <w:left w:w="0" w:type="dxa"/>
          <w:bottom w:w="0" w:type="dxa"/>
          <w:right w:w="0" w:type="dxa"/>
        </w:tblCellMar>
      </w:tblPr>
      <w:tblGrid>
        <w:gridCol w:w="3361"/>
        <w:gridCol w:w="1846"/>
        <w:gridCol w:w="1096"/>
      </w:tblGrid>
      <w:tr>
        <w:trPr/>
        <w:tc>
          <w:tcPr>
            <w:tcW w:w="3361"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172210" cy="175260"/>
                      <wp:effectExtent l="0" t="0" r="0" b="0"/>
                      <wp:wrapNone/>
                      <wp:docPr id="479" name="Frame45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5960" cy="175260"/>
                      <wp:effectExtent l="0" t="0" r="0" b="0"/>
                      <wp:wrapNone/>
                      <wp:docPr id="480" name="Frame45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Subsidiary</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Country</w:t>
              <w:br/>
              <w:t>of Organization</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w:t>
              <w:br/>
              <w:t>Ownership</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DeepGreen Engineering Pte. Ltd.</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DeepGreen Metals ULC</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Metals Company USA, LLC</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United States</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DeepGreen TOML Holding 1 Ltd.</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DeepGreen TOML Holding 2 Ltd.</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DeepGreen TOML Singapore Ltd.</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Koloa Moana Resources Ltd.</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Nauru Ocean Resources Inc.</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Republic of Nauru</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Offshore Minerals Pty. Ltd.</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Australia</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Metals Company Australia Pty Ltd</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Australia</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TMC The Metals Company UK Limited</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United Kingdom</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Tonga Offshore Mining Limited</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Kingdom of Tonga</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33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Seafloor Mineral Ventures</w:t>
            </w:r>
          </w:p>
        </w:tc>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Indonesia</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11" w:name="tmc-20251231xex23d1.htm"/>
      <w:bookmarkStart w:id="2012" w:name="kstmc20251231xex23d1"/>
      <w:bookmarkEnd w:id="2011"/>
      <w:bookmarkEnd w:id="2012"/>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on Form S-3 (Registration Nos. 333-260126, 333-267479 and 333-275822) and the Registration Statements on Form S-8 (Registration Nos. 333-261221, 333-265318, 333-265319, 333-270875,333-270876,333-278222, 333-278223, 333-286191, 333-286192 and 333-289993) of TMC the metals company Inc. of our report dated March 31, 2026, with respect to the consolidated financial statements of TMC the metals company Inc., included in this Annual Report (Form 10-K) for the year ended December 31, 2025.</w:t>
      </w:r>
    </w:p>
    <w:p>
      <w:pPr>
        <w:pStyle w:val="TextBody"/>
        <w:bidi w:val="0"/>
        <w:spacing w:before="0" w:after="0"/>
        <w:ind w:left="0" w:right="0" w:hanging="0"/>
        <w:jc w:val="left"/>
        <w:rPr/>
      </w:pPr>
      <w:r>
        <w:rPr/>
        <w:t>​</w:t>
      </w:r>
    </w:p>
    <w:tbl>
      <w:tblPr>
        <w:tblW w:w="3170" w:type="dxa"/>
        <w:jc w:val="left"/>
        <w:tblInd w:w="0" w:type="dxa"/>
        <w:tblLayout w:type="fixed"/>
        <w:tblCellMar>
          <w:top w:w="0" w:type="dxa"/>
          <w:left w:w="0" w:type="dxa"/>
          <w:bottom w:w="0" w:type="dxa"/>
          <w:right w:w="0" w:type="dxa"/>
        </w:tblCellMar>
      </w:tblPr>
      <w:tblGrid>
        <w:gridCol w:w="3016"/>
        <w:gridCol w:w="154"/>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915160" cy="175260"/>
                      <wp:effectExtent l="0" t="0" r="0" b="0"/>
                      <wp:wrapNone/>
                      <wp:docPr id="481" name="Frame455"/>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97790" cy="175260"/>
                      <wp:effectExtent l="0" t="0" r="0" b="0"/>
                      <wp:wrapNone/>
                      <wp:docPr id="482" name="Frame45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Chartered Professional Accountants</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Vancouver, Canada</w:t>
            </w:r>
          </w:p>
        </w:tc>
        <w:tc>
          <w:tcPr>
            <w:tcW w:w="154" w:type="dxa"/>
            <w:tcBorders/>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2026</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13" w:name="tmc-20251231xex31d1.htm"/>
      <w:bookmarkStart w:id="2014" w:name="kstmc20251231xex31d1"/>
      <w:bookmarkEnd w:id="2013"/>
      <w:bookmarkEnd w:id="2014"/>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Gerard Barron,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10-K for the year ended December 31, 2025 of TMC the metals company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pPr>
      <w:r>
        <w:rPr/>
        <w:t>​</w:t>
      </w:r>
    </w:p>
    <w:tbl>
      <w:tblPr>
        <w:tblW w:w="2630" w:type="dxa"/>
        <w:jc w:val="left"/>
        <w:tblInd w:w="0" w:type="dxa"/>
        <w:tblLayout w:type="fixed"/>
        <w:tblCellMar>
          <w:top w:w="0" w:type="dxa"/>
          <w:left w:w="0" w:type="dxa"/>
          <w:bottom w:w="0" w:type="dxa"/>
          <w:right w:w="0" w:type="dxa"/>
        </w:tblCellMar>
      </w:tblPr>
      <w:tblGrid>
        <w:gridCol w:w="2476"/>
        <w:gridCol w:w="154"/>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572260" cy="175260"/>
                      <wp:effectExtent l="0" t="0" r="0" b="0"/>
                      <wp:wrapNone/>
                      <wp:docPr id="483" name="Frame457"/>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97790" cy="175260"/>
                      <wp:effectExtent l="0" t="0" r="0" b="0"/>
                      <wp:wrapNone/>
                      <wp:docPr id="484" name="Frame4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31, 2026</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righ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15" w:name="tmc-20251231xex31d2.htm"/>
      <w:bookmarkStart w:id="2016" w:name="kstmc20251231xex31d2"/>
      <w:bookmarkEnd w:id="2015"/>
      <w:bookmarkEnd w:id="2016"/>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Shesky,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10-K for the year ended December 31, 2025 of TMC the metals company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pPr>
      <w:r>
        <w:rPr/>
        <w:t>​</w:t>
      </w:r>
    </w:p>
    <w:tbl>
      <w:tblPr>
        <w:tblW w:w="3995" w:type="dxa"/>
        <w:jc w:val="left"/>
        <w:tblInd w:w="0" w:type="dxa"/>
        <w:tblLayout w:type="fixed"/>
        <w:tblCellMar>
          <w:top w:w="0" w:type="dxa"/>
          <w:left w:w="0" w:type="dxa"/>
          <w:bottom w:w="0" w:type="dxa"/>
          <w:right w:w="0" w:type="dxa"/>
        </w:tblCellMar>
      </w:tblPr>
      <w:tblGrid>
        <w:gridCol w:w="3841"/>
        <w:gridCol w:w="154"/>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439035" cy="175260"/>
                      <wp:effectExtent l="0" t="0" r="0" b="0"/>
                      <wp:wrapNone/>
                      <wp:docPr id="485" name="Frame459"/>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97790" cy="175260"/>
                      <wp:effectExtent l="0" t="0" r="0" b="0"/>
                      <wp:wrapNone/>
                      <wp:docPr id="486" name="Frame46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31, 2026</w:t>
            </w:r>
          </w:p>
        </w:tc>
        <w:tc>
          <w:tcPr>
            <w:tcW w:w="154" w:type="dxa"/>
            <w:tcBorders/>
            <w:vAlign w:val="center"/>
          </w:tcPr>
          <w:p>
            <w:pPr>
              <w:pStyle w:val="TableContents"/>
              <w:bidi w:val="0"/>
              <w:spacing w:before="0" w:after="0"/>
              <w:ind w:left="0" w:right="0" w:hanging="0"/>
              <w:jc w:val="left"/>
              <w:rPr/>
            </w:pPr>
            <w:r>
              <w:rPr/>
              <w:t>​</w:t>
            </w:r>
          </w:p>
        </w:tc>
      </w:tr>
      <w:tr>
        <w:trPr/>
        <w:tc>
          <w:tcPr>
            <w:tcW w:w="38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c>
          <w:tcPr>
            <w:tcW w:w="154" w:type="dxa"/>
            <w:tcBorders/>
            <w:vAlign w:val="center"/>
          </w:tcPr>
          <w:p>
            <w:pPr>
              <w:pStyle w:val="TableContents"/>
              <w:bidi w:val="0"/>
              <w:spacing w:before="0" w:after="0"/>
              <w:ind w:left="0" w:right="0" w:hanging="0"/>
              <w:jc w:val="left"/>
              <w:rPr/>
            </w:pPr>
            <w:r>
              <w:rPr/>
              <w:t>​</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17" w:name="tmc-20251231xex32.htm"/>
      <w:bookmarkStart w:id="2018" w:name="kstmc20251231xex32"/>
      <w:bookmarkEnd w:id="2017"/>
      <w:bookmarkEnd w:id="2018"/>
      <w:r>
        <w:rPr>
          <w:rFonts w:ascii="Times New Roman;Times;serif" w:hAnsi="Times New Roman;Times;serif"/>
          <w:b/>
          <w:sz w:val="20"/>
        </w:rPr>
        <w:t>Exhibit 32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906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Annual Report on Form 10-K for the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bidi w:val="0"/>
        <w:spacing w:before="0" w:after="0"/>
        <w:ind w:left="0" w:right="0" w:hanging="0"/>
        <w:jc w:val="left"/>
        <w:rPr/>
      </w:pPr>
      <w:r>
        <w:rPr/>
        <w:t>​</w:t>
      </w:r>
    </w:p>
    <w:tbl>
      <w:tblPr>
        <w:tblW w:w="5867" w:type="dxa"/>
        <w:jc w:val="left"/>
        <w:tblInd w:w="0" w:type="dxa"/>
        <w:tblLayout w:type="fixed"/>
        <w:tblCellMar>
          <w:top w:w="0" w:type="dxa"/>
          <w:left w:w="0" w:type="dxa"/>
          <w:bottom w:w="0" w:type="dxa"/>
          <w:right w:w="0" w:type="dxa"/>
        </w:tblCellMar>
      </w:tblPr>
      <w:tblGrid>
        <w:gridCol w:w="1996"/>
        <w:gridCol w:w="387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267460" cy="175260"/>
                      <wp:effectExtent l="0" t="0" r="0" b="0"/>
                      <wp:wrapNone/>
                      <wp:docPr id="487" name="Frame461"/>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458085" cy="175260"/>
                      <wp:effectExtent l="0" t="0" r="0" b="0"/>
                      <wp:wrapNone/>
                      <wp:docPr id="488" name="Frame462"/>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31, 2026</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r>
      <w:tr>
        <w:trPr/>
        <w:tc>
          <w:tcPr>
            <w:tcW w:w="199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r>
      <w:tr>
        <w:trPr/>
        <w:tc>
          <w:tcPr>
            <w:tcW w:w="199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9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99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righ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31, 2026</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r>
      <w:tr>
        <w:trPr/>
        <w:tc>
          <w:tcPr>
            <w:tcW w:w="199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r>
      <w:tr>
        <w:trPr/>
        <w:tc>
          <w:tcPr>
            <w:tcW w:w="199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9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2.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hyperlink" Target="https://www.sec.gov/Archives/edgar/data/1798562/000121390021013347/ea137001ex2-1_sustainable.htm" TargetMode="External"/><Relationship Id="rId25" Type="http://schemas.openxmlformats.org/officeDocument/2006/relationships/hyperlink" Target="https://www.sec.gov/Archives/edgar/data/1798562/000110465926000247/tm2534530d1_ex3-3.htm" TargetMode="External"/><Relationship Id="rId26" Type="http://schemas.openxmlformats.org/officeDocument/2006/relationships/hyperlink" Target="https://www.sec.gov/Archives/edgar/data/1798562/000121390021048261/ea147253ex4-1_tmcthemet.htm" TargetMode="External"/><Relationship Id="rId27" Type="http://schemas.openxmlformats.org/officeDocument/2006/relationships/hyperlink" Target="https://www.sec.gov/Archives/edgar/data/1798562/000121390020011491/ea121545ex4-1_sustainable.htm" TargetMode="External"/><Relationship Id="rId28" Type="http://schemas.openxmlformats.org/officeDocument/2006/relationships/hyperlink" Target="https://www.sec.gov/Archives/edgar/data/1798562/000110465923091027/tm2323509d2_ex4-1.htm" TargetMode="External"/><Relationship Id="rId29" Type="http://schemas.openxmlformats.org/officeDocument/2006/relationships/hyperlink" Target="https://www.sec.gov/Archives/edgar/data/1798562/000110465924119790/tm2427511d3_ex4-1.htm" TargetMode="External"/><Relationship Id="rId30" Type="http://schemas.openxmlformats.org/officeDocument/2006/relationships/hyperlink" Target="https://www.sec.gov/Archives/edgar/data/1798562/000110465925060347/tm2518216d2_ex4-1.htm" TargetMode="External"/><Relationship Id="rId31" Type="http://schemas.openxmlformats.org/officeDocument/2006/relationships/hyperlink" Target="https://www.sec.gov/Archives/edgar/data/1798562/000110465925047373/tm2513980d1_ex4-1.htm" TargetMode="External"/><Relationship Id="rId32" Type="http://schemas.openxmlformats.org/officeDocument/2006/relationships/hyperlink" Target="https://www.sec.gov/Archives/edgar/data/1798562/000110465925056465/tm2516970d1_ex4-1.htm" TargetMode="External"/><Relationship Id="rId33" Type="http://schemas.openxmlformats.org/officeDocument/2006/relationships/hyperlink" Target="https://www.sec.gov/Archives/edgar/data/1798562/000110465925073359/tm2521867d2_ex4-1.htm" TargetMode="External"/><Relationship Id="rId34" Type="http://schemas.openxmlformats.org/officeDocument/2006/relationships/hyperlink" Target="https://www.sec.gov/Archives/edgar/data/1798562/000141057825001821/tmc-20250630xex4d4.htm" TargetMode="External"/><Relationship Id="rId35" Type="http://schemas.openxmlformats.org/officeDocument/2006/relationships/hyperlink" Target="https://www.sec.gov/Archives/edgar/data/1798562/000121390021020731/fs42021ex10-7_sustainable.htm" TargetMode="External"/><Relationship Id="rId36" Type="http://schemas.openxmlformats.org/officeDocument/2006/relationships/hyperlink" Target="https://www.sec.gov/Archives/edgar/data/1798562/000121390021020731/fs42021ex10-9_sustainable.htm" TargetMode="External"/><Relationship Id="rId37" Type="http://schemas.openxmlformats.org/officeDocument/2006/relationships/hyperlink" Target="https://www.sec.gov/Archives/edgar/data/1798562/000121390021036767/fs42021ex10-23_sustainable.htm" TargetMode="External"/><Relationship Id="rId38" Type="http://schemas.openxmlformats.org/officeDocument/2006/relationships/hyperlink" Target="https://www.sec.gov/Archives/edgar/data/1798562/000110465923023295/tm237199d2_ex10-1.htm" TargetMode="External"/><Relationship Id="rId39" Type="http://schemas.openxmlformats.org/officeDocument/2006/relationships/hyperlink" Target="https://www.sec.gov/Archives/edgar/data/1798562/000110465923086437/tm2322494d1_ex10-1.htm" TargetMode="External"/><Relationship Id="rId40" Type="http://schemas.openxmlformats.org/officeDocument/2006/relationships/hyperlink" Target="https://www.sec.gov/Archives/edgar/data/1798562/000110465925073359/tm2521867d2_ex10-1.htm" TargetMode="External"/><Relationship Id="rId41" Type="http://schemas.openxmlformats.org/officeDocument/2006/relationships/hyperlink" Target="https://www.sec.gov/Archives/edgar/data/1798562/000110465925073359/tm2521867d2_ex10-2.htm" TargetMode="External"/><Relationship Id="rId42" Type="http://schemas.openxmlformats.org/officeDocument/2006/relationships/hyperlink" Target="https://www.sec.gov/Archives/edgar/data/1798562/000110465925056465/tm2516970d1_ex10-1.htm" TargetMode="External"/><Relationship Id="rId43" Type="http://schemas.openxmlformats.org/officeDocument/2006/relationships/hyperlink" Target="https://www.sec.gov/Archives/edgar/data/1798562/000110465925056465/tm2516970d1_ex10-2.htm" TargetMode="External"/><Relationship Id="rId44" Type="http://schemas.openxmlformats.org/officeDocument/2006/relationships/hyperlink" Target="https://www.sec.gov/Archives/edgar/data/1798562/000121390021039153/fs42021a4ex10-24_sustainable.htm" TargetMode="External"/><Relationship Id="rId45" Type="http://schemas.openxmlformats.org/officeDocument/2006/relationships/hyperlink" Target="https://www.sec.gov/Archives/edgar/data/1798562/000121390021020731/fs42021ex10-15_sustainable.htm" TargetMode="External"/><Relationship Id="rId46" Type="http://schemas.openxmlformats.org/officeDocument/2006/relationships/hyperlink" Target="https://www.sec.gov/Archives/edgar/data/1798562/000121390021020731/fs42021ex10-16_sustainable.htm" TargetMode="External"/><Relationship Id="rId47" Type="http://schemas.openxmlformats.org/officeDocument/2006/relationships/hyperlink" Target="https://www.sec.gov/Archives/edgar/data/1798562/000121390021048261/ea147253ex10-18_tmcthemet.htm" TargetMode="External"/><Relationship Id="rId48" Type="http://schemas.openxmlformats.org/officeDocument/2006/relationships/hyperlink" Target="https://www.sec.gov/Archives/edgar/data/1798562/000121390021048261/ea147253ex10-19_tmcthemet.htm" TargetMode="External"/><Relationship Id="rId49" Type="http://schemas.openxmlformats.org/officeDocument/2006/relationships/hyperlink" Target="https://www.sec.gov/Archives/edgar/data/1798562/000110465924048642/tm2411911d1_ex10-1.htm" TargetMode="External"/><Relationship Id="rId50" Type="http://schemas.openxmlformats.org/officeDocument/2006/relationships/hyperlink" Target="https://www.sec.gov/Archives/edgar/data/1798562/000110465924048641/tm241118d2_ex10-16.htm" TargetMode="External"/><Relationship Id="rId51" Type="http://schemas.openxmlformats.org/officeDocument/2006/relationships/hyperlink" Target="https://www.sec.gov/Archives/edgar/data/1798562/000110465922057493/tmc-20220331xex10d2.htm" TargetMode="External"/><Relationship Id="rId52" Type="http://schemas.openxmlformats.org/officeDocument/2006/relationships/hyperlink" Target="https://www.sec.gov/Archives/edgar/data/1798562/000110465925084948/tm2524639d1_ex10-1.htm" TargetMode="External"/><Relationship Id="rId53" Type="http://schemas.openxmlformats.org/officeDocument/2006/relationships/hyperlink" Target="https://www.sec.gov/Archives/edgar/data/1798562/000121390021048261/ea147253ex10-23ii_tmcthemet.htm" TargetMode="External"/><Relationship Id="rId54" Type="http://schemas.openxmlformats.org/officeDocument/2006/relationships/hyperlink" Target="https://www.sec.gov/Archives/edgar/data/1798562/000121390021048261/ea147253ex10-23iii_tmcthemet.htm" TargetMode="External"/><Relationship Id="rId55" Type="http://schemas.openxmlformats.org/officeDocument/2006/relationships/hyperlink" Target="https://www.sec.gov/Archives/edgar/data/1798562/000121390021029413/fs42021a1ex10-20_sustainable.htm" TargetMode="External"/><Relationship Id="rId56" Type="http://schemas.openxmlformats.org/officeDocument/2006/relationships/hyperlink" Target="https://www.sec.gov/Archives/edgar/data/1798562/000121390021029413/fs42021a1ex10-21_sustainable.htm" TargetMode="External"/><Relationship Id="rId57" Type="http://schemas.openxmlformats.org/officeDocument/2006/relationships/hyperlink" Target="https://www.sec.gov/Archives/edgar/data/1798562/000110465922066562/tm2217188d2_ex99-1.htm" TargetMode="External"/><Relationship Id="rId58" Type="http://schemas.openxmlformats.org/officeDocument/2006/relationships/hyperlink" Target="https://www.sec.gov/Archives/edgar/data/1798562/000110465924046107/tm2411549d1_ex10-1.htm" TargetMode="External"/><Relationship Id="rId59" Type="http://schemas.openxmlformats.org/officeDocument/2006/relationships/hyperlink" Target="https://www.sec.gov/Archives/edgar/data/1798562/000110465925056465/tm2516970d1_ex10-3.htm" TargetMode="External"/><Relationship Id="rId60" Type="http://schemas.openxmlformats.org/officeDocument/2006/relationships/hyperlink" Target="https://www.sec.gov/Archives/edgar/data/1798562/000141057825001821/tmc-20250630xex10d7.htm" TargetMode="External"/><Relationship Id="rId61" Type="http://schemas.openxmlformats.org/officeDocument/2006/relationships/hyperlink" Target="https://www.sec.gov/Archives/edgar/data/1798562/000141057825001821/tmc-20250630xex10d6.htm" TargetMode="External"/><Relationship Id="rId62" Type="http://schemas.openxmlformats.org/officeDocument/2006/relationships/hyperlink" Target="https://www.sec.gov/Archives/edgar/data/1798562/000141057825001821/tmc-20250630xex10d8.htm" TargetMode="External"/><Relationship Id="rId63" Type="http://schemas.openxmlformats.org/officeDocument/2006/relationships/hyperlink" Target="https://www.sec.gov/Archives/edgar/data/1798562/000110465923091027/tm2323509d2_ex10-1.htm" TargetMode="External"/><Relationship Id="rId64" Type="http://schemas.openxmlformats.org/officeDocument/2006/relationships/hyperlink" Target="https://www.sec.gov/Archives/edgar/data/1798562/000110465924119790/tm2427511d3_ex10-1.htm" TargetMode="External"/><Relationship Id="rId65" Type="http://schemas.openxmlformats.org/officeDocument/2006/relationships/hyperlink" Target="https://www.sec.gov/Archives/edgar/data/1798562/000110465924123189/tm2429063d2_ex10-1.htm" TargetMode="External"/><Relationship Id="rId66" Type="http://schemas.openxmlformats.org/officeDocument/2006/relationships/hyperlink" Target="https://www.sec.gov/Archives/edgar/data/1798562/000110465925047373/tm2513980d1_ex10-1.htm" TargetMode="External"/><Relationship Id="rId67" Type="http://schemas.openxmlformats.org/officeDocument/2006/relationships/hyperlink" Target="https://www.sec.gov/Archives/edgar/data/1798562/000141057825001821/tmc-20250630xex10d5.htm" TargetMode="External"/><Relationship Id="rId68" Type="http://schemas.openxmlformats.org/officeDocument/2006/relationships/hyperlink" Target="https://www.sec.gov/Archives/edgar/data/1798562/000110465923024088/tm237472d2_ex10-1.htm" TargetMode="External"/><Relationship Id="rId69" Type="http://schemas.openxmlformats.org/officeDocument/2006/relationships/hyperlink" Target="https://www.sec.gov/Archives/edgar/data/1798562/000110465923024088/tm237472d2_ex10-2.htm" TargetMode="External"/><Relationship Id="rId70" Type="http://schemas.openxmlformats.org/officeDocument/2006/relationships/hyperlink" Target="https://www.sec.gov/Archives/edgar/data/1798562/000110465924038505/tmc-20231231xex10d34.htm" TargetMode="External"/><Relationship Id="rId71" Type="http://schemas.openxmlformats.org/officeDocument/2006/relationships/hyperlink" Target="https://www.sec.gov/Archives/edgar/data/1798562/000110465924089697/tmc-20240630xex10d5.htm" TargetMode="External"/><Relationship Id="rId72" Type="http://schemas.openxmlformats.org/officeDocument/2006/relationships/hyperlink" Target="https://www.sec.gov/Archives/edgar/data/1798562/000141057825000516/tmc-20241231xex10d44.htm" TargetMode="External"/><Relationship Id="rId73" Type="http://schemas.openxmlformats.org/officeDocument/2006/relationships/hyperlink" Target="https://www.sec.gov/Archives/edgar/data/1798562/000141057825000516/tmc-20241231xex10d45.htm" TargetMode="External"/><Relationship Id="rId74" Type="http://schemas.openxmlformats.org/officeDocument/2006/relationships/hyperlink" Target="https://www.sec.gov/Archives/edgar/data/1798562/000110465925073349/tm2521867d1_ex96-1.htm" TargetMode="External"/><Relationship Id="rId75" Type="http://schemas.openxmlformats.org/officeDocument/2006/relationships/hyperlink" Target="https://www.sec.gov/Archives/edgar/data/1798562/000110465925073349/tm2521867d1_ex96-2.htm" TargetMode="External"/><Relationship Id="rId76" Type="http://schemas.openxmlformats.org/officeDocument/2006/relationships/hyperlink" Target="https://www.sec.gov/Archives/edgar/data/1798562/000110465924038505/tmc-20231231xex97d1.htm" TargetMode="External"/><Relationship Id="rId77" Type="http://schemas.openxmlformats.org/officeDocument/2006/relationships/image" Target="media/image22.jpeg"/><Relationship Id="rId78" Type="http://schemas.openxmlformats.org/officeDocument/2006/relationships/image" Target="media/image23.jpeg"/><Relationship Id="rId79" Type="http://schemas.openxmlformats.org/officeDocument/2006/relationships/image" Target="media/image24.jpeg"/><Relationship Id="rId80" Type="http://schemas.openxmlformats.org/officeDocument/2006/relationships/image" Target="media/image24.jpeg"/><Relationship Id="rId81" Type="http://schemas.openxmlformats.org/officeDocument/2006/relationships/fontTable" Target="fontTable.xml"/><Relationship Id="rId8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129810</Words>
  <Characters>706888</Characters>
  <CharactersWithSpaces>837884</CharactersWithSpaces>
  <Paragraphs>12737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