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22, 2026, the Company issued a press release announcing that its wholly-owned subsidiary, The Metals Company USA, LLC (“TMC USA”), formally submitted a consolidated application to the National Oceanic and Atmospheric Administration (“NOAA”) for an exploration license and a commercial recovery permit for polymetallic nodules in international waters of the Clarion Clipperton Zone in the Pacific Ocean. The application was filed under NOAA’s new consolidated application and review process and represents the first submission of its kind. The press release is furnished with this Current Report on Form 8-K as Exhibit 99.1 and incorporated into this Item 7.01 by reference.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414"/>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700" w:type="dxa"/>
            <w:vAlign w:val="bottom"/>
          </w:tcPr>
          <w:p>
            <w:pPr>
              <w:spacing w:after="0"/>
              <w:rPr>
                <w:sz w:val="24"/>
                <w:szCs w:val="24"/>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January 22, 2026</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USA Files First Consolidated Deep-Seabed Mining Application, Increasing Expected Commercial Recovery Permit Area to 65,000 km</w:t>
      </w:r>
      <w:r>
        <w:rPr>
          <w:rFonts w:ascii="Times New Roman" w:cs="Times New Roman" w:eastAsia="Times New Roman" w:hAnsi="Times New Roman"/>
          <w:sz w:val="29"/>
          <w:szCs w:val="29"/>
          <w:b w:val="1"/>
          <w:bCs w:val="1"/>
          <w:color w:val="auto"/>
          <w:vertAlign w:val="superscript"/>
        </w:rPr>
        <w:t>2</w:t>
      </w:r>
    </w:p>
    <w:p>
      <w:pPr>
        <w:spacing w:after="0" w:line="139" w:lineRule="exact"/>
        <w:rPr>
          <w:sz w:val="20"/>
          <w:szCs w:val="20"/>
          <w:color w:val="auto"/>
        </w:rPr>
      </w:pPr>
    </w:p>
    <w:p>
      <w:pPr>
        <w:ind w:left="660" w:right="20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Application is the first consolidated exploration license and commercial recovery permit application submitted under NOAA’s new consolidated application and review process—which the Company expects will reduce permitting timelines for companies with completed exploration programs—in line with Executive Order 14285, </w:t>
      </w:r>
      <w:r>
        <w:rPr>
          <w:rFonts w:ascii="Times New Roman" w:cs="Times New Roman" w:eastAsia="Times New Roman" w:hAnsi="Times New Roman"/>
          <w:sz w:val="18"/>
          <w:szCs w:val="18"/>
          <w:i w:val="1"/>
          <w:iCs w:val="1"/>
          <w:color w:val="auto"/>
        </w:rPr>
        <w:t>‘Unleashing America’s Critical Offshore Minerals and Resources’</w:t>
      </w:r>
    </w:p>
    <w:p>
      <w:pPr>
        <w:spacing w:after="0" w:line="1" w:lineRule="exact"/>
        <w:rPr>
          <w:rFonts w:ascii="Times New Roman" w:cs="Times New Roman" w:eastAsia="Times New Roman" w:hAnsi="Times New Roman"/>
          <w:sz w:val="18"/>
          <w:szCs w:val="18"/>
          <w:color w:val="auto"/>
        </w:rPr>
      </w:pPr>
    </w:p>
    <w:p>
      <w:pPr>
        <w:ind w:left="660" w:right="340" w:hanging="328"/>
        <w:spacing w:after="0" w:line="219"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application covers areas previously applied over in April 2025 and increases the commercial recovery area from ~25,000 to ~65,000 km</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with an estimated resource of 619 million tonnes (Mt) of wet nodules and a potential exploration upside of an additional 200 Mt</w:t>
      </w:r>
    </w:p>
    <w:p>
      <w:pPr>
        <w:spacing w:after="0" w:line="1" w:lineRule="exact"/>
        <w:rPr>
          <w:rFonts w:ascii="Times New Roman" w:cs="Times New Roman" w:eastAsia="Times New Roman" w:hAnsi="Times New Roman"/>
          <w:sz w:val="17"/>
          <w:szCs w:val="17"/>
          <w:color w:val="auto"/>
        </w:rPr>
      </w:pPr>
    </w:p>
    <w:p>
      <w:pPr>
        <w:ind w:left="660" w:right="160" w:hanging="328"/>
        <w:spacing w:after="0" w:line="24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TMC USA applied under the new consolidated application process because it can demonstrate the scientific, technical and financial capability to pursue commercial recovery activities expeditiously and in accordance with the new rule</w:t>
      </w:r>
    </w:p>
    <w:p>
      <w:pPr>
        <w:ind w:left="660" w:right="18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newly published, peer-reviewed research drawing on the Company’s test mining and recovery data—which demonstrates that both benthic biodiversity and sediment plume impacts are confined to the directly mined area—TMC USA is confident that its dataset provides a robust, scientifically grounded basis to commence and responsibly scale commercial operations</w:t>
      </w:r>
    </w:p>
    <w:p>
      <w:pPr>
        <w:spacing w:after="0" w:line="18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Jan. 22, 2026 </w:t>
      </w:r>
      <w:r>
        <w:rPr>
          <w:rFonts w:ascii="Times New Roman" w:cs="Times New Roman" w:eastAsia="Times New Roman" w:hAnsi="Times New Roman"/>
          <w:sz w:val="18"/>
          <w:szCs w:val="18"/>
          <w:color w:val="auto"/>
        </w:rPr>
        <w:t>— TMC the metals company Inc. (Nasdaq: TMC) (“TMC” or the “Company”), a leading developer of the world’s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 of critical metals essential to energy, defense, manufacturing and infrastructure, today announced that its U.S. subsidiary, The Metals Company USA LLC (“TMC USA”), has submitted a consolidated application to the National Oceanic and Atmospheric Administration (NOAA) for an exploration license and a commercial recovery permit for polymetallic nodules in international waters of the Clarion Clipperton Zone (CCZ) in the Pacific Ocean.</w:t>
      </w:r>
    </w:p>
    <w:p>
      <w:pPr>
        <w:spacing w:after="0" w:line="180" w:lineRule="exact"/>
        <w:rPr>
          <w:sz w:val="20"/>
          <w:szCs w:val="20"/>
          <w:color w:val="auto"/>
        </w:rPr>
      </w:pPr>
    </w:p>
    <w:p>
      <w:pPr>
        <w:jc w:val="both"/>
        <w:ind w:right="560"/>
        <w:spacing w:after="0" w:line="226" w:lineRule="auto"/>
        <w:rPr>
          <w:sz w:val="20"/>
          <w:szCs w:val="20"/>
          <w:color w:val="auto"/>
        </w:rPr>
      </w:pPr>
      <w:r>
        <w:rPr>
          <w:rFonts w:ascii="Times New Roman" w:cs="Times New Roman" w:eastAsia="Times New Roman" w:hAnsi="Times New Roman"/>
          <w:sz w:val="18"/>
          <w:szCs w:val="18"/>
          <w:color w:val="auto"/>
        </w:rPr>
        <w:t>The application was filed under NOAA’s new consolidated application and review process and represents the first submission of its kind. It covers a ~65,000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exploration and commercial recovery area in the CCZ, compared to a commercial recovery area of ~25,000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TMC USA’s initial commercial recovery permit application from April 2025.</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Gerard Barron, Chairman and CEO of TMC, commented: “This new application represents the culmination of more than a decade of disciplined scientific, engineering, and environmental work. It translates years of exploration, testing, and data collection into a single, comprehensive submission for a defined, expanded, and game-changing critical minerals project, with more than 800 million estimated tonnes of nodules containing high-grade nickel, copper, cobalt and manganese — representing a metal grade of approximately 3.2% for nickel equivalent and 7% copper equivalent. We believe it demonstrates both the maturity of our project and our readiness to proceed to commercial operations under the U.S. regulatory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He added: “I want to commend the U.S. Administration for its recognition of critical minerals as a matter of national security and that offshore minerals are a key part of the solution.”</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increase in the proposed commercial recovery area is supported by extensive prior work, including multi-year environmental baseline studies, resource assessments, engineering development, and offshore test mining. The application incorporates data and analyses generated through 27 offshore resource and environmental research cruises (across both NORI-D and TOML-F and inclusive of all phases of the post-test mining sampling program), thousands of seafloor samples, and the largest integrated test mining campaign conducted in the deep sea since U.S.-based consortia first tested technologies in the CCZ in the 1970s.</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Supported by newly published, peer-reviewed research by independent academics drawing on the Company’s test mining and recovery data— demonstrating that both biodiversity and sediment plume impacts are confined to the directly mined area—TMC is confident that its dataset provides a robust, scientifically grounded basis to commence and responsibly scale its commercial operations.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application outlines a careful phased development approach, beginning with commercial recovery activities in a portion of the license area where nodules and habitats have been extensively characterized and where test mining and monitoring have already been completed. These prior activities include the successful collection of 3,000 tonnes of polymetallic nodules using a fully-integrated system, comprehensive environmental monitoring from the seafloor to the ocean surface, and pilot- and commercial-scale processing tests demonstrating the conversion of nodules into battery and steelmaking feedstocks.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NOAA has played a central role in advancing scientific understanding of deep seabed mining impacts since the 1970s, including conducting environmental research cruises in the Clarion Clipperton Zone (CCZ), monitoring early nodule collection trials, and publishing a Programmatic Environmental Impact Statement covering the CCZ in 1981. The agency issued comprehensive DSHMRA implementing regulations in 1981 (exploration licenses) and 1989 (commercial recovery permits) and has maintained an active licensing program since that time, with multiple exploration licenses renewed on a five-year basis. The newly effective rule updates this regulatory framework to reflect decades of additional environmental research, data collection, and technological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300"/>
        <w:spacing w:after="0" w:line="282" w:lineRule="auto"/>
        <w:rPr>
          <w:sz w:val="20"/>
          <w:szCs w:val="20"/>
          <w:color w:val="auto"/>
        </w:rPr>
      </w:pPr>
      <w:r>
        <w:rPr>
          <w:rFonts w:ascii="Times New Roman" w:cs="Times New Roman" w:eastAsia="Times New Roman" w:hAnsi="Times New Roman"/>
          <w:sz w:val="18"/>
          <w:szCs w:val="18"/>
          <w:color w:val="auto"/>
        </w:rPr>
        <w:t>Since its founding, the Company has delivered many of the nodule industry’s firsts, uniquely positioning TMC USA to pursue commercial recovery activities expeditiously in accordance with the new NOAA rule.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&amp; Economics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Canadian NI 43-101 nodule resource statement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U.S. SEC S-K 1300 nodule resource statement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U.S. SEC S-K 1300 Preliminary Feasibility Study (PFS)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U.S. SEC S-K 1300 declared nodule reserves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Nodule Collection</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integrated pilot mining test since the 1970s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innovations in system design informed by environmental baseline and pilot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Nodule Processing &amp; Refining</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near zero-solid-waste flowsheet design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production of NiCuCo alloy since the 1970s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production of NiCuCo matte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production of Ni sulfate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production of Co sulfate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production of Mn sulfate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production of Mn silicate and NiCuCo alloy at industrial scale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Permitting &amp; Environmental Impact Assessment</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application for commercial recovery permit to NOAA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integrated collection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completed environmental baseline study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integrated pilot mining test since the 1970s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in-situ geotechnical CPT measurements in the CCZ</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complete environmental monitoring as part of an integrated pilot mining test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midwater discharge plume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calibrated seafloor production sound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profiling of collector seafloor plume using ADCP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integrated seafloor-to-surface environmental impacts assessment (EIA)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commercial lifecycle impacts assessment (LCA)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www.metals.co.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anticipated review of the consolidated application submitted under NOAA’s new regulations under DSHMRA; the expected initial operations of the Company in the event the consolidated application is approved; the expected biological communities and near-bottom sediment plume dynamics in the mining sites; the results of the PFS, including project economics, capital and operating cost projections, expected production volumes, recoveries and grades; and the anticipated commercial development upon approval of the consolidated application.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outcome and timing of regulatory reviews by NOAA under the Deep Seabed Hard Mineral Resources Act of 1980 and the regulations promulgated thereunder; the ability to obtain an exploitation contract from the International Seabed Authority or permits from the U.S. government; risks related to the Company’s dual path permitting strategy; changes in environmental, mining and other applicable laws and regulations; the development, testing and scaling of offshore collection systems; risks related to strategic partnerships and technology sharing; uncertainties relating to processing nodules at commercial scale; the outcome of any pending or future litigation; and other risks and uncertainties described in greater detail in the section entitled Risk Factors in the Company’s Annual Report on Form 10-K for the year ended December 31, 2024, filed with the U.S. Securities and Exchange Commission on March 27, 2025, and in subsequent Quarterly Reports on Form 10-Q and Current Reports on Form 8-K filed with the U.S. Securities and Exchange Commission, including the Company’s Quarterly Reports on Form 10-Q for the quarter ended March 31, 2025, filed on May 14, 2025, and for the quarter ended June 30, 2025 filed on August 14, 2025. Any forward-looking statements contained in this press release speak only as of the date hereof, and the Company expressly disclaims any obligation to update any forward-looking statements contained herein, whether because of new information, future events, changed circumstances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2026-01-22T07:34:35Z</dcterms:created>
  <dcterms:modified xsi:type="dcterms:W3CDTF">2026-01-22T07:34:35Z</dcterms:modified>
</cp:coreProperties>
</file>