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Hall Andrew</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19,395</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270,388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292,759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updates information included in the Form 4 filed for the reporting person on November 21, 2024, to reflect the amount of securities beneficially owned following the reported transaction as 250,993 (as opposed to 182,966).</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2026 annual meeting of shareholders, subject to the Reporting Person's continued service through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 </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rPr>
          <w:sz w:val="20"/>
          <w:szCs w:val="20"/>
          <w:color w:val="auto"/>
        </w:rPr>
      </w:pPr>
      <w:r>
        <w:rPr>
          <w:rFonts w:ascii="Times New Roman" w:cs="Times New Roman" w:eastAsia="Times New Roman" w:hAnsi="Times New Roman"/>
          <w:sz w:val="21"/>
          <w:szCs w:val="21"/>
          <w:color w:val="auto"/>
        </w:rPr>
        <w:t> </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Suzuki, Daniel Kajunski, Maura Foley and Robyn Frattali of Mintz, Levin, Cohn, Ferris, Glovsky and Popeo, P.C., and each of Craig Shesky, Ryan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Coombes, Michelle Ancosky and Claude Plourde of TMC the metals company Inc. (the “Company”), signing singly, with full power of substitution,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undersigned's true and lawful attorney-in-fact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right="1940"/>
        <w:spacing w:after="0" w:line="247" w:lineRule="auto"/>
        <w:rPr>
          <w:sz w:val="20"/>
          <w:szCs w:val="20"/>
          <w:color w:val="auto"/>
        </w:rPr>
      </w:pPr>
      <w:r>
        <w:rPr>
          <w:rFonts w:ascii="Times New Roman" w:cs="Times New Roman" w:eastAsia="Times New Roman" w:hAnsi="Times New Roman"/>
          <w:sz w:val="18"/>
          <w:szCs w:val="18"/>
          <w:color w:val="auto"/>
        </w:rPr>
        <w:t>(1)                execute for and on behalf of the undersigned, forms and authentication documents for EDGAR Filing Access;  </w:t>
      </w:r>
    </w:p>
    <w:p>
      <w:pPr>
        <w:jc w:val="both"/>
        <w:ind w:right="20" w:firstLine="640"/>
        <w:spacing w:after="0" w:line="247" w:lineRule="auto"/>
        <w:rPr>
          <w:sz w:val="20"/>
          <w:szCs w:val="20"/>
          <w:color w:val="auto"/>
        </w:rPr>
      </w:pPr>
      <w:r>
        <w:rPr>
          <w:rFonts w:ascii="Times New Roman" w:cs="Times New Roman" w:eastAsia="Times New Roman" w:hAnsi="Times New Roman"/>
          <w:sz w:val="18"/>
          <w:szCs w:val="18"/>
          <w:color w:val="auto"/>
        </w:rPr>
        <w:t>(2)                do and perform any and all acts for and on behalf of the undersigned which may be necessary or desirable to complete and execute any such forms and authentication documents;</w:t>
      </w: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18"/>
          <w:szCs w:val="18"/>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jc w:val="both"/>
        <w:ind w:right="20" w:firstLine="640"/>
        <w:spacing w:after="0" w:line="247" w:lineRule="auto"/>
        <w:rPr>
          <w:sz w:val="20"/>
          <w:szCs w:val="20"/>
          <w:color w:val="auto"/>
        </w:rPr>
      </w:pPr>
      <w:r>
        <w:rPr>
          <w:rFonts w:ascii="Times New Roman" w:cs="Times New Roman" w:eastAsia="Times New Roman" w:hAnsi="Times New Roman"/>
          <w:sz w:val="18"/>
          <w:szCs w:val="18"/>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(5)                take any other action of any type whatsoever in connection with the foregoing which, in the opinion of such attorney-in-fact, may be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to, in the best interests of, or legally required by, the undersigned, it being understood that the documents executed by such attorney-in-fact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undersigned pursuant to this Power of Attorney shall be in such form and shall contain such terms and conditions as such attorney-in-fact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approve in such attorney-in-fact's discretion.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right="20" w:firstLine="640"/>
        <w:spacing w:after="0" w:line="247"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undersigned's holdings of and transactions in securities issued by the Company, unless earlier revoked by the undersigned in a signed writing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the foregoing attorneys-in-fact.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Andrew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3810</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8"/>
          <w:szCs w:val="18"/>
          <w:color w:val="auto"/>
        </w:rPr>
        <w:t>Andrew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sectPr>
      <w:pgSz w:w="11900" w:h="16838" w:orient="portrait"/>
      <w:cols w:equalWidth="0" w:num="1">
        <w:col w:w="10980"/>
      </w:cols>
      <w:pgMar w:left="46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4417"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2025-06-03T07:52:40Z</dcterms:created>
  <dcterms:modified xsi:type="dcterms:W3CDTF">2025-06-03T07:52:40Z</dcterms:modified>
</cp:coreProperties>
</file>