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48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4851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Sustainable Opportunities</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Holdings LLC</w:t>
              </w:r>
            </w:hyperlink>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Sustainable Opportunities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SOAC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1601 BRYAN STREET, SUITE 4141</w:t>
            </w: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75201</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8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tcPr>
          <w:p>
            <w:pPr>
              <w:ind w:left="220"/>
              <w:spacing w:after="0"/>
              <w:rPr>
                <w:sz w:val="20"/>
                <w:szCs w:val="20"/>
                <w:color w:val="auto"/>
              </w:rPr>
            </w:pPr>
            <w:r>
              <w:rPr>
                <w:rFonts w:ascii="Arial" w:cs="Arial" w:eastAsia="Arial" w:hAnsi="Arial"/>
                <w:sz w:val="20"/>
                <w:szCs w:val="20"/>
                <w:color w:val="0000FF"/>
                <w:w w:val="98"/>
              </w:rPr>
              <w:t>Class A ordinary</w:t>
            </w:r>
          </w:p>
        </w:tc>
        <w:tc>
          <w:tcPr>
            <w:tcW w:w="1160" w:type="dxa"/>
            <w:vAlign w:val="bottom"/>
            <w:vMerge w:val="restart"/>
          </w:tcPr>
          <w:p>
            <w:pPr>
              <w:ind w:left="160"/>
              <w:spacing w:after="0"/>
              <w:rPr>
                <w:sz w:val="20"/>
                <w:szCs w:val="20"/>
                <w:color w:val="auto"/>
              </w:rPr>
            </w:pPr>
            <w:r>
              <w:rPr>
                <w:rFonts w:ascii="Arial" w:cs="Arial" w:eastAsia="Arial" w:hAnsi="Arial"/>
                <w:sz w:val="20"/>
                <w:szCs w:val="20"/>
                <w:color w:val="0000FF"/>
                <w:w w:val="89"/>
              </w:rPr>
              <w:t>8,535,000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4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shares</w:t>
            </w:r>
          </w:p>
        </w:tc>
        <w:tc>
          <w:tcPr>
            <w:tcW w:w="1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40" w:right="22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 -- 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36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Class B ordinary shares beneficially owned by the reporting person include up to 1,125,000 shares that are subject to forfeiture to the extent the underwriter of the initial public offering of the issuer's securities does not exercise in full its over-allotment option as described in the issuer's registration statement.</w:t>
      </w:r>
    </w:p>
    <w:p>
      <w:pPr>
        <w:spacing w:after="0" w:line="3" w:lineRule="exact"/>
        <w:rPr>
          <w:rFonts w:ascii="Arial" w:cs="Arial" w:eastAsia="Arial" w:hAnsi="Arial"/>
          <w:sz w:val="14"/>
          <w:szCs w:val="14"/>
          <w:color w:val="008000"/>
        </w:rPr>
      </w:pPr>
    </w:p>
    <w:p>
      <w:pPr>
        <w:ind w:left="40" w:right="1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Scott Leonard and Scott Honour have voting and investment discretion with respect to the securities held by the reporting person and may be deemed to have shared beneficial ownership of the securities held directly by the reporting person. The business address of each of these individuals is c/o Sustainable Opportunities Acquisition Corp., 1601 Bryan Street, Suite 4141, Dallas, TX 75201.</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Scott Leonard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Manager</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08234"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2020-05-05T19:07:43Z</dcterms:created>
  <dcterms:modified xsi:type="dcterms:W3CDTF">2020-05-05T19:07:43Z</dcterms:modified>
</cp:coreProperties>
</file>