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3485"/>
                    </a:xfrm>
                    <a:prstGeom prst="rect">
                      <a:avLst/>
                    </a:prstGeom>
                    <a:noFill/>
                  </pic:spPr>
                </pic:pic>
              </a:graphicData>
            </a:graphic>
          </wp:anchor>
        </w:drawing>
      </w:r>
    </w:p>
    <w:p>
      <w:pPr>
        <w:spacing w:after="0" w:line="1018" w:lineRule="exact"/>
        <w:rPr>
          <w:sz w:val="24"/>
          <w:szCs w:val="24"/>
          <w:color w:val="auto"/>
        </w:rPr>
      </w:pPr>
    </w:p>
    <w:p>
      <w:pPr>
        <w:sectPr>
          <w:pgSz w:w="11900" w:h="16893"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restart"/>
          </w:tcPr>
          <w:p>
            <w:pPr>
              <w:spacing w:after="0" w:line="228"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O'Sullivan Anthony</w:t>
              </w:r>
            </w:hyperlink>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TMC the metals Co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TMC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5"/>
                <w:szCs w:val="5"/>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8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2"/>
          </w:tcPr>
          <w:p>
            <w:pPr>
              <w:ind w:left="160"/>
              <w:spacing w:after="0" w:line="116" w:lineRule="exact"/>
              <w:rPr>
                <w:sz w:val="20"/>
                <w:szCs w:val="20"/>
                <w:color w:val="auto"/>
              </w:rPr>
            </w:pPr>
            <w:r>
              <w:rPr>
                <w:rFonts w:ascii="Arial" w:cs="Arial" w:eastAsia="Arial" w:hAnsi="Arial"/>
                <w:sz w:val="12"/>
                <w:szCs w:val="12"/>
                <w:color w:val="auto"/>
              </w:rPr>
              <w:t>Officer (give title</w:t>
            </w:r>
          </w:p>
        </w:tc>
        <w:tc>
          <w:tcPr>
            <w:tcW w:w="1480" w:type="dxa"/>
            <w:vAlign w:val="bottom"/>
            <w:gridSpan w:val="6"/>
          </w:tcPr>
          <w:p>
            <w:pPr>
              <w:ind w:left="220"/>
              <w:spacing w:after="0" w:line="11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tcBorders>
              <w:top w:val="single" w:sz="8" w:color="EEEEEE"/>
              <w:bottom w:val="single" w:sz="8" w:color="EEEEEE"/>
            </w:tcBorders>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60"/>
              <w:spacing w:after="0" w:line="114" w:lineRule="exact"/>
              <w:rPr>
                <w:sz w:val="20"/>
                <w:szCs w:val="20"/>
                <w:color w:val="auto"/>
              </w:rPr>
            </w:pPr>
            <w:r>
              <w:rPr>
                <w:rFonts w:ascii="Arial" w:cs="Arial" w:eastAsia="Arial" w:hAnsi="Arial"/>
                <w:sz w:val="12"/>
                <w:szCs w:val="12"/>
                <w:color w:val="auto"/>
              </w:rPr>
              <w:t>below)</w:t>
            </w:r>
          </w:p>
        </w:tc>
        <w:tc>
          <w:tcPr>
            <w:tcW w:w="780" w:type="dxa"/>
            <w:vAlign w:val="bottom"/>
          </w:tcPr>
          <w:p>
            <w:pPr>
              <w:spacing w:after="0"/>
              <w:rPr>
                <w:sz w:val="12"/>
                <w:szCs w:val="12"/>
                <w:color w:val="auto"/>
              </w:rPr>
            </w:pPr>
          </w:p>
        </w:tc>
        <w:tc>
          <w:tcPr>
            <w:tcW w:w="600" w:type="dxa"/>
            <w:vAlign w:val="bottom"/>
          </w:tcPr>
          <w:p>
            <w:pPr>
              <w:jc w:val="center"/>
              <w:ind w:left="155"/>
              <w:spacing w:after="0" w:line="114" w:lineRule="exact"/>
              <w:rPr>
                <w:sz w:val="20"/>
                <w:szCs w:val="20"/>
                <w:color w:val="auto"/>
              </w:rPr>
            </w:pPr>
            <w:r>
              <w:rPr>
                <w:rFonts w:ascii="Arial" w:cs="Arial" w:eastAsia="Arial" w:hAnsi="Arial"/>
                <w:sz w:val="12"/>
                <w:szCs w:val="12"/>
                <w:color w:val="auto"/>
              </w:rPr>
              <w:t>below)</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0000FF"/>
                <w:w w:val="98"/>
              </w:rPr>
              <w:t>Chief Development Officer</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vMerge w:val="continue"/>
          </w:tcPr>
          <w:p>
            <w:pPr>
              <w:spacing w:after="0"/>
              <w:rPr>
                <w:sz w:val="18"/>
                <w:szCs w:val="18"/>
                <w:color w:val="auto"/>
              </w:rPr>
            </w:pPr>
          </w:p>
        </w:tc>
        <w:tc>
          <w:tcPr>
            <w:tcW w:w="122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05/27/2025</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920" w:type="dxa"/>
            <w:vAlign w:val="bottom"/>
            <w:tcBorders>
              <w:bottom w:val="single" w:sz="8" w:color="808080"/>
            </w:tcBorders>
            <w:gridSpan w:val="4"/>
          </w:tcPr>
          <w:p>
            <w:pPr>
              <w:spacing w:after="0"/>
              <w:rPr>
                <w:sz w:val="17"/>
                <w:szCs w:val="17"/>
                <w:color w:val="auto"/>
              </w:rPr>
            </w:pPr>
          </w:p>
        </w:tc>
        <w:tc>
          <w:tcPr>
            <w:tcW w:w="1500" w:type="dxa"/>
            <w:vAlign w:val="bottom"/>
            <w:tcBorders>
              <w:bottom w:val="single" w:sz="8" w:color="808080"/>
            </w:tcBorders>
            <w:gridSpan w:val="3"/>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gridSpan w:val="2"/>
          </w:tcPr>
          <w:p>
            <w:pPr>
              <w:spacing w:after="0"/>
              <w:rPr>
                <w:sz w:val="17"/>
                <w:szCs w:val="17"/>
                <w:color w:val="auto"/>
              </w:rPr>
            </w:pPr>
          </w:p>
        </w:tc>
        <w:tc>
          <w:tcPr>
            <w:tcW w:w="2860" w:type="dxa"/>
            <w:vAlign w:val="bottom"/>
            <w:tcBorders>
              <w:bottom w:val="single" w:sz="8" w:color="808080"/>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VANCOUVER   A1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V6E 2J3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jc w:val="right"/>
              <w:ind w:right="22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8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gridSpan w:val="6"/>
          </w:tcPr>
          <w:p>
            <w:pPr>
              <w:jc w:val="center"/>
              <w:ind w:left="672"/>
              <w:spacing w:after="0" w:line="124"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5"/>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jc w:val="center"/>
              <w:ind w:left="672"/>
              <w:spacing w:after="0"/>
              <w:rPr>
                <w:sz w:val="20"/>
                <w:szCs w:val="20"/>
                <w:color w:val="auto"/>
              </w:rPr>
            </w:pPr>
            <w:r>
              <w:rPr>
                <w:rFonts w:ascii="Times New Roman" w:cs="Times New Roman" w:eastAsia="Times New Roman" w:hAnsi="Times New Roman"/>
                <w:sz w:val="16"/>
                <w:szCs w:val="16"/>
                <w:color w:val="0000FF"/>
                <w:w w:val="98"/>
              </w:rPr>
              <w:t>08/26/2025</w:t>
            </w: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w w:val="99"/>
              </w:rPr>
              <w:t>250,000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0.65</w:t>
            </w:r>
          </w:p>
        </w:tc>
        <w:tc>
          <w:tcPr>
            <w:tcW w:w="152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1,375,667</w:t>
            </w:r>
          </w:p>
        </w:tc>
        <w:tc>
          <w:tcPr>
            <w:tcW w:w="60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6"/>
          </w:tcPr>
          <w:p>
            <w:pPr>
              <w:jc w:val="center"/>
              <w:ind w:left="672"/>
              <w:spacing w:after="0"/>
              <w:rPr>
                <w:sz w:val="20"/>
                <w:szCs w:val="20"/>
                <w:color w:val="auto"/>
              </w:rPr>
            </w:pPr>
            <w:r>
              <w:rPr>
                <w:rFonts w:ascii="Times New Roman" w:cs="Times New Roman" w:eastAsia="Times New Roman" w:hAnsi="Times New Roman"/>
                <w:sz w:val="16"/>
                <w:szCs w:val="16"/>
                <w:color w:val="0000FF"/>
                <w:w w:val="98"/>
              </w:rPr>
              <w:t>08/26/2025</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250,000</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5.25</w:t>
            </w:r>
          </w:p>
        </w:tc>
        <w:tc>
          <w:tcPr>
            <w:tcW w:w="152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1,125,667</w:t>
            </w:r>
          </w:p>
        </w:tc>
        <w:tc>
          <w:tcPr>
            <w:tcW w:w="60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JOZEM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Pty Ltd.,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Trustee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gridSpan w:val="6"/>
            <w:vMerge w:val="restart"/>
          </w:tcPr>
          <w:p>
            <w:pPr>
              <w:jc w:val="center"/>
              <w:ind w:left="672"/>
              <w:spacing w:after="0"/>
              <w:rPr>
                <w:sz w:val="20"/>
                <w:szCs w:val="20"/>
                <w:color w:val="auto"/>
              </w:rPr>
            </w:pPr>
            <w:r>
              <w:rPr>
                <w:rFonts w:ascii="Times New Roman" w:cs="Times New Roman" w:eastAsia="Times New Roman" w:hAnsi="Times New Roman"/>
                <w:sz w:val="16"/>
                <w:szCs w:val="16"/>
                <w:color w:val="0000FF"/>
                <w:w w:val="98"/>
              </w:rPr>
              <w:t>05/27/2025</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100,000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4.78</w:t>
            </w:r>
          </w:p>
        </w:tc>
        <w:tc>
          <w:tcPr>
            <w:tcW w:w="1520" w:type="dxa"/>
            <w:vAlign w:val="bottom"/>
            <w:gridSpan w:val="3"/>
            <w:vMerge w:val="restart"/>
          </w:tcPr>
          <w:p>
            <w:pPr>
              <w:jc w:val="center"/>
              <w:ind w:right="303"/>
              <w:spacing w:after="0"/>
              <w:rPr>
                <w:sz w:val="20"/>
                <w:szCs w:val="20"/>
                <w:color w:val="auto"/>
              </w:rPr>
            </w:pPr>
            <w:r>
              <w:rPr>
                <w:rFonts w:ascii="Times New Roman" w:cs="Times New Roman" w:eastAsia="Times New Roman" w:hAnsi="Times New Roman"/>
                <w:sz w:val="16"/>
                <w:szCs w:val="16"/>
                <w:color w:val="0000FF"/>
                <w:w w:val="94"/>
              </w:rPr>
              <w:t>235,110</w:t>
            </w:r>
            <w:r>
              <w:rPr>
                <w:rFonts w:ascii="Times New Roman" w:cs="Times New Roman" w:eastAsia="Times New Roman" w:hAnsi="Times New Roman"/>
                <w:sz w:val="20"/>
                <w:szCs w:val="20"/>
                <w:color w:val="008000"/>
                <w:w w:val="94"/>
                <w:vertAlign w:val="superscript"/>
              </w:rPr>
              <w:t>(2)</w:t>
            </w:r>
          </w:p>
        </w:tc>
        <w:tc>
          <w:tcPr>
            <w:tcW w:w="600" w:type="dxa"/>
            <w:vAlign w:val="bottom"/>
            <w:vMerge w:val="restart"/>
          </w:tcPr>
          <w:p>
            <w:pPr>
              <w:jc w:val="center"/>
              <w:ind w:right="355"/>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1"/>
              </w:rPr>
              <w:t>the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O'Sullivan</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 No.</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w w:val="82"/>
                <w:vertAlign w:val="subscript"/>
              </w:rPr>
              <w:t>1</w:t>
            </w:r>
            <w:r>
              <w:rPr>
                <w:rFonts w:ascii="Times New Roman" w:cs="Times New Roman" w:eastAsia="Times New Roman" w:hAnsi="Times New Roman"/>
                <w:sz w:val="10"/>
                <w:szCs w:val="10"/>
                <w:color w:val="008000"/>
                <w:w w:val="82"/>
              </w:rPr>
              <w:t>(3)</w:t>
            </w:r>
          </w:p>
        </w:tc>
        <w:tc>
          <w:tcPr>
            <w:tcW w:w="5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JOZEM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Pty Ltd.,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Trustee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gridSpan w:val="6"/>
            <w:vMerge w:val="restart"/>
          </w:tcPr>
          <w:p>
            <w:pPr>
              <w:jc w:val="center"/>
              <w:ind w:left="672"/>
              <w:spacing w:after="0"/>
              <w:rPr>
                <w:sz w:val="20"/>
                <w:szCs w:val="20"/>
                <w:color w:val="auto"/>
              </w:rPr>
            </w:pPr>
            <w:r>
              <w:rPr>
                <w:rFonts w:ascii="Times New Roman" w:cs="Times New Roman" w:eastAsia="Times New Roman" w:hAnsi="Times New Roman"/>
                <w:sz w:val="16"/>
                <w:szCs w:val="16"/>
                <w:color w:val="0000FF"/>
                <w:w w:val="98"/>
              </w:rPr>
              <w:t>06/09/2025</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50,000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w:t>
            </w:r>
          </w:p>
        </w:tc>
        <w:tc>
          <w:tcPr>
            <w:tcW w:w="1520" w:type="dxa"/>
            <w:vAlign w:val="bottom"/>
            <w:gridSpan w:val="3"/>
            <w:vMerge w:val="restart"/>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185,110</w:t>
            </w:r>
          </w:p>
        </w:tc>
        <w:tc>
          <w:tcPr>
            <w:tcW w:w="600" w:type="dxa"/>
            <w:vAlign w:val="bottom"/>
            <w:vMerge w:val="restart"/>
          </w:tcPr>
          <w:p>
            <w:pPr>
              <w:jc w:val="center"/>
              <w:ind w:right="355"/>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1"/>
              </w:rPr>
              <w:t>the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O'Sullivan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 No.</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w w:val="82"/>
                <w:vertAlign w:val="subscript"/>
              </w:rPr>
              <w:t>1</w:t>
            </w:r>
            <w:r>
              <w:rPr>
                <w:rFonts w:ascii="Times New Roman" w:cs="Times New Roman" w:eastAsia="Times New Roman" w:hAnsi="Times New Roman"/>
                <w:sz w:val="10"/>
                <w:szCs w:val="10"/>
                <w:color w:val="008000"/>
                <w:w w:val="82"/>
              </w:rPr>
              <w:t>(3)</w:t>
            </w:r>
          </w:p>
        </w:tc>
        <w:tc>
          <w:tcPr>
            <w:tcW w:w="5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JOZEM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Pty Ltd.,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Trustee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gridSpan w:val="6"/>
            <w:vMerge w:val="restart"/>
          </w:tcPr>
          <w:p>
            <w:pPr>
              <w:jc w:val="center"/>
              <w:ind w:left="672"/>
              <w:spacing w:after="0"/>
              <w:rPr>
                <w:sz w:val="20"/>
                <w:szCs w:val="20"/>
                <w:color w:val="auto"/>
              </w:rPr>
            </w:pPr>
            <w:r>
              <w:rPr>
                <w:rFonts w:ascii="Times New Roman" w:cs="Times New Roman" w:eastAsia="Times New Roman" w:hAnsi="Times New Roman"/>
                <w:sz w:val="16"/>
                <w:szCs w:val="16"/>
                <w:color w:val="0000FF"/>
                <w:w w:val="98"/>
              </w:rPr>
              <w:t>06/20/2025</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185,110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7.094</w:t>
            </w:r>
            <w:r>
              <w:rPr>
                <w:rFonts w:ascii="Times New Roman" w:cs="Times New Roman" w:eastAsia="Times New Roman" w:hAnsi="Times New Roman"/>
                <w:sz w:val="20"/>
                <w:szCs w:val="20"/>
                <w:color w:val="008000"/>
                <w:w w:val="95"/>
                <w:vertAlign w:val="superscript"/>
              </w:rPr>
              <w:t>(4)</w:t>
            </w:r>
          </w:p>
        </w:tc>
        <w:tc>
          <w:tcPr>
            <w:tcW w:w="74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6"/>
                <w:szCs w:val="16"/>
                <w:color w:val="0000FF"/>
                <w:w w:val="99"/>
              </w:rPr>
              <w:t>0</w:t>
            </w:r>
          </w:p>
        </w:tc>
        <w:tc>
          <w:tcPr>
            <w:tcW w:w="780" w:type="dxa"/>
            <w:vAlign w:val="bottom"/>
          </w:tcPr>
          <w:p>
            <w:pPr>
              <w:spacing w:after="0"/>
              <w:rPr>
                <w:sz w:val="17"/>
                <w:szCs w:val="17"/>
                <w:color w:val="auto"/>
              </w:rPr>
            </w:pPr>
          </w:p>
        </w:tc>
        <w:tc>
          <w:tcPr>
            <w:tcW w:w="600" w:type="dxa"/>
            <w:vAlign w:val="bottom"/>
            <w:vMerge w:val="restart"/>
          </w:tcPr>
          <w:p>
            <w:pPr>
              <w:jc w:val="center"/>
              <w:ind w:right="355"/>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1"/>
              </w:rPr>
              <w:t>the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O'Sullivan</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Trust No.</w:t>
            </w: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w w:val="82"/>
                <w:vertAlign w:val="subscript"/>
              </w:rPr>
              <w:t>1</w:t>
            </w:r>
            <w:r>
              <w:rPr>
                <w:rFonts w:ascii="Times New Roman" w:cs="Times New Roman" w:eastAsia="Times New Roman" w:hAnsi="Times New Roman"/>
                <w:sz w:val="10"/>
                <w:szCs w:val="10"/>
                <w:color w:val="008000"/>
                <w:w w:val="82"/>
              </w:rPr>
              <w:t>(3)</w:t>
            </w: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0" w:type="dxa"/>
            <w:vAlign w:val="bottom"/>
            <w:gridSpan w:val="14"/>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Ownership</w:t>
            </w:r>
          </w:p>
        </w:tc>
        <w:tc>
          <w:tcPr>
            <w:tcW w:w="6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6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6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6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8"/>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08/26/2025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ind w:left="60"/>
              <w:spacing w:after="0" w:line="27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0"/>
                <w:szCs w:val="10"/>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250,000</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22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06/01/2028</w:t>
            </w:r>
          </w:p>
        </w:tc>
        <w:tc>
          <w:tcPr>
            <w:tcW w:w="560" w:type="dxa"/>
            <w:vAlign w:val="bottom"/>
            <w:vMerge w:val="continue"/>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1,011,259</w:t>
            </w:r>
          </w:p>
        </w:tc>
        <w:tc>
          <w:tcPr>
            <w:tcW w:w="7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761,259</w:t>
            </w:r>
          </w:p>
        </w:tc>
        <w:tc>
          <w:tcPr>
            <w:tcW w:w="600" w:type="dxa"/>
            <w:vAlign w:val="bottom"/>
            <w:vMerge w:val="restart"/>
          </w:tcPr>
          <w:p>
            <w:pPr>
              <w:jc w:val="center"/>
              <w:ind w:left="155"/>
              <w:spacing w:after="0"/>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(6)</w:t>
            </w: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(8)</w:t>
            </w:r>
          </w:p>
        </w:tc>
        <w:tc>
          <w:tcPr>
            <w:tcW w:w="2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5,454</w:t>
            </w:r>
          </w:p>
        </w:tc>
        <w:tc>
          <w:tcPr>
            <w:tcW w:w="7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5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5,454</w:t>
            </w: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6"/>
              </w:rPr>
              <w:t>5,454</w:t>
            </w:r>
          </w:p>
        </w:tc>
        <w:tc>
          <w:tcPr>
            <w:tcW w:w="600" w:type="dxa"/>
            <w:vAlign w:val="bottom"/>
            <w:vMerge w:val="restart"/>
          </w:tcPr>
          <w:p>
            <w:pPr>
              <w:jc w:val="center"/>
              <w:ind w:left="155"/>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(8)</w:t>
            </w:r>
          </w:p>
        </w:tc>
        <w:tc>
          <w:tcPr>
            <w:tcW w:w="2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10,909</w:t>
            </w:r>
          </w:p>
        </w:tc>
        <w:tc>
          <w:tcPr>
            <w:tcW w:w="7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5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10,909</w:t>
            </w: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10,909</w:t>
            </w:r>
          </w:p>
        </w:tc>
        <w:tc>
          <w:tcPr>
            <w:tcW w:w="600" w:type="dxa"/>
            <w:vAlign w:val="bottom"/>
            <w:vMerge w:val="restart"/>
          </w:tcPr>
          <w:p>
            <w:pPr>
              <w:jc w:val="center"/>
              <w:ind w:left="155"/>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(8)</w:t>
            </w:r>
          </w:p>
        </w:tc>
        <w:tc>
          <w:tcPr>
            <w:tcW w:w="2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10,909</w:t>
            </w:r>
          </w:p>
        </w:tc>
        <w:tc>
          <w:tcPr>
            <w:tcW w:w="7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5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10,909</w:t>
            </w: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10,909</w:t>
            </w:r>
          </w:p>
        </w:tc>
        <w:tc>
          <w:tcPr>
            <w:tcW w:w="600" w:type="dxa"/>
            <w:vAlign w:val="bottom"/>
            <w:vMerge w:val="restart"/>
          </w:tcPr>
          <w:p>
            <w:pPr>
              <w:jc w:val="center"/>
              <w:ind w:left="155"/>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-2637790</wp:posOffset>
            </wp:positionV>
            <wp:extent cx="28575" cy="265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54300"/>
                    </a:xfrm>
                    <a:prstGeom prst="rect">
                      <a:avLst/>
                    </a:prstGeom>
                    <a:noFill/>
                  </pic:spPr>
                </pic:pic>
              </a:graphicData>
            </a:graphic>
          </wp:anchor>
        </w:drawing>
      </w:r>
    </w:p>
    <w:p>
      <w:pPr>
        <w:sectPr>
          <w:pgSz w:w="11900" w:h="16893"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889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288988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21,818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ind w:left="2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70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E</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21,818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ind w:left="2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70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F</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21,818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ind w:left="280"/>
              <w:spacing w:after="0" w:line="136" w:lineRule="exact"/>
              <w:rPr>
                <w:sz w:val="20"/>
                <w:szCs w:val="20"/>
                <w:color w:val="auto"/>
              </w:rPr>
            </w:pPr>
            <w:r>
              <w:rPr>
                <w:rFonts w:ascii="Times New Roman" w:cs="Times New Roman" w:eastAsia="Times New Roman" w:hAnsi="Times New Roman"/>
                <w:sz w:val="12"/>
                <w:szCs w:val="12"/>
                <w:color w:val="0000FF"/>
              </w:rPr>
              <w:t>21,818</w:t>
            </w:r>
          </w:p>
        </w:tc>
        <w:tc>
          <w:tcPr>
            <w:tcW w:w="70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G</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27,272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27,272</w:t>
            </w: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ind w:left="280"/>
              <w:spacing w:after="0" w:line="136" w:lineRule="exact"/>
              <w:rPr>
                <w:sz w:val="20"/>
                <w:szCs w:val="20"/>
                <w:color w:val="auto"/>
              </w:rPr>
            </w:pPr>
            <w:r>
              <w:rPr>
                <w:rFonts w:ascii="Times New Roman" w:cs="Times New Roman" w:eastAsia="Times New Roman" w:hAnsi="Times New Roman"/>
                <w:sz w:val="12"/>
                <w:szCs w:val="12"/>
                <w:color w:val="0000FF"/>
              </w:rPr>
              <w:t>27,272</w:t>
            </w:r>
          </w:p>
        </w:tc>
        <w:tc>
          <w:tcPr>
            <w:tcW w:w="70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H</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27,272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08/26/2025</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27,272</w:t>
            </w: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ind w:left="280"/>
              <w:spacing w:after="0" w:line="136" w:lineRule="exact"/>
              <w:rPr>
                <w:sz w:val="20"/>
                <w:szCs w:val="20"/>
                <w:color w:val="auto"/>
              </w:rPr>
            </w:pPr>
            <w:r>
              <w:rPr>
                <w:rFonts w:ascii="Times New Roman" w:cs="Times New Roman" w:eastAsia="Times New Roman" w:hAnsi="Times New Roman"/>
                <w:sz w:val="12"/>
                <w:szCs w:val="12"/>
                <w:color w:val="0000FF"/>
              </w:rPr>
              <w:t>27,272</w:t>
            </w:r>
          </w:p>
        </w:tc>
        <w:tc>
          <w:tcPr>
            <w:tcW w:w="70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80" w:hanging="4"/>
        <w:spacing w:after="0" w:line="25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250,000 common shares for cash at an exercise price of $0.65 per common share. In accordance with the terms of the stock options, the Reporting Person was also issued 5,454 Class A Special Shares, 10,909 Class B Special Shares, 10,909 Class C Special Shares, 21,818 Class C Special Shares, 21,818 Class E Special Shares, 21,818 Class F Special Shares, 27,272 Class G Special Shares and 27,272 Class H Special Shares for no additional consideration.</w:t>
      </w:r>
    </w:p>
    <w:p>
      <w:pPr>
        <w:spacing w:after="0" w:line="16" w:lineRule="exact"/>
        <w:rPr>
          <w:rFonts w:ascii="Times New Roman" w:cs="Times New Roman" w:eastAsia="Times New Roman" w:hAnsi="Times New Roman"/>
          <w:sz w:val="12"/>
          <w:szCs w:val="12"/>
          <w:color w:val="008000"/>
        </w:rPr>
      </w:pPr>
    </w:p>
    <w:p>
      <w:pPr>
        <w:ind w:left="20" w:right="44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number updates information included in the Form 4 filed for the Reporting Person on November 29, 2023 to reflect the sale of an additional 50,000 common shares on November 17, 2023 and the amount of securities beneficially owned following the reported transaction as 335,110 (as opposed to 385,110).</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director of JOZEM Pty Ltd., which is the trustee of The O'Sullivan Family Trust No. 1.</w:t>
      </w:r>
    </w:p>
    <w:p>
      <w:pPr>
        <w:spacing w:after="0" w:line="47" w:lineRule="exact"/>
        <w:rPr>
          <w:rFonts w:ascii="Times New Roman" w:cs="Times New Roman" w:eastAsia="Times New Roman" w:hAnsi="Times New Roman"/>
          <w:sz w:val="12"/>
          <w:szCs w:val="12"/>
          <w:color w:val="008000"/>
        </w:rPr>
      </w:pPr>
    </w:p>
    <w:p>
      <w:pPr>
        <w:ind w:left="20" w:right="60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reflects the average selling price of the common shares sold. These common shares were sold in multiple transactions at prices ranging from $6.85 to $7.25 per common share. The Reporting Person undertakes to provide, upon request by the SEC staff, the Issuer or a security holder of the Issuer, full information regarding the number of common shares sold at each price.</w:t>
      </w:r>
    </w:p>
    <w:p>
      <w:pPr>
        <w:spacing w:after="0" w:line="5" w:lineRule="exact"/>
        <w:rPr>
          <w:rFonts w:ascii="Times New Roman" w:cs="Times New Roman" w:eastAsia="Times New Roman" w:hAnsi="Times New Roman"/>
          <w:sz w:val="12"/>
          <w:szCs w:val="12"/>
          <w:color w:val="008000"/>
        </w:rPr>
      </w:pPr>
    </w:p>
    <w:p>
      <w:pPr>
        <w:ind w:left="20" w:right="44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options vest in increments upon the occurrence of certain milestones, subject to continued service through each milestone, as previously disclosed in the Form 4 submitted by the Reporting Person on September 13, 2021.</w:t>
      </w:r>
    </w:p>
    <w:p>
      <w:pPr>
        <w:spacing w:after="0" w:line="5" w:lineRule="exact"/>
        <w:rPr>
          <w:rFonts w:ascii="Times New Roman" w:cs="Times New Roman" w:eastAsia="Times New Roman" w:hAnsi="Times New Roman"/>
          <w:sz w:val="12"/>
          <w:szCs w:val="12"/>
          <w:color w:val="008000"/>
        </w:rPr>
      </w:pPr>
    </w:p>
    <w:p>
      <w:pPr>
        <w:ind w:left="20" w:right="14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includes the right to purchase 16,609 Class A Special Shares, 33,219 Class B Special Shares, 33,219 Class C Special Shares, 66,438 Class D Special Shares, 66,438 Class E Special Shares, 66,438 Class F Special Shares, 83,048 Class G Special Shares and 83,048 Class H Special Shares.</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connection with the Business Combination in exchange for a stock option to acquire 873,385 shares of DeepGreen common stock for $0.75 per share.</w:t>
      </w:r>
    </w:p>
    <w:p>
      <w:pPr>
        <w:spacing w:after="0" w:line="47"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18"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Michelle Ancosky, Attorney-</w:t>
            </w:r>
          </w:p>
        </w:tc>
        <w:tc>
          <w:tcPr>
            <w:tcW w:w="1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08/28/2025</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880" w:hanging="4"/>
        <w:spacing w:after="0" w:line="323"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7419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2025-08-28T19:02:58Z</dcterms:created>
  <dcterms:modified xsi:type="dcterms:W3CDTF">2025-08-28T19:02:58Z</dcterms:modified>
</cp:coreProperties>
</file>