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Brumder William George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21,992,781.00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21,992,781.00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21,992,781.00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600"/>
          </w:cols>
          <w:pgMar w:left="360" w:top="111" w:right="8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TMC the metals Co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1111 WEST HASTINGS STREET, 15TH FLOOR, VANCOUVER, BRITISH COLUMBIA, CANADA V6E 2J3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This statement on Schedule 13G is filed by William George Brumder II.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HoganTaylor LLP 1225 N. Broadway Ave., Ste. 200 Oklahoma City, OK 73103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without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87261Y106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720"/>
          </w:cols>
          <w:pgMar w:left="360" w:top="111" w:right="81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0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49" w:lineRule="auto"/>
        <w:rPr>
          <w:sz w:val="20"/>
          <w:szCs w:val="20"/>
          <w:color w:val="auto"/>
        </w:rPr>
      </w:pPr>
      <w:r>
        <w:rPr>
          <w:rFonts w:ascii="Times New Roman" w:cs="Times New Roman" w:eastAsia="Times New Roman" w:hAnsi="Times New Roman"/>
          <w:sz w:val="21"/>
          <w:szCs w:val="21"/>
          <w:color w:val="auto"/>
        </w:rPr>
        <w:t>As of the close of business on the date hereof, Mr. Brumder held exchange-traded warrants of the Issuer (the "Warrants") exercisable for an aggregate of 2,000,000 Common Shares, without par value (the "Common Shares"). The Warrants are exercisable at a price of $11.50 per Common Share and first became exercisable 30 days after the</w:t>
      </w:r>
    </w:p>
    <w:p>
      <w:pPr>
        <w:spacing w:after="0" w:line="1" w:lineRule="exact"/>
        <w:rPr>
          <w:sz w:val="20"/>
          <w:szCs w:val="20"/>
          <w:color w:val="auto"/>
        </w:rPr>
      </w:pPr>
    </w:p>
    <w:p>
      <w:pPr>
        <w:ind w:left="9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the combination between the Issuer and DeepGreen Metals Inc., which occurred on September 9, 2021, subject to certain conditions. The Warrants expire at 5:00 p.m. EST on September 9, 2026, or earlier upon redemption or liquidation, subject to certain conditions. As of the close of business on the date hereof, Mr. Brumder may be deemed to beneficially own 21,992,781 Common Shares, including (i) 2,000,000 Common Shares underlying the Warrants held by him and (ii) 2,492,200 Common Shares underlying certain call options exercisable within 60 days of the date hereof.</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percentage is based upon 408,392,921 Common Shares outstanding, which is the sum of (i)</w:t>
      </w:r>
    </w:p>
    <w:p>
      <w:pPr>
        <w:spacing w:after="0" w:line="14" w:lineRule="exact"/>
        <w:rPr>
          <w:rFonts w:ascii="Times New Roman" w:cs="Times New Roman" w:eastAsia="Times New Roman" w:hAnsi="Times New Roman"/>
          <w:sz w:val="22"/>
          <w:szCs w:val="22"/>
          <w:color w:val="auto"/>
        </w:rPr>
      </w:pPr>
    </w:p>
    <w:p>
      <w:pPr>
        <w:ind w:left="920" w:right="8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406,392,921 Common Shares outstanding as of August 13, 2025, which is the total number of Common Shares outstanding as disclosed in the Issuer's Quarterly Report on Form 10-Q filed with the Securities and Exchange Commission on August 14, 2025, and (ii) 2,000,000 Common Shares underlying the Warrants held by Mr. Brumder. As of the close of business on the date hereof, Mr. Brumder may be deemed to beneficially own approximately 5.4% of the Common Shares outstanding.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11"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48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0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28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08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180"/>
          </w:cols>
          <w:pgMar w:left="360" w:top="111" w:right="439" w:bottom="0" w:gutter="0" w:footer="0" w:header="0"/>
          <w:type w:val="continuous"/>
        </w:sectPr>
      </w:pPr>
    </w:p>
    <w:p>
      <w:pPr>
        <w:ind w:left="940" w:right="1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00"/>
          </w:cols>
          <w:pgMar w:left="360" w:top="111" w:right="43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Brumder William George</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George Brumder II</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William George Brumder II</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09/24/2025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2025-09-24T16:27:10Z</dcterms:created>
  <dcterms:modified xsi:type="dcterms:W3CDTF">2025-09-24T16:27:10Z</dcterms:modified>
</cp:coreProperties>
</file>