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Brumder William George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31,542,340.00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31,542,340.00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31,542,340.00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TMC the metals Co Inc.</w:t>
      </w:r>
    </w:p>
    <w:p>
      <w:pPr>
        <w:ind w:left="920" w:hanging="912"/>
        <w:spacing w:after="0" w:line="180" w:lineRule="auto"/>
        <w:tabs>
          <w:tab w:leader="none" w:pos="92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Address of issuer's principal executive offices: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statement on Schedule 13G is filed by William George Brumder II.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HoganTaylor LLP 1225 N. Broadway Ave., Ste. 200 Oklahoma City, OK 73103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without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87261Y106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close of business on the date hereof, Mr. Brumder may be deemed to beneficially own 31,542,340 Common Shares, including 8,728,100 Common Shares underlying certain call options exercisable within 60 days of the date hereof.</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0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following percentage is based upon 413,492,045 Common Shares outstanding which is the total number of Common Shares outstanding as disclosed in the Issuer's Quarterly Report on Form 10-Q filed with the Securities and Exchange Commission on November 13, 2025. As of the close of business on the date hereof, Mr. Brumder may be deemed to beneficially own approximately 7.6% of the Common Shares outstanding.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Brumder William George</w:t>
      </w:r>
    </w:p>
    <w:p>
      <w:pPr>
        <w:spacing w:after="0" w:line="152"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George Brumder II</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880"/>
        <w:spacing w:after="0"/>
        <w:rPr>
          <w:sz w:val="20"/>
          <w:szCs w:val="20"/>
          <w:color w:val="auto"/>
        </w:rPr>
      </w:pPr>
      <w:r>
        <w:rPr>
          <w:rFonts w:ascii="Times New Roman" w:cs="Times New Roman" w:eastAsia="Times New Roman" w:hAnsi="Times New Roman"/>
          <w:sz w:val="21"/>
          <w:szCs w:val="21"/>
          <w:color w:val="auto"/>
        </w:rPr>
        <w:t>Name/Title: William George Brumder II</w:t>
      </w:r>
    </w:p>
    <w:p>
      <w:pPr>
        <w:spacing w:after="0" w:line="56"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11/28/2025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2025-11-28T12:15:03Z</dcterms:created>
  <dcterms:modified xsi:type="dcterms:W3CDTF">2025-11-28T12:15:03Z</dcterms:modified>
</cp:coreProperties>
</file>