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SUSTAINABLE OPPORTUNITIES ACQUISITION CORP.</w:t>
      </w:r>
    </w:p>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5500" w:type="dxa"/>
            <w:vAlign w:val="bottom"/>
            <w:gridSpan w:val="2"/>
          </w:tcPr>
          <w:p>
            <w:pPr>
              <w:jc w:val="right"/>
              <w:ind w:right="2230"/>
              <w:spacing w:after="0"/>
              <w:rPr>
                <w:sz w:val="20"/>
                <w:szCs w:val="20"/>
                <w:color w:val="auto"/>
              </w:rPr>
            </w:pPr>
            <w:r>
              <w:rPr>
                <w:rFonts w:ascii="Arial" w:cs="Arial" w:eastAsia="Arial" w:hAnsi="Arial"/>
                <w:sz w:val="18"/>
                <w:szCs w:val="18"/>
                <w:b w:val="1"/>
                <w:bCs w:val="1"/>
                <w:color w:val="auto"/>
              </w:rPr>
              <w:t>98-1523768</w:t>
            </w:r>
          </w:p>
        </w:tc>
      </w:tr>
      <w:tr>
        <w:trPr>
          <w:trHeight w:val="198"/>
        </w:trPr>
        <w:tc>
          <w:tcPr>
            <w:tcW w:w="5520" w:type="dxa"/>
            <w:vAlign w:val="bottom"/>
            <w:tcBorders>
              <w:top w:val="single" w:sz="8" w:color="auto"/>
            </w:tcBorders>
            <w:gridSpan w:val="2"/>
          </w:tcPr>
          <w:p>
            <w:pPr>
              <w:jc w:val="center"/>
              <w:ind w:left="10"/>
              <w:spacing w:after="0" w:line="198" w:lineRule="exact"/>
              <w:rPr>
                <w:sz w:val="20"/>
                <w:szCs w:val="20"/>
                <w:color w:val="auto"/>
              </w:rPr>
            </w:pPr>
            <w:r>
              <w:rPr>
                <w:rFonts w:ascii="Arial" w:cs="Arial" w:eastAsia="Arial" w:hAnsi="Arial"/>
                <w:sz w:val="18"/>
                <w:szCs w:val="18"/>
                <w:b w:val="1"/>
                <w:bCs w:val="1"/>
                <w:color w:val="auto"/>
                <w:w w:val="90"/>
              </w:rPr>
              <w:t>(State of incorporation</w:t>
            </w:r>
          </w:p>
        </w:tc>
        <w:tc>
          <w:tcPr>
            <w:tcW w:w="2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220" w:type="dxa"/>
            <w:vAlign w:val="bottom"/>
            <w:tcBorders>
              <w:top w:val="single" w:sz="8" w:color="auto"/>
            </w:tcBorders>
          </w:tcPr>
          <w:p>
            <w:pPr>
              <w:jc w:val="center"/>
              <w:ind w:right="107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or organization)</w:t>
            </w:r>
          </w:p>
        </w:tc>
        <w:tc>
          <w:tcPr>
            <w:tcW w:w="1280" w:type="dxa"/>
            <w:vAlign w:val="bottom"/>
          </w:tcPr>
          <w:p>
            <w:pPr>
              <w:spacing w:after="0"/>
              <w:rPr>
                <w:sz w:val="20"/>
                <w:szCs w:val="20"/>
                <w:color w:val="auto"/>
              </w:rPr>
            </w:pPr>
          </w:p>
        </w:tc>
        <w:tc>
          <w:tcPr>
            <w:tcW w:w="42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57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1601 Bryan Street, Suite 4141</w:t>
            </w:r>
          </w:p>
        </w:tc>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55"/>
        </w:trPr>
        <w:tc>
          <w:tcPr>
            <w:tcW w:w="5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Dallas, Texas</w:t>
            </w:r>
          </w:p>
        </w:tc>
        <w:tc>
          <w:tcPr>
            <w:tcW w:w="5500" w:type="dxa"/>
            <w:vAlign w:val="bottom"/>
            <w:gridSpan w:val="2"/>
          </w:tcPr>
          <w:p>
            <w:pPr>
              <w:jc w:val="right"/>
              <w:ind w:right="2430"/>
              <w:spacing w:after="0"/>
              <w:rPr>
                <w:sz w:val="20"/>
                <w:szCs w:val="20"/>
                <w:color w:val="auto"/>
              </w:rPr>
            </w:pPr>
            <w:r>
              <w:rPr>
                <w:rFonts w:ascii="Arial" w:cs="Arial" w:eastAsia="Arial" w:hAnsi="Arial"/>
                <w:sz w:val="18"/>
                <w:szCs w:val="18"/>
                <w:b w:val="1"/>
                <w:bCs w:val="1"/>
                <w:color w:val="auto"/>
              </w:rPr>
              <w:t>75201</w:t>
            </w:r>
          </w:p>
        </w:tc>
      </w:tr>
      <w:tr>
        <w:trPr>
          <w:trHeight w:val="234"/>
        </w:trPr>
        <w:tc>
          <w:tcPr>
            <w:tcW w:w="5520" w:type="dxa"/>
            <w:vAlign w:val="bottom"/>
            <w:tcBorders>
              <w:top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4220" w:type="dxa"/>
            <w:vAlign w:val="bottom"/>
            <w:tcBorders>
              <w:top w:val="single" w:sz="8" w:color="auto"/>
            </w:tcBorders>
          </w:tcPr>
          <w:p>
            <w:pPr>
              <w:jc w:val="center"/>
              <w:ind w:right="1090"/>
              <w:spacing w:after="0"/>
              <w:rPr>
                <w:sz w:val="20"/>
                <w:szCs w:val="20"/>
                <w:color w:val="auto"/>
              </w:rPr>
            </w:pPr>
            <w:r>
              <w:rPr>
                <w:rFonts w:ascii="Arial" w:cs="Arial" w:eastAsia="Arial" w:hAnsi="Arial"/>
                <w:sz w:val="18"/>
                <w:szCs w:val="18"/>
                <w:b w:val="1"/>
                <w:bCs w:val="1"/>
                <w:color w:val="auto"/>
                <w:w w:val="94"/>
              </w:rPr>
              <w:t>(Zip Code)</w:t>
            </w:r>
          </w:p>
        </w:tc>
      </w:tr>
      <w:tr>
        <w:trPr>
          <w:trHeight w:val="414"/>
        </w:trPr>
        <w:tc>
          <w:tcPr>
            <w:tcW w:w="11240" w:type="dxa"/>
            <w:vAlign w:val="bottom"/>
            <w:gridSpan w:val="5"/>
          </w:tcPr>
          <w:p>
            <w:pPr>
              <w:ind w:left="322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414"/>
        </w:trPr>
        <w:tc>
          <w:tcPr>
            <w:tcW w:w="5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1280" w:type="dxa"/>
            <w:vAlign w:val="bottom"/>
          </w:tcPr>
          <w:p>
            <w:pPr>
              <w:spacing w:after="0"/>
              <w:rPr>
                <w:sz w:val="24"/>
                <w:szCs w:val="24"/>
                <w:color w:val="auto"/>
              </w:rPr>
            </w:pPr>
          </w:p>
        </w:tc>
        <w:tc>
          <w:tcPr>
            <w:tcW w:w="4220" w:type="dxa"/>
            <w:vAlign w:val="bottom"/>
          </w:tcPr>
          <w:p>
            <w:pPr>
              <w:jc w:val="center"/>
              <w:ind w:right="119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5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to be so registered</w:t>
            </w:r>
          </w:p>
        </w:tc>
        <w:tc>
          <w:tcPr>
            <w:tcW w:w="1280" w:type="dxa"/>
            <w:vAlign w:val="bottom"/>
          </w:tcPr>
          <w:p>
            <w:pPr>
              <w:spacing w:after="0"/>
              <w:rPr>
                <w:sz w:val="20"/>
                <w:szCs w:val="20"/>
                <w:color w:val="auto"/>
              </w:rPr>
            </w:pPr>
          </w:p>
        </w:tc>
        <w:tc>
          <w:tcPr>
            <w:tcW w:w="4220" w:type="dxa"/>
            <w:vAlign w:val="bottom"/>
          </w:tcPr>
          <w:p>
            <w:pPr>
              <w:jc w:val="center"/>
              <w:ind w:right="1190"/>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198"/>
        </w:trPr>
        <w:tc>
          <w:tcPr>
            <w:tcW w:w="5520" w:type="dxa"/>
            <w:vAlign w:val="bottom"/>
            <w:tcBorders>
              <w:top w:val="single" w:sz="8" w:color="auto"/>
            </w:tcBorders>
            <w:gridSpan w:val="2"/>
            <w:shd w:val="clear" w:color="auto" w:fill="CCEEFF"/>
          </w:tcPr>
          <w:p>
            <w:pPr>
              <w:jc w:val="center"/>
              <w:ind w:left="10"/>
              <w:spacing w:after="0" w:line="198" w:lineRule="exact"/>
              <w:rPr>
                <w:sz w:val="20"/>
                <w:szCs w:val="20"/>
                <w:color w:val="auto"/>
              </w:rPr>
            </w:pPr>
            <w:r>
              <w:rPr>
                <w:rFonts w:ascii="Arial" w:cs="Arial" w:eastAsia="Arial" w:hAnsi="Arial"/>
                <w:sz w:val="18"/>
                <w:szCs w:val="18"/>
                <w:b w:val="1"/>
                <w:bCs w:val="1"/>
                <w:color w:val="auto"/>
                <w:w w:val="89"/>
              </w:rPr>
              <w:t>Units, each consisting of one Class A ordinary share, $0.0001 par</w:t>
            </w:r>
          </w:p>
        </w:tc>
        <w:tc>
          <w:tcPr>
            <w:tcW w:w="2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jc w:val="center"/>
              <w:ind w:right="1070"/>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34"/>
        </w:trPr>
        <w:tc>
          <w:tcPr>
            <w:tcW w:w="57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value, and one-half of one redeemable warrant</w:t>
            </w:r>
          </w:p>
        </w:tc>
        <w:tc>
          <w:tcPr>
            <w:tcW w:w="128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r>
      <w:tr>
        <w:trPr>
          <w:trHeight w:val="216"/>
        </w:trPr>
        <w:tc>
          <w:tcPr>
            <w:tcW w:w="42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216"/>
        </w:trPr>
        <w:tc>
          <w:tcPr>
            <w:tcW w:w="57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included as part of the units</w:t>
            </w:r>
          </w:p>
        </w:tc>
        <w:tc>
          <w:tcPr>
            <w:tcW w:w="1280" w:type="dxa"/>
            <w:vAlign w:val="bottom"/>
            <w:shd w:val="clear" w:color="auto" w:fill="CCEEFF"/>
          </w:tcPr>
          <w:p>
            <w:pPr>
              <w:spacing w:after="0"/>
              <w:rPr>
                <w:sz w:val="18"/>
                <w:szCs w:val="18"/>
                <w:color w:val="auto"/>
              </w:rPr>
            </w:pPr>
          </w:p>
        </w:tc>
        <w:tc>
          <w:tcPr>
            <w:tcW w:w="4220" w:type="dxa"/>
            <w:vAlign w:val="bottom"/>
            <w:shd w:val="clear" w:color="auto" w:fill="CCEEFF"/>
          </w:tcPr>
          <w:p>
            <w:pPr>
              <w:jc w:val="center"/>
              <w:ind w:right="1070"/>
              <w:spacing w:after="0"/>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42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198"/>
        </w:trPr>
        <w:tc>
          <w:tcPr>
            <w:tcW w:w="5740" w:type="dxa"/>
            <w:vAlign w:val="bottom"/>
            <w:gridSpan w:val="3"/>
            <w:shd w:val="clear" w:color="auto" w:fill="CCEEFF"/>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Warrants included as part of the units, each whole warrant</w:t>
            </w:r>
          </w:p>
        </w:tc>
        <w:tc>
          <w:tcPr>
            <w:tcW w:w="1280" w:type="dxa"/>
            <w:vAlign w:val="bottom"/>
            <w:shd w:val="clear" w:color="auto" w:fill="CCEEFF"/>
          </w:tcPr>
          <w:p>
            <w:pPr>
              <w:spacing w:after="0"/>
              <w:rPr>
                <w:sz w:val="17"/>
                <w:szCs w:val="17"/>
                <w:color w:val="auto"/>
              </w:rPr>
            </w:pPr>
          </w:p>
        </w:tc>
        <w:tc>
          <w:tcPr>
            <w:tcW w:w="4220" w:type="dxa"/>
            <w:vAlign w:val="bottom"/>
            <w:shd w:val="clear" w:color="auto" w:fill="CCEEFF"/>
          </w:tcPr>
          <w:p>
            <w:pPr>
              <w:jc w:val="center"/>
              <w:ind w:right="1070"/>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57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exercisable for one Class A ordinary share at an exercise price of</w:t>
            </w:r>
          </w:p>
        </w:tc>
        <w:tc>
          <w:tcPr>
            <w:tcW w:w="12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r>
      <w:tr>
        <w:trPr>
          <w:trHeight w:val="234"/>
        </w:trPr>
        <w:tc>
          <w:tcPr>
            <w:tcW w:w="4220" w:type="dxa"/>
            <w:vAlign w:val="bottom"/>
            <w:shd w:val="clear" w:color="auto" w:fill="CCEEFF"/>
          </w:tcPr>
          <w:p>
            <w:pPr>
              <w:jc w:val="center"/>
              <w:ind w:left="1330"/>
              <w:spacing w:after="0"/>
              <w:rPr>
                <w:sz w:val="20"/>
                <w:szCs w:val="20"/>
                <w:color w:val="auto"/>
              </w:rPr>
            </w:pPr>
            <w:r>
              <w:rPr>
                <w:rFonts w:ascii="Arial" w:cs="Arial" w:eastAsia="Arial" w:hAnsi="Arial"/>
                <w:sz w:val="18"/>
                <w:szCs w:val="18"/>
                <w:b w:val="1"/>
                <w:bCs w:val="1"/>
                <w:color w:val="auto"/>
                <w:w w:val="87"/>
              </w:rPr>
              <w:t>$11.50</w:t>
            </w: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20" w:type="dxa"/>
            <w:vAlign w:val="bottom"/>
          </w:tcPr>
          <w:p>
            <w:pPr>
              <w:spacing w:after="0"/>
              <w:rPr>
                <w:sz w:val="19"/>
                <w:szCs w:val="19"/>
                <w:color w:val="auto"/>
              </w:rPr>
            </w:pPr>
          </w:p>
        </w:tc>
      </w:tr>
    </w:tbl>
    <w:p>
      <w:pPr>
        <w:spacing w:after="0" w:line="21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333-237245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description of the units, each consisting of one Class A ordinary share, $0.0001 par value, and one-half of one redeemable warrant, the Class A ordinary shares and warrants, each whole warrant exercisable for one Class A ordinary share at an exercise price of $11.50, of Sustainable Opportunities Acquisition Corp., a Cayman Islands exempted company, as set forth under the caption “Description of Securities” in the prospectus forming a part of the Registration Statement on Form S-1, as originally filed with the Securities and Exchange Commission (the “Commission”) on March 17, 2020 (Registration No. 333-237245), including exhibits, and as may be subsequently amended from time to time (the “Registration Statement”), is hereby incorporated by reference. In addition, all of the above-referenced descriptions included in any prospectus relating to the Registration Statement filed with the Commission pursuant to Rule 424(b) under the Securities Act of 1933, as amended, shall be deemed to be incorporated by reference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Pursuant to the Instructions as to Exhibits for Form 8-A, no exhibits are required to be filed, because no other securities of the Registrant are registered on The New York Stock Exchange, and the securities registered hereby are not being registered pursuant to Section 12(g) of the Securities Exchange Act of 1934, as amended.</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7180" w:type="dxa"/>
            <w:vAlign w:val="bottom"/>
            <w:gridSpan w:val="2"/>
          </w:tcPr>
          <w:p>
            <w:pPr>
              <w:ind w:left="2700"/>
              <w:spacing w:after="0"/>
              <w:rPr>
                <w:sz w:val="20"/>
                <w:szCs w:val="20"/>
                <w:color w:val="auto"/>
              </w:rPr>
            </w:pPr>
            <w:r>
              <w:rPr>
                <w:rFonts w:ascii="Arial" w:cs="Arial" w:eastAsia="Arial" w:hAnsi="Arial"/>
                <w:sz w:val="18"/>
                <w:szCs w:val="18"/>
                <w:b w:val="1"/>
                <w:bCs w:val="1"/>
                <w:color w:val="auto"/>
              </w:rPr>
              <w:t>SUSTAINABLE OPPORTUNITIES ACQUISITION</w:t>
            </w:r>
          </w:p>
        </w:tc>
      </w:tr>
      <w:tr>
        <w:trPr>
          <w:trHeight w:val="234"/>
        </w:trPr>
        <w:tc>
          <w:tcPr>
            <w:tcW w:w="4060" w:type="dxa"/>
            <w:vAlign w:val="bottom"/>
          </w:tcPr>
          <w:p>
            <w:pPr>
              <w:spacing w:after="0"/>
              <w:rPr>
                <w:sz w:val="20"/>
                <w:szCs w:val="20"/>
                <w:color w:val="auto"/>
              </w:rPr>
            </w:pPr>
          </w:p>
        </w:tc>
        <w:tc>
          <w:tcPr>
            <w:tcW w:w="3260" w:type="dxa"/>
            <w:vAlign w:val="bottom"/>
          </w:tcPr>
          <w:p>
            <w:pPr>
              <w:ind w:left="2700"/>
              <w:spacing w:after="0"/>
              <w:rPr>
                <w:sz w:val="20"/>
                <w:szCs w:val="20"/>
                <w:color w:val="auto"/>
              </w:rPr>
            </w:pPr>
            <w:r>
              <w:rPr>
                <w:rFonts w:ascii="Arial" w:cs="Arial" w:eastAsia="Arial" w:hAnsi="Arial"/>
                <w:sz w:val="18"/>
                <w:szCs w:val="18"/>
                <w:b w:val="1"/>
                <w:bCs w:val="1"/>
                <w:color w:val="auto"/>
                <w:w w:val="94"/>
              </w:rPr>
              <w:t>CORP.</w:t>
            </w:r>
          </w:p>
        </w:tc>
        <w:tc>
          <w:tcPr>
            <w:tcW w:w="3920" w:type="dxa"/>
            <w:vAlign w:val="bottom"/>
          </w:tcPr>
          <w:p>
            <w:pPr>
              <w:spacing w:after="0"/>
              <w:rPr>
                <w:sz w:val="20"/>
                <w:szCs w:val="20"/>
                <w:color w:val="auto"/>
              </w:rPr>
            </w:pPr>
          </w:p>
        </w:tc>
      </w:tr>
      <w:tr>
        <w:trPr>
          <w:trHeight w:val="439"/>
        </w:trPr>
        <w:tc>
          <w:tcPr>
            <w:tcW w:w="4060" w:type="dxa"/>
            <w:vAlign w:val="bottom"/>
          </w:tcPr>
          <w:p>
            <w:pPr>
              <w:spacing w:after="0"/>
              <w:rPr>
                <w:sz w:val="20"/>
                <w:szCs w:val="20"/>
                <w:color w:val="auto"/>
              </w:rPr>
            </w:pPr>
            <w:r>
              <w:rPr>
                <w:rFonts w:ascii="Arial" w:cs="Arial" w:eastAsia="Arial" w:hAnsi="Arial"/>
                <w:sz w:val="18"/>
                <w:szCs w:val="18"/>
                <w:color w:val="auto"/>
              </w:rPr>
              <w:t>Date: May 4, 2020</w:t>
            </w:r>
          </w:p>
        </w:tc>
        <w:tc>
          <w:tcPr>
            <w:tcW w:w="3260" w:type="dxa"/>
            <w:vAlign w:val="bottom"/>
          </w:tcPr>
          <w:p>
            <w:pPr>
              <w:ind w:left="27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202"/>
        </w:trPr>
        <w:tc>
          <w:tcPr>
            <w:tcW w:w="4060" w:type="dxa"/>
            <w:vAlign w:val="bottom"/>
          </w:tcPr>
          <w:p>
            <w:pPr>
              <w:spacing w:after="0"/>
              <w:rPr>
                <w:sz w:val="17"/>
                <w:szCs w:val="17"/>
                <w:color w:val="auto"/>
              </w:rPr>
            </w:pPr>
          </w:p>
        </w:tc>
        <w:tc>
          <w:tcPr>
            <w:tcW w:w="3260" w:type="dxa"/>
            <w:vAlign w:val="bottom"/>
          </w:tcPr>
          <w:p>
            <w:pPr>
              <w:ind w:left="270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Scott Leoanrd</w:t>
            </w:r>
          </w:p>
        </w:tc>
      </w:tr>
      <w:tr>
        <w:trPr>
          <w:trHeight w:val="230"/>
        </w:trPr>
        <w:tc>
          <w:tcPr>
            <w:tcW w:w="4060" w:type="dxa"/>
            <w:vAlign w:val="bottom"/>
          </w:tcPr>
          <w:p>
            <w:pPr>
              <w:spacing w:after="0"/>
              <w:rPr>
                <w:sz w:val="20"/>
                <w:szCs w:val="20"/>
                <w:color w:val="auto"/>
              </w:rPr>
            </w:pPr>
          </w:p>
        </w:tc>
        <w:tc>
          <w:tcPr>
            <w:tcW w:w="3260" w:type="dxa"/>
            <w:vAlign w:val="bottom"/>
          </w:tcPr>
          <w:p>
            <w:pPr>
              <w:ind w:left="27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2020-05-04T12:35:35Z</dcterms:created>
  <dcterms:modified xsi:type="dcterms:W3CDTF">2020-05-04T12:35:35Z</dcterms:modified>
</cp:coreProperties>
</file>