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9884d1_s3asr.htm"/>
      <w:bookmarkStart w:id="1" w:name="kstm269884d1_s3asr"/>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31,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950" w:type="dxa"/>
        <w:jc w:val="left"/>
        <w:tblInd w:w="0" w:type="dxa"/>
        <w:tblLayout w:type="fixed"/>
        <w:tblCellMar>
          <w:top w:w="28" w:type="dxa"/>
          <w:left w:w="0" w:type="dxa"/>
          <w:bottom w:w="28" w:type="dxa"/>
          <w:right w:w="0" w:type="dxa"/>
        </w:tblCellMar>
      </w:tblPr>
      <w:tblGrid>
        <w:gridCol w:w="2855"/>
        <w:gridCol w:w="60"/>
        <w:gridCol w:w="2780"/>
        <w:gridCol w:w="60"/>
        <w:gridCol w:w="2195"/>
      </w:tblGrid>
      <w:tr>
        <w:trPr/>
        <w:tc>
          <w:tcPr>
            <w:tcW w:w="2855" w:type="dxa"/>
            <w:tcBorders>
              <w:top w:val="single" w:sz="8" w:space="0" w:color="000000"/>
              <w:bottom w:val="single" w:sz="8" w:space="0" w:color="000000"/>
            </w:tcBorders>
            <w:vAlign w:val="center"/>
          </w:tcPr>
          <w:p>
            <w:pPr>
              <w:pStyle w:val="TableContents"/>
              <w:bidi w:val="0"/>
              <w:spacing w:before="0" w:after="283"/>
              <w:jc w:val="center"/>
              <w:rPr>
                <w:b/>
              </w:rPr>
            </w:pPr>
            <w:r>
              <w:rPr>
                <w:b/>
              </w:rPr>
              <w:t>British Columbia, Canada</w:t>
            </w:r>
          </w:p>
        </w:tc>
        <w:tc>
          <w:tcPr>
            <w:tcW w:w="60" w:type="dxa"/>
            <w:tcBorders>
              <w:top w:val="single" w:sz="8" w:space="0" w:color="000000"/>
            </w:tcBorders>
            <w:tcMar>
              <w:bottom w:w="0" w:type="dxa"/>
            </w:tcMar>
            <w:vAlign w:val="center"/>
          </w:tcPr>
          <w:p>
            <w:pPr>
              <w:pStyle w:val="TableContents"/>
              <w:bidi w:val="0"/>
              <w:spacing w:before="0" w:after="283"/>
              <w:jc w:val="center"/>
              <w:rPr/>
            </w:pPr>
            <w:r>
              <w:rPr/>
              <w:t> </w:t>
            </w:r>
          </w:p>
        </w:tc>
        <w:tc>
          <w:tcPr>
            <w:tcW w:w="2780" w:type="dxa"/>
            <w:tcBorders>
              <w:top w:val="single" w:sz="8" w:space="0" w:color="000000"/>
              <w:bottom w:val="single" w:sz="8" w:space="0" w:color="000000"/>
            </w:tcBorders>
            <w:vAlign w:val="center"/>
          </w:tcPr>
          <w:p>
            <w:pPr>
              <w:pStyle w:val="TableContents"/>
              <w:bidi w:val="0"/>
              <w:spacing w:before="0" w:after="283"/>
              <w:jc w:val="center"/>
              <w:rPr>
                <w:b/>
              </w:rPr>
            </w:pPr>
            <w:r>
              <w:rPr>
                <w:b/>
              </w:rPr>
              <w:t>1000</w:t>
            </w:r>
          </w:p>
        </w:tc>
        <w:tc>
          <w:tcPr>
            <w:tcW w:w="60" w:type="dxa"/>
            <w:tcBorders>
              <w:top w:val="single" w:sz="8" w:space="0" w:color="000000"/>
            </w:tcBorders>
            <w:tcMar>
              <w:bottom w:w="0" w:type="dxa"/>
            </w:tcMar>
            <w:vAlign w:val="center"/>
          </w:tcPr>
          <w:p>
            <w:pPr>
              <w:pStyle w:val="TableContents"/>
              <w:bidi w:val="0"/>
              <w:spacing w:before="0" w:after="283"/>
              <w:jc w:val="center"/>
              <w:rPr/>
            </w:pPr>
            <w:r>
              <w:rPr/>
              <w:t> </w:t>
            </w:r>
          </w:p>
        </w:tc>
        <w:tc>
          <w:tcPr>
            <w:tcW w:w="2195" w:type="dxa"/>
            <w:tcBorders>
              <w:top w:val="single" w:sz="8" w:space="0" w:color="000000"/>
              <w:bottom w:val="single" w:sz="8" w:space="0" w:color="000000"/>
            </w:tcBorders>
            <w:vAlign w:val="center"/>
          </w:tcPr>
          <w:p>
            <w:pPr>
              <w:pStyle w:val="TableContents"/>
              <w:bidi w:val="0"/>
              <w:spacing w:before="0" w:after="283"/>
              <w:jc w:val="center"/>
              <w:rPr>
                <w:b/>
              </w:rPr>
            </w:pPr>
            <w:r>
              <w:rPr>
                <w:b/>
              </w:rPr>
              <w:t>Not Applicable</w:t>
            </w:r>
          </w:p>
        </w:tc>
      </w:tr>
      <w:tr>
        <w:trPr/>
        <w:tc>
          <w:tcPr>
            <w:tcW w:w="2855" w:type="dxa"/>
            <w:tcBorders/>
            <w:tcMar>
              <w:top w:w="0" w:type="dxa"/>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top w:w="0" w:type="dxa"/>
              <w:bottom w:w="0" w:type="dxa"/>
            </w:tcMar>
            <w:vAlign w:val="center"/>
          </w:tcPr>
          <w:p>
            <w:pPr>
              <w:pStyle w:val="TableContents"/>
              <w:bidi w:val="0"/>
              <w:spacing w:before="0" w:after="283"/>
              <w:jc w:val="center"/>
              <w:rPr/>
            </w:pPr>
            <w:r>
              <w:rPr/>
              <w:t> </w:t>
            </w:r>
          </w:p>
        </w:tc>
        <w:tc>
          <w:tcPr>
            <w:tcW w:w="2780" w:type="dxa"/>
            <w:tcBorders/>
            <w:tcMar>
              <w:top w:w="0" w:type="dxa"/>
              <w:bottom w:w="0" w:type="dxa"/>
            </w:tcMar>
            <w:vAlign w:val="center"/>
          </w:tcPr>
          <w:p>
            <w:pPr>
              <w:pStyle w:val="TableContents"/>
              <w:bidi w:val="0"/>
              <w:spacing w:before="0" w:after="283"/>
              <w:jc w:val="center"/>
              <w:rPr/>
            </w:pPr>
            <w:r>
              <w:rPr/>
              <w:t xml:space="preserve">(Primary Standard Industrial </w:t>
              <w:br/>
              <w:t>Classification Code Number)</w:t>
            </w:r>
          </w:p>
        </w:tc>
        <w:tc>
          <w:tcPr>
            <w:tcW w:w="60" w:type="dxa"/>
            <w:tcBorders/>
            <w:tcMar>
              <w:top w:w="0" w:type="dxa"/>
              <w:bottom w:w="0" w:type="dxa"/>
            </w:tcMar>
            <w:vAlign w:val="center"/>
          </w:tcPr>
          <w:p>
            <w:pPr>
              <w:pStyle w:val="TableContents"/>
              <w:bidi w:val="0"/>
              <w:spacing w:before="0" w:after="283"/>
              <w:jc w:val="center"/>
              <w:rPr/>
            </w:pPr>
            <w:r>
              <w:rPr/>
              <w:t> </w:t>
            </w:r>
          </w:p>
        </w:tc>
        <w:tc>
          <w:tcPr>
            <w:tcW w:w="2195" w:type="dxa"/>
            <w:tcBorders/>
            <w:tcMar>
              <w:top w:w="0" w:type="dxa"/>
              <w:bottom w:w="0" w:type="dxa"/>
            </w:tcMar>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1111 West Hastings Street, 15th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Vancouver, British Columbia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V6E-2J3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(888) 458-3420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(800) 221-0102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 Fantozzi, Esq.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T. Kajunski, Esq.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Mintz, Levin, Cohn, Ferris,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Glovsky and Popeo, P.C.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Financial Center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Massachusetts 02111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(617) 542-6000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2135"/>
        <w:gridCol w:w="230"/>
        <w:gridCol w:w="6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65860" cy="4298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65860" cy="42989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selling securityholders may offer and sell the securities identified above from time to time in one or more offerings. This prospectus describes the general terms of these securities and the general manner in which these securities will be offered by us or selling securityholders.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or free writing prospectus, carefully before you invest.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sold directly by us or selling securityholders to you, through agents designated from time to time or to or through underwriters or dealers. These securities may also be resold by the selling securityholders.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 Unless the applicable prospectus supplement provides otherwise, we will not receive any proceeds from the sale of securities by 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sell securities unless accompanied by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Global Select Market under the symbol “TMC”. On March 30, 2026, the last reported sale price of our common shares was $4.10 per share. We also have warrants to purchase common shares listed on the Nasdaq Global Select Market under the symbol “TMCWW”. On March 30, 2026, the last reported sale price of these public warrants to purchase common shares was $0.271 per warrant.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on page 4 of this prospectus, included in any accompanying prospectus supplement and in the documents incorporated by reference in this prospectus for a discussion of the factors you should carefully consider before deciding to purchase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right"/>
              <w:rPr/>
            </w:pPr>
            <w:hyperlink w:anchor="a_001">
              <w:r>
                <w:rPr>
                  <w:rStyle w:val="InternetLink"/>
                  <w:rFonts w:ascii="Times New Roman;Times;Serif" w:hAnsi="Times New Roman;Times;Serif"/>
                  <w:b w:val="false"/>
                  <w:i w:val="false"/>
                  <w:caps w:val="false"/>
                  <w:smallCaps w:val="false"/>
                  <w:sz w:val="20"/>
                </w:rPr>
                <w:t>1</w:t>
              </w:r>
            </w:hyperlink>
          </w:p>
        </w:tc>
      </w:tr>
      <w:tr>
        <w:trPr/>
        <w:tc>
          <w:tcPr>
            <w:tcW w:w="996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FFFFFF" w:val="clear"/>
            <w:vAlign w:val="center"/>
          </w:tcPr>
          <w:p>
            <w:pPr>
              <w:pStyle w:val="TableContents"/>
              <w:bidi w:val="0"/>
              <w:spacing w:before="0" w:after="283"/>
              <w:jc w:val="right"/>
              <w:rPr/>
            </w:pPr>
            <w:hyperlink w:anchor="a_002">
              <w:r>
                <w:rPr>
                  <w:rStyle w:val="InternetLink"/>
                  <w:rFonts w:ascii="Times New Roman;Times;Serif" w:hAnsi="Times New Roman;Times;Serif"/>
                  <w:b w:val="false"/>
                  <w:i w:val="false"/>
                  <w:caps w:val="false"/>
                  <w:smallCaps w:val="false"/>
                  <w:sz w:val="20"/>
                </w:rPr>
                <w:t>2</w:t>
              </w:r>
            </w:hyperlink>
          </w:p>
        </w:tc>
      </w:tr>
      <w:tr>
        <w:trPr/>
        <w:tc>
          <w:tcPr>
            <w:tcW w:w="996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RISK FACTORS</w:t>
              </w:r>
            </w:hyperlink>
          </w:p>
        </w:tc>
        <w:tc>
          <w:tcPr>
            <w:tcW w:w="245" w:type="dxa"/>
            <w:tcBorders/>
            <w:shd w:fill="CCEEFF" w:val="clear"/>
            <w:vAlign w:val="center"/>
          </w:tcPr>
          <w:p>
            <w:pPr>
              <w:pStyle w:val="TableContents"/>
              <w:bidi w:val="0"/>
              <w:spacing w:before="0" w:after="283"/>
              <w:jc w:val="right"/>
              <w:rPr/>
            </w:pPr>
            <w:hyperlink w:anchor="a_003">
              <w:r>
                <w:rPr>
                  <w:rStyle w:val="InternetLink"/>
                  <w:rFonts w:ascii="Times New Roman;Times;Serif" w:hAnsi="Times New Roman;Times;Serif"/>
                  <w:b w:val="false"/>
                  <w:i w:val="false"/>
                  <w:caps w:val="false"/>
                  <w:smallCaps w:val="false"/>
                  <w:sz w:val="20"/>
                </w:rPr>
                <w:t>4</w:t>
              </w:r>
            </w:hyperlink>
          </w:p>
        </w:tc>
      </w:tr>
      <w:tr>
        <w:trPr/>
        <w:tc>
          <w:tcPr>
            <w:tcW w:w="996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shd w:fill="FFFFFF" w:val="clear"/>
            <w:vAlign w:val="center"/>
          </w:tcPr>
          <w:p>
            <w:pPr>
              <w:pStyle w:val="TableContents"/>
              <w:bidi w:val="0"/>
              <w:spacing w:before="0" w:after="283"/>
              <w:jc w:val="right"/>
              <w:rPr/>
            </w:pPr>
            <w:hyperlink w:anchor="a_004">
              <w:r>
                <w:rPr>
                  <w:rStyle w:val="InternetLink"/>
                  <w:rFonts w:ascii="Times New Roman;Times;Serif" w:hAnsi="Times New Roman;Times;Serif"/>
                  <w:b w:val="false"/>
                  <w:i w:val="false"/>
                  <w:caps w:val="false"/>
                  <w:smallCaps w:val="false"/>
                  <w:sz w:val="20"/>
                </w:rPr>
                <w:t>5</w:t>
              </w:r>
            </w:hyperlink>
          </w:p>
        </w:tc>
      </w:tr>
      <w:tr>
        <w:trPr/>
        <w:tc>
          <w:tcPr>
            <w:tcW w:w="996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NO CANADIAN PROSPECTUS QUALIFICATION</w:t>
              </w:r>
            </w:hyperlink>
          </w:p>
        </w:tc>
        <w:tc>
          <w:tcPr>
            <w:tcW w:w="245" w:type="dxa"/>
            <w:tcBorders/>
            <w:shd w:fill="CCEEFF" w:val="clear"/>
            <w:vAlign w:val="center"/>
          </w:tcPr>
          <w:p>
            <w:pPr>
              <w:pStyle w:val="TableContents"/>
              <w:bidi w:val="0"/>
              <w:spacing w:before="0" w:after="283"/>
              <w:jc w:val="right"/>
              <w:rPr/>
            </w:pPr>
            <w:hyperlink w:anchor="a_005">
              <w:r>
                <w:rPr>
                  <w:rStyle w:val="InternetLink"/>
                  <w:rFonts w:ascii="Times New Roman;Times;Serif" w:hAnsi="Times New Roman;Times;Serif"/>
                  <w:b w:val="false"/>
                  <w:i w:val="false"/>
                  <w:caps w:val="false"/>
                  <w:smallCaps w:val="false"/>
                  <w:sz w:val="20"/>
                </w:rPr>
                <w:t>7</w:t>
              </w:r>
            </w:hyperlink>
          </w:p>
        </w:tc>
      </w:tr>
      <w:tr>
        <w:trPr/>
        <w:tc>
          <w:tcPr>
            <w:tcW w:w="996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CAUTIONARY STATEMENTS REGARDING THE NORI AREA D PRE-FEASIBILITY STUDY AND THE TOML AND NORI INITIAL ASSESSMENT</w:t>
              </w:r>
            </w:hyperlink>
          </w:p>
        </w:tc>
        <w:tc>
          <w:tcPr>
            <w:tcW w:w="245" w:type="dxa"/>
            <w:tcBorders/>
            <w:shd w:fill="FFFFFF" w:val="clear"/>
            <w:vAlign w:val="center"/>
          </w:tcPr>
          <w:p>
            <w:pPr>
              <w:pStyle w:val="TableContents"/>
              <w:bidi w:val="0"/>
              <w:spacing w:before="0" w:after="283"/>
              <w:jc w:val="right"/>
              <w:rPr/>
            </w:pPr>
            <w:hyperlink w:anchor="a_006">
              <w:r>
                <w:rPr>
                  <w:rStyle w:val="InternetLink"/>
                  <w:rFonts w:ascii="Times New Roman;Times;Serif" w:hAnsi="Times New Roman;Times;Serif"/>
                  <w:b w:val="false"/>
                  <w:i w:val="false"/>
                  <w:caps w:val="false"/>
                  <w:smallCaps w:val="false"/>
                  <w:sz w:val="20"/>
                </w:rPr>
                <w:t>8</w:t>
              </w:r>
            </w:hyperlink>
          </w:p>
        </w:tc>
      </w:tr>
      <w:tr>
        <w:trPr/>
        <w:tc>
          <w:tcPr>
            <w:tcW w:w="996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right"/>
              <w:rPr/>
            </w:pPr>
            <w:hyperlink w:anchor="a_007">
              <w:r>
                <w:rPr>
                  <w:rStyle w:val="InternetLink"/>
                  <w:rFonts w:ascii="Times New Roman;Times;Serif" w:hAnsi="Times New Roman;Times;Serif"/>
                  <w:b w:val="false"/>
                  <w:i w:val="false"/>
                  <w:caps w:val="false"/>
                  <w:smallCaps w:val="false"/>
                  <w:sz w:val="20"/>
                </w:rPr>
                <w:t>10</w:t>
              </w:r>
            </w:hyperlink>
          </w:p>
        </w:tc>
      </w:tr>
      <w:tr>
        <w:trPr/>
        <w:tc>
          <w:tcPr>
            <w:tcW w:w="996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SELLING SECURITYHOLDERS</w:t>
              </w:r>
            </w:hyperlink>
          </w:p>
        </w:tc>
        <w:tc>
          <w:tcPr>
            <w:tcW w:w="245" w:type="dxa"/>
            <w:tcBorders/>
            <w:shd w:fill="FFFFFF" w:val="clear"/>
            <w:vAlign w:val="center"/>
          </w:tcPr>
          <w:p>
            <w:pPr>
              <w:pStyle w:val="TableContents"/>
              <w:bidi w:val="0"/>
              <w:spacing w:before="0" w:after="283"/>
              <w:jc w:val="right"/>
              <w:rPr/>
            </w:pPr>
            <w:hyperlink w:anchor="a_008">
              <w:r>
                <w:rPr>
                  <w:rStyle w:val="InternetLink"/>
                  <w:rFonts w:ascii="Times New Roman;Times;Serif" w:hAnsi="Times New Roman;Times;Serif"/>
                  <w:b w:val="false"/>
                  <w:i w:val="false"/>
                  <w:caps w:val="false"/>
                  <w:smallCaps w:val="false"/>
                  <w:sz w:val="20"/>
                </w:rPr>
                <w:t>10</w:t>
              </w:r>
            </w:hyperlink>
          </w:p>
        </w:tc>
      </w:tr>
      <w:tr>
        <w:trPr/>
        <w:tc>
          <w:tcPr>
            <w:tcW w:w="996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right"/>
              <w:rPr/>
            </w:pPr>
            <w:hyperlink w:anchor="a_009">
              <w:r>
                <w:rPr>
                  <w:rStyle w:val="InternetLink"/>
                  <w:rFonts w:ascii="Times New Roman;Times;Serif" w:hAnsi="Times New Roman;Times;Serif"/>
                  <w:b w:val="false"/>
                  <w:i w:val="false"/>
                  <w:caps w:val="false"/>
                  <w:smallCaps w:val="false"/>
                  <w:sz w:val="20"/>
                </w:rPr>
                <w:t>11</w:t>
              </w:r>
            </w:hyperlink>
          </w:p>
        </w:tc>
      </w:tr>
      <w:tr>
        <w:trPr/>
        <w:tc>
          <w:tcPr>
            <w:tcW w:w="996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COMMON SHARES AND SPECIAL SHARES</w:t>
              </w:r>
            </w:hyperlink>
          </w:p>
        </w:tc>
        <w:tc>
          <w:tcPr>
            <w:tcW w:w="245" w:type="dxa"/>
            <w:tcBorders/>
            <w:shd w:fill="FFFFFF" w:val="clear"/>
            <w:vAlign w:val="center"/>
          </w:tcPr>
          <w:p>
            <w:pPr>
              <w:pStyle w:val="TableContents"/>
              <w:bidi w:val="0"/>
              <w:spacing w:before="0" w:after="283"/>
              <w:jc w:val="right"/>
              <w:rPr/>
            </w:pPr>
            <w:hyperlink w:anchor="a_010">
              <w:r>
                <w:rPr>
                  <w:rStyle w:val="InternetLink"/>
                  <w:rFonts w:ascii="Times New Roman;Times;Serif" w:hAnsi="Times New Roman;Times;Serif"/>
                  <w:b w:val="false"/>
                  <w:i w:val="false"/>
                  <w:caps w:val="false"/>
                  <w:smallCaps w:val="false"/>
                  <w:sz w:val="20"/>
                </w:rPr>
                <w:t>14</w:t>
              </w:r>
            </w:hyperlink>
          </w:p>
        </w:tc>
      </w:tr>
      <w:tr>
        <w:trPr/>
        <w:tc>
          <w:tcPr>
            <w:tcW w:w="996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DESCRIPTION OF PREFERRED SHARES</w:t>
              </w:r>
            </w:hyperlink>
          </w:p>
        </w:tc>
        <w:tc>
          <w:tcPr>
            <w:tcW w:w="245" w:type="dxa"/>
            <w:tcBorders/>
            <w:shd w:fill="CCEEFF" w:val="clear"/>
            <w:vAlign w:val="center"/>
          </w:tcPr>
          <w:p>
            <w:pPr>
              <w:pStyle w:val="TableContents"/>
              <w:bidi w:val="0"/>
              <w:spacing w:before="0" w:after="283"/>
              <w:jc w:val="right"/>
              <w:rPr/>
            </w:pPr>
            <w:hyperlink w:anchor="a_011">
              <w:r>
                <w:rPr>
                  <w:rStyle w:val="InternetLink"/>
                  <w:rFonts w:ascii="Times New Roman;Times;Serif" w:hAnsi="Times New Roman;Times;Serif"/>
                  <w:b w:val="false"/>
                  <w:i w:val="false"/>
                  <w:caps w:val="false"/>
                  <w:smallCaps w:val="false"/>
                  <w:sz w:val="20"/>
                </w:rPr>
                <w:t>17</w:t>
              </w:r>
            </w:hyperlink>
          </w:p>
        </w:tc>
      </w:tr>
      <w:tr>
        <w:trPr/>
        <w:tc>
          <w:tcPr>
            <w:tcW w:w="996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DESCRIPTION OF DEBT SECURITIES</w:t>
              </w:r>
            </w:hyperlink>
          </w:p>
        </w:tc>
        <w:tc>
          <w:tcPr>
            <w:tcW w:w="245" w:type="dxa"/>
            <w:tcBorders/>
            <w:shd w:fill="FFFFFF" w:val="clear"/>
            <w:vAlign w:val="center"/>
          </w:tcPr>
          <w:p>
            <w:pPr>
              <w:pStyle w:val="TableContents"/>
              <w:bidi w:val="0"/>
              <w:spacing w:before="0" w:after="283"/>
              <w:jc w:val="right"/>
              <w:rPr/>
            </w:pPr>
            <w:hyperlink w:anchor="a_012">
              <w:r>
                <w:rPr>
                  <w:rStyle w:val="InternetLink"/>
                  <w:rFonts w:ascii="Times New Roman;Times;Serif" w:hAnsi="Times New Roman;Times;Serif"/>
                  <w:b w:val="false"/>
                  <w:i w:val="false"/>
                  <w:caps w:val="false"/>
                  <w:smallCaps w:val="false"/>
                  <w:sz w:val="20"/>
                </w:rPr>
                <w:t>18</w:t>
              </w:r>
            </w:hyperlink>
          </w:p>
        </w:tc>
      </w:tr>
      <w:tr>
        <w:trPr/>
        <w:tc>
          <w:tcPr>
            <w:tcW w:w="996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DESCRIPTION OF WARRANTS</w:t>
              </w:r>
            </w:hyperlink>
          </w:p>
        </w:tc>
        <w:tc>
          <w:tcPr>
            <w:tcW w:w="245" w:type="dxa"/>
            <w:tcBorders/>
            <w:shd w:fill="CCEEFF" w:val="clear"/>
            <w:vAlign w:val="center"/>
          </w:tcPr>
          <w:p>
            <w:pPr>
              <w:pStyle w:val="TableContents"/>
              <w:bidi w:val="0"/>
              <w:spacing w:before="0" w:after="283"/>
              <w:jc w:val="right"/>
              <w:rPr/>
            </w:pPr>
            <w:hyperlink w:anchor="a_013">
              <w:r>
                <w:rPr>
                  <w:rStyle w:val="InternetLink"/>
                  <w:rFonts w:ascii="Times New Roman;Times;Serif" w:hAnsi="Times New Roman;Times;Serif"/>
                  <w:b w:val="false"/>
                  <w:i w:val="false"/>
                  <w:caps w:val="false"/>
                  <w:smallCaps w:val="false"/>
                  <w:sz w:val="20"/>
                </w:rPr>
                <w:t>24</w:t>
              </w:r>
            </w:hyperlink>
          </w:p>
        </w:tc>
      </w:tr>
      <w:tr>
        <w:trPr/>
        <w:tc>
          <w:tcPr>
            <w:tcW w:w="996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DESCRIPTION OF UNITS</w:t>
              </w:r>
            </w:hyperlink>
          </w:p>
        </w:tc>
        <w:tc>
          <w:tcPr>
            <w:tcW w:w="245" w:type="dxa"/>
            <w:tcBorders/>
            <w:shd w:fill="FFFFFF" w:val="clear"/>
            <w:vAlign w:val="center"/>
          </w:tcPr>
          <w:p>
            <w:pPr>
              <w:pStyle w:val="TableContents"/>
              <w:bidi w:val="0"/>
              <w:spacing w:before="0" w:after="283"/>
              <w:jc w:val="right"/>
              <w:rPr/>
            </w:pPr>
            <w:hyperlink w:anchor="a_014">
              <w:r>
                <w:rPr>
                  <w:rStyle w:val="InternetLink"/>
                  <w:rFonts w:ascii="Times New Roman;Times;Serif" w:hAnsi="Times New Roman;Times;Serif"/>
                  <w:b w:val="false"/>
                  <w:i w:val="false"/>
                  <w:caps w:val="false"/>
                  <w:smallCaps w:val="false"/>
                  <w:sz w:val="20"/>
                </w:rPr>
                <w:t>26</w:t>
              </w:r>
            </w:hyperlink>
          </w:p>
        </w:tc>
      </w:tr>
      <w:tr>
        <w:trPr/>
        <w:tc>
          <w:tcPr>
            <w:tcW w:w="996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CERTAIN IMPORTANT PROVISIONS OF THE NOTICE OF ARTICLES AND ARTICLES AND THE BCBCA</w:t>
              </w:r>
            </w:hyperlink>
          </w:p>
        </w:tc>
        <w:tc>
          <w:tcPr>
            <w:tcW w:w="245" w:type="dxa"/>
            <w:tcBorders/>
            <w:shd w:fill="CCEEFF" w:val="clear"/>
            <w:vAlign w:val="center"/>
          </w:tcPr>
          <w:p>
            <w:pPr>
              <w:pStyle w:val="TableContents"/>
              <w:bidi w:val="0"/>
              <w:spacing w:before="0" w:after="283"/>
              <w:jc w:val="right"/>
              <w:rPr/>
            </w:pPr>
            <w:hyperlink w:anchor="a_015">
              <w:r>
                <w:rPr>
                  <w:rStyle w:val="InternetLink"/>
                  <w:rFonts w:ascii="Times New Roman;Times;Serif" w:hAnsi="Times New Roman;Times;Serif"/>
                  <w:b w:val="false"/>
                  <w:i w:val="false"/>
                  <w:caps w:val="false"/>
                  <w:smallCaps w:val="false"/>
                  <w:sz w:val="20"/>
                </w:rPr>
                <w:t>27</w:t>
              </w:r>
            </w:hyperlink>
          </w:p>
        </w:tc>
      </w:tr>
      <w:tr>
        <w:trPr/>
        <w:tc>
          <w:tcPr>
            <w:tcW w:w="996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OWNERSHIP AND EXCHANGE CONTROLS</w:t>
              </w:r>
            </w:hyperlink>
          </w:p>
        </w:tc>
        <w:tc>
          <w:tcPr>
            <w:tcW w:w="245" w:type="dxa"/>
            <w:tcBorders/>
            <w:shd w:fill="FFFFFF" w:val="clear"/>
            <w:vAlign w:val="center"/>
          </w:tcPr>
          <w:p>
            <w:pPr>
              <w:pStyle w:val="TableContents"/>
              <w:bidi w:val="0"/>
              <w:spacing w:before="0" w:after="283"/>
              <w:jc w:val="right"/>
              <w:rPr/>
            </w:pPr>
            <w:hyperlink w:anchor="a_016">
              <w:r>
                <w:rPr>
                  <w:rStyle w:val="InternetLink"/>
                  <w:rFonts w:ascii="Times New Roman;Times;Serif" w:hAnsi="Times New Roman;Times;Serif"/>
                  <w:b w:val="false"/>
                  <w:i w:val="false"/>
                  <w:caps w:val="false"/>
                  <w:smallCaps w:val="false"/>
                  <w:sz w:val="20"/>
                </w:rPr>
                <w:t>30</w:t>
              </w:r>
            </w:hyperlink>
          </w:p>
        </w:tc>
      </w:tr>
      <w:tr>
        <w:trPr/>
        <w:tc>
          <w:tcPr>
            <w:tcW w:w="996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MATERIAL U.S. FEDERAL INCOME TAX CONSIDERATIONS</w:t>
              </w:r>
            </w:hyperlink>
          </w:p>
        </w:tc>
        <w:tc>
          <w:tcPr>
            <w:tcW w:w="245" w:type="dxa"/>
            <w:tcBorders/>
            <w:shd w:fill="CCEEFF" w:val="clear"/>
            <w:vAlign w:val="center"/>
          </w:tcPr>
          <w:p>
            <w:pPr>
              <w:pStyle w:val="TableContents"/>
              <w:bidi w:val="0"/>
              <w:spacing w:before="0" w:after="283"/>
              <w:jc w:val="right"/>
              <w:rPr/>
            </w:pPr>
            <w:hyperlink w:anchor="a_017">
              <w:r>
                <w:rPr>
                  <w:rStyle w:val="InternetLink"/>
                  <w:rFonts w:ascii="Times New Roman;Times;Serif" w:hAnsi="Times New Roman;Times;Serif"/>
                  <w:b w:val="false"/>
                  <w:i w:val="false"/>
                  <w:caps w:val="false"/>
                  <w:smallCaps w:val="false"/>
                  <w:sz w:val="20"/>
                </w:rPr>
                <w:t>32</w:t>
              </w:r>
            </w:hyperlink>
          </w:p>
        </w:tc>
      </w:tr>
      <w:tr>
        <w:trPr/>
        <w:tc>
          <w:tcPr>
            <w:tcW w:w="9960"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MATERIAL CANADIAN FEDERAL INCOME TAX CONSIDERATIONS</w:t>
              </w:r>
            </w:hyperlink>
          </w:p>
        </w:tc>
        <w:tc>
          <w:tcPr>
            <w:tcW w:w="245" w:type="dxa"/>
            <w:tcBorders/>
            <w:shd w:fill="FFFFFF" w:val="clear"/>
            <w:vAlign w:val="center"/>
          </w:tcPr>
          <w:p>
            <w:pPr>
              <w:pStyle w:val="TableContents"/>
              <w:bidi w:val="0"/>
              <w:spacing w:before="0" w:after="283"/>
              <w:jc w:val="right"/>
              <w:rPr/>
            </w:pPr>
            <w:hyperlink w:anchor="a_018">
              <w:r>
                <w:rPr>
                  <w:rStyle w:val="InternetLink"/>
                  <w:rFonts w:ascii="Times New Roman;Times;Serif" w:hAnsi="Times New Roman;Times;Serif"/>
                  <w:b w:val="false"/>
                  <w:i w:val="false"/>
                  <w:caps w:val="false"/>
                  <w:smallCaps w:val="false"/>
                  <w:sz w:val="20"/>
                </w:rPr>
                <w:t>38</w:t>
              </w:r>
            </w:hyperlink>
          </w:p>
        </w:tc>
      </w:tr>
      <w:tr>
        <w:trPr/>
        <w:tc>
          <w:tcPr>
            <w:tcW w:w="996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right"/>
              <w:rPr/>
            </w:pPr>
            <w:hyperlink w:anchor="a_019">
              <w:r>
                <w:rPr>
                  <w:rStyle w:val="InternetLink"/>
                  <w:rFonts w:ascii="Times New Roman;Times;Serif" w:hAnsi="Times New Roman;Times;Serif"/>
                  <w:b w:val="false"/>
                  <w:i w:val="false"/>
                  <w:caps w:val="false"/>
                  <w:smallCaps w:val="false"/>
                  <w:sz w:val="20"/>
                </w:rPr>
                <w:t>40</w:t>
              </w:r>
            </w:hyperlink>
          </w:p>
        </w:tc>
      </w:tr>
      <w:tr>
        <w:trPr/>
        <w:tc>
          <w:tcPr>
            <w:tcW w:w="9960"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jc w:val="right"/>
              <w:rPr/>
            </w:pPr>
            <w:hyperlink w:anchor="a_020">
              <w:r>
                <w:rPr>
                  <w:rStyle w:val="InternetLink"/>
                  <w:rFonts w:ascii="Times New Roman;Times;Serif" w:hAnsi="Times New Roman;Times;Serif"/>
                  <w:b w:val="false"/>
                  <w:i w:val="false"/>
                  <w:caps w:val="false"/>
                  <w:smallCaps w:val="false"/>
                  <w:sz w:val="20"/>
                </w:rPr>
                <w:t>40</w:t>
              </w:r>
            </w:hyperlink>
          </w:p>
        </w:tc>
      </w:tr>
      <w:tr>
        <w:trPr/>
        <w:tc>
          <w:tcPr>
            <w:tcW w:w="9960"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right"/>
              <w:rPr/>
            </w:pPr>
            <w:hyperlink w:anchor="a_021">
              <w:r>
                <w:rPr>
                  <w:rStyle w:val="InternetLink"/>
                  <w:rFonts w:ascii="Times New Roman;Times;Serif" w:hAnsi="Times New Roman;Times;Serif"/>
                  <w:b w:val="false"/>
                  <w:i w:val="false"/>
                  <w:caps w:val="false"/>
                  <w:smallCaps w:val="false"/>
                  <w:sz w:val="20"/>
                </w:rPr>
                <w:t>40</w:t>
              </w:r>
            </w:hyperlink>
          </w:p>
        </w:tc>
      </w:tr>
      <w:tr>
        <w:trPr/>
        <w:tc>
          <w:tcPr>
            <w:tcW w:w="9960"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INCORPORATION OF DOCUMENTS BY REFERENCE</w:t>
              </w:r>
            </w:hyperlink>
          </w:p>
        </w:tc>
        <w:tc>
          <w:tcPr>
            <w:tcW w:w="245" w:type="dxa"/>
            <w:tcBorders/>
            <w:shd w:fill="FFFFFF" w:val="clear"/>
            <w:vAlign w:val="center"/>
          </w:tcPr>
          <w:p>
            <w:pPr>
              <w:pStyle w:val="TableContents"/>
              <w:bidi w:val="0"/>
              <w:spacing w:before="0" w:after="283"/>
              <w:jc w:val="right"/>
              <w:rPr/>
            </w:pPr>
            <w:hyperlink w:anchor="a_022">
              <w:r>
                <w:rPr>
                  <w:rStyle w:val="InternetLink"/>
                  <w:rFonts w:ascii="Times New Roman;Times;Serif" w:hAnsi="Times New Roman;Times;Serif"/>
                  <w:b w:val="false"/>
                  <w:i w:val="false"/>
                  <w:caps w:val="false"/>
                  <w:smallCaps w:val="false"/>
                  <w:sz w:val="20"/>
                </w:rPr>
                <w:t>40</w:t>
              </w:r>
            </w:hyperlink>
          </w:p>
        </w:tc>
      </w:tr>
      <w:tr>
        <w:trPr/>
        <w:tc>
          <w:tcPr>
            <w:tcW w:w="9960"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b w:val="false"/>
                  <w:i w:val="false"/>
                  <w:caps w:val="false"/>
                  <w:smallCaps w:val="false"/>
                  <w:sz w:val="20"/>
                </w:rPr>
                <w:t>ENFORCEABILITY OF CIVIL LIABILITIES AND SERVICE OF PROCESS</w:t>
              </w:r>
            </w:hyperlink>
          </w:p>
        </w:tc>
        <w:tc>
          <w:tcPr>
            <w:tcW w:w="245" w:type="dxa"/>
            <w:tcBorders/>
            <w:shd w:fill="CCEEFF" w:val="clear"/>
            <w:vAlign w:val="center"/>
          </w:tcPr>
          <w:p>
            <w:pPr>
              <w:pStyle w:val="TableContents"/>
              <w:bidi w:val="0"/>
              <w:spacing w:before="0" w:after="283"/>
              <w:jc w:val="right"/>
              <w:rPr/>
            </w:pPr>
            <w:hyperlink w:anchor="a_023">
              <w:r>
                <w:rPr>
                  <w:rStyle w:val="InternetLink"/>
                  <w:rFonts w:ascii="Times New Roman;Times;Serif" w:hAnsi="Times New Roman;Times;Serif"/>
                  <w:b w:val="false"/>
                  <w:i w:val="false"/>
                  <w:caps w:val="false"/>
                  <w:smallCaps w:val="false"/>
                  <w:sz w:val="20"/>
                </w:rPr>
                <w:t>41</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and other statistical data included or incorporated by reference in this prospectus were obtained from industry publications, market research and publicly available information as well as publications and research conducted by or on our behalf. Industry publications generally state that the information contained therein has been obtained from sources believed to be reliable, but that the accuracy and completeness of such information is not guaranteed. Similarly, market research and publicly available information, while believed to be reliable, have not been independently verified, and we make no representation as to the accuracy of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Service marks and Trade 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 symbols, but such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an automatic shelf registration statement on Form S-3 that we filed with the U.S. Securities and Exchange Commission, or SEC, as a “well-known seasoned issuer” (as such term is defined in Rule 405 under the Securities Act of 1933, as amended, or the Securities Act), using an automatic “shelf” registration process. Using this process, we or the selling securityholders may, from time to time, sell any securities described in this prospectus in one or more offerings. There is no limit on the aggregate amount of the securities that we or the selling securityholders may offer pursuant to the registration statement of which this prospectus is a part. This prospectus provides a general description of the securities we or the selling securityholders may offer. Each time we or the selling securityholders sell any securities under this prospectus, we will provide a prospectus supplement that will contain more specific information about the terms of the securities being offered and the specific manner in which they will be offered. We may also authorize one or more free writing prospectuses to be provided to you that may contain material information relating to these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The prospectus supplement or free writing prospectus may also add, update or change information contained or incorporated by reference in this prospectus. This prospectus, together with the applicable prospectus supplements and any applicable free writing prospectus, and the documents incorporated by reference into this prospectus, includes all material information relating to the offering of securities under this prospectus. You should carefully read this prospectus, the applicable prospectus supplement and any applicable free writing prospectus, the information and documents incorporated herein by reference and the additional information under the heading “Where You Can Find More Information” before making an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we have provided or incorporated by reference in this prospectus or any prospectus supplement or free writing prospectus.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any prospectus supplement or any applicable free writing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or free writing prospectus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or any selling securityholder in any agreement that is filed as an exhibit to any document that is incorporated by reference in this prospectus or any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or the selling securityholders’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sales of our securities by us or the selling securityholders, unless it is accompanied by a prospectus supplement and any applicable free writing prospectus. To the extent there are inconsistencies between any prospectus supplement or free writing prospectus, this prospectus and any documents incorporated by reference, the document with the most recent date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Company,” “we,” “us,” “our” and similar terms refer to TMC the metals company Inc. and our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investors outside the United States</w:t>
      </w:r>
      <w:r>
        <w:rPr>
          <w:rFonts w:ascii="Times New Roman;Times;Serif" w:hAnsi="Times New Roman;Times;Serif"/>
          <w:b w:val="false"/>
          <w:i w:val="false"/>
          <w:caps w:val="false"/>
          <w:smallCaps w:val="false"/>
          <w:sz w:val="20"/>
        </w:rPr>
        <w:t>: We have not done anything that would permit these offerings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3" w:name="a_002"/>
      <w:bookmarkEnd w:id="3"/>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or free writing prospectus. Investing in our securities involves risks. Therefore, carefully consider the risk factors set forth in any prospectus supplements or free writing prospectus and in our most recent annual, quarterly and other filings with the SEC, as well as other information in this prospectus and any prospectus supplements or free writing prospectus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About TMC the metals company Inc.</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Overview</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deep seabed minerals developer focused on the collection, processing and refining of polymetallic nodules found on the seafloor in international waters of the Clarion Clipperton Zone (“CCZ”), approximately 1,500 miles (or 2,400 kilometers) south-west of San Diego, California.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alongside meaningful concentrations of rare earth elements (REE) in a single rock.</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mission is to build a carefully managed shared stock of metal (a “metal commons”) that can be used, recovered and reused for generations to come. We believe significant quantities of newly mined metal are required because existing metal stocks are insufficient to meet rapidly rising demand.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four metals and REEs contained in the polymetallic nodules are on the U.S. Department of Interior’s “2025 List of Critical Minerals”, with end-uses in strategic sectors including semiconductors and AI data centers, steel manufacturing, the defense and marine industrial base. Nickel was included on the list of 13 minerals selected by the U.S. Department of War in March 2026 for targeted procurement efforts through the Defense Industrial Base Consortium. Our resource definition work to date shows that nodules in our contract areas represent the world’s largest estimated undeveloped resource of several of these critical metals. If we are able to collect polymetallic nodules from the seafloor on a commercial scale, we plan to use such nodules to initially produce nickel, cobalt and copper-bearing intermediate and metal cathode products as well as a manganese silicate product of approximately 40% manganese comparable to medium-grade manganese ore. Once in production, we may explore expanding into other product formats including silicomanganese alloy, battery-grade sulfates and precursor Cathode Active Materials (pCAM), as well as extracting REEs contained in nodules.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are now in the development stage following the release of the results of a pre-feasibility study on one of our development areas in a report titled </w:t>
      </w:r>
      <w:r>
        <w:rPr>
          <w:rFonts w:ascii="Times New Roman;Times;Serif" w:hAnsi="Times New Roman;Times;Serif"/>
          <w:b w:val="false"/>
          <w:i/>
          <w:caps w:val="false"/>
          <w:smallCaps w:val="false"/>
          <w:sz w:val="20"/>
          <w:bdr w:val="single" w:sz="8" w:space="1" w:color="000000"/>
        </w:rPr>
        <w:t>S-K 1300 Prefeasibility Study for NORI Area D: Technical Report Summary</w:t>
      </w:r>
      <w:r>
        <w:rPr>
          <w:rFonts w:ascii="Times New Roman;Times;Serif" w:hAnsi="Times New Roman;Times;Serif"/>
          <w:b w:val="false"/>
          <w:i w:val="false"/>
          <w:caps w:val="false"/>
          <w:smallCaps w:val="false"/>
          <w:sz w:val="20"/>
          <w:bdr w:val="single" w:sz="8" w:space="1" w:color="000000"/>
        </w:rPr>
        <w:t xml:space="preserve">, dated August 4, 2025, prepared by AMC Consultants Pty Lt. and other qualified persons (the “NORI-D PFS”), which declared the world’s first mineral reserves for a seafloor polymetallic nodule project demonstrating the project’s economic viability. We also recently released an initial assessment of our other development areas in a report titled </w:t>
      </w:r>
      <w:r>
        <w:rPr>
          <w:rFonts w:ascii="Times New Roman;Times;Serif" w:hAnsi="Times New Roman;Times;Serif"/>
          <w:b w:val="false"/>
          <w:i/>
          <w:caps w:val="false"/>
          <w:smallCaps w:val="false"/>
          <w:sz w:val="20"/>
          <w:bdr w:val="single" w:sz="8" w:space="1" w:color="000000"/>
        </w:rPr>
        <w:t>S-K 1300 Technical Report Summary—Initial Assessment of TOML and NORI Properties, Clarion-Clipperton Zone</w:t>
      </w:r>
      <w:r>
        <w:rPr>
          <w:rFonts w:ascii="Times New Roman;Times;Serif" w:hAnsi="Times New Roman;Times;Serif"/>
          <w:b w:val="false"/>
          <w:i w:val="false"/>
          <w:caps w:val="false"/>
          <w:smallCaps w:val="false"/>
          <w:sz w:val="20"/>
          <w:bdr w:val="single" w:sz="8" w:space="1" w:color="000000"/>
        </w:rPr>
        <w:t>, dated August 4, 2025, prepared by AMC Consultants Pty Lt. and other qualified persons (the “TOML and NORI IA” together with the NORI-D PFS, the “Technical Reports”). We have yet to obtain a commercial recovery permit or other related offshore and onshore permits from the regulators. Additionally, we do not yet hold the environmental or other permits required to construct and operate commercial-scale polymetallic nodule processing and refining facilities on land.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Two parallel regulatory regimes exist to regulate deep seabed exploration and extraction activities in the high seas. The United States adopted the Deep Seabed Hard Mineral Resources Act of 1980 (“DSHMRA”), a U.S. domestic statute administered by the U.S. Department of Commerce through the National Oceanic and Atmospheric Administration (“NOAA”) to regulate deep-sea mining activities of its citizens in the high seas. NOAA implemented regulations for exploration licenses in 1981 and for commercial recovery permits in 1989 and amended these regulations introducing a consolidated exploration license and commercial recovery permit application process in 2026. In parallel, the International Seabed Authority (“ISA”), comprised today of 171 countries and the European Union was established in 1994, pursuant to the United Nations Convention on the Law of the Sea (“UNCLOS”) to regulate deep seabed exploration and exploitation activities of the nationals of Member States. The ISA has adopted exploration regulations in 2000 (amended in 2013 and 2014) and issued 19 polymetallic nodule exploration contracts (17 of which are located in the CCZ) but has been unable to adopt the final exploitation regulations, standards and guidelines despite initiating work in 2014. Almost 30 countries, including the United States, have not ratified UNCLOS and are not Member States of the ISA. The United States has remained a persistent objector to UNCLOS ratification, primarily due to its Part XI seabed mining provisions.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continue focusing on advancing our commercial production strategy under the DSHMRA regime. In April 2025, our wholly owned subsidiary, The Metals Company USA, LLC (“TMC USA”), submitted two exploration license applications (covering 187,017 square kilometers in the CCZ referred to as TMC USA-A and TMC USA-B) and one commercial recovery permit application (covering 25,160 square kilometers in the CCZ referred to as TMC USA-A) to NOAA. Following the introduction of the consolidated application process by NOAA in January 2026, TMC USA submitted a consolidated exploration license and commercial recovery permit application covering a subset of TMC USA-A area previously applied over in April 2025. The application areas in total are estimated to hold approximately 1.639 billion wet tonnes of measured, indicated and inferred mineral resources. Together, the mineral resources are estimated to contain approximately 15.5 million tonnes of nickel, 12.8 million tonnes of copper, 2.0 million tonnes of cobalt, and 345 million tonnes of manganese.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Additional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additional information related to our business and operations, please refer to the reports incorporated herein by reference, as described under the caption “Incorporation of Documents by Reference” on page 40 of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Our 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are a corporation existing under the laws of British Columbia, Canada. Our registered and records office is located at 1111 West Hastings Street, 15th Floor, Vancouver, British Columbia V6E 2J3, and our telephone number is (888) 458-3420. We do not have a physical office in Vancouver, British Columbia, our directors and executive officers work remotely in various countries around the world, and the Vancouver, British Columbia address has been included on the cover page to the registration statement on Form S-3 to which this prospectus forms a part as our principal executive office because this address is our registered and records office required under the </w:t>
      </w:r>
      <w:r>
        <w:rPr>
          <w:rFonts w:ascii="Times New Roman;Times;Serif" w:hAnsi="Times New Roman;Times;Serif"/>
          <w:b w:val="false"/>
          <w:i/>
          <w:caps w:val="false"/>
          <w:smallCaps w:val="false"/>
          <w:sz w:val="20"/>
          <w:bdr w:val="single" w:sz="8" w:space="1" w:color="000000"/>
        </w:rPr>
        <w:t>Business Corporations Act</w:t>
      </w:r>
      <w:r>
        <w:rPr>
          <w:rFonts w:ascii="Times New Roman;Times;Serif" w:hAnsi="Times New Roman;Times;Serif"/>
          <w:b w:val="false"/>
          <w:i w:val="false"/>
          <w:caps w:val="false"/>
          <w:smallCaps w:val="false"/>
          <w:sz w:val="20"/>
          <w:bdr w:val="single" w:sz="8" w:space="1" w:color="000000"/>
        </w:rPr>
        <w:t xml:space="preserve"> (British Columbia). Our website address is </w:t>
      </w:r>
      <w:r>
        <w:rPr>
          <w:rFonts w:ascii="Times New Roman;Times;Serif" w:hAnsi="Times New Roman;Times;Serif"/>
          <w:b w:val="false"/>
          <w:i/>
          <w:caps w:val="false"/>
          <w:smallCaps w:val="false"/>
          <w:sz w:val="20"/>
          <w:bdr w:val="single" w:sz="8" w:space="1" w:color="000000"/>
        </w:rPr>
        <w:t>www.metals.co</w:t>
      </w:r>
      <w:r>
        <w:rPr>
          <w:rFonts w:ascii="Times New Roman;Times;Serif" w:hAnsi="Times New Roman;Times;Serif"/>
          <w:b w:val="false"/>
          <w:i w:val="false"/>
          <w:caps w:val="false"/>
          <w:smallCaps w:val="false"/>
          <w:sz w:val="20"/>
          <w:bdr w:val="single" w:sz="8" w:space="1" w:color="000000"/>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Offerings Under This Prospectus by Us or the Selling Securityholders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Under this prospectus, we or the selling securityholders may offer our securities from time to time at prices and on terms to be determined by market conditions at the time of the offering. This prospectus provides you with a general description of the securities we or the selling securityholders may offer. Each time we or the selling securityholders offer securities under this prospectus, we will provide a prospectus supplement that will describe the specific amounts, prices and other important terms of the securities. We may also authorize one or more free writing prospectuses to be provided to you that may contain material information relating to these offerings.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prospectus supplement and any applicable free writing prospectus also may add, update or change information contained in this prospectus or in documents we have incorporated by reference into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or the selling securityholders may sell the securities directly to investors or to or through agents, underwriters or dealers. We, and our agents or underwriters, and the selling securityholders and their agents or underwriters, reserve the right to accept or reject all or part of any proposed purchase of securities. If we or the selling securityholders offer securities through agents or underwriters, we will include in the applicable prospectus supplement or free writing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2"/>
        <w:gridCol w:w="306"/>
        <w:gridCol w:w="9807"/>
      </w:tblGrid>
      <w:tr>
        <w:trPr/>
        <w:tc>
          <w:tcPr>
            <w:tcW w:w="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Symbol" w:hAnsi="Symbol"/>
              </w:rPr>
            </w:pPr>
            <w:r>
              <w:rPr>
                <w:rFonts w:ascii="Symbol" w:hAnsi="Symbol"/>
              </w:rPr>
              <w:t>·</w:t>
            </w:r>
          </w:p>
        </w:tc>
        <w:tc>
          <w:tcPr>
            <w:tcW w:w="98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names of those agents or underwriters;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3"/>
        <w:gridCol w:w="209"/>
        <w:gridCol w:w="9933"/>
      </w:tblGrid>
      <w:tr>
        <w:trPr/>
        <w:tc>
          <w:tcPr>
            <w:tcW w:w="6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Symbol" w:hAnsi="Symbol"/>
              </w:rPr>
            </w:pPr>
            <w:r>
              <w:rPr>
                <w:rFonts w:ascii="Symbol" w:hAnsi="Symbol"/>
              </w:rPr>
              <w:t>·</w:t>
            </w:r>
          </w:p>
        </w:tc>
        <w:tc>
          <w:tcPr>
            <w:tcW w:w="99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applicable fees, discounts and commissions to be paid to them;</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details regarding over-allotment and other options to purchase additional securities, if any; and</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68"/>
        <w:gridCol w:w="555"/>
        <w:gridCol w:w="9482"/>
      </w:tblGrid>
      <w:tr>
        <w:trPr/>
        <w:tc>
          <w:tcPr>
            <w:tcW w:w="16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rFonts w:ascii="Symbol" w:hAnsi="Symbol"/>
              </w:rPr>
            </w:pPr>
            <w:r>
              <w:rPr>
                <w:rFonts w:ascii="Symbol" w:hAnsi="Symbol"/>
              </w:rPr>
              <w:t>·</w:t>
            </w:r>
          </w:p>
        </w:tc>
        <w:tc>
          <w:tcPr>
            <w:tcW w:w="94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net proceeds to us.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Selling Securityholders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Selling securityholders are persons or entities that, directly or indirectly, have acquired or will from time to time acquire from us, our securities. Information about selling securityholders, if any, will be set forth in a prospectus supplement. See the section titled “Selling Securityholders” on page 10 of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This prospectus may not be used to consummate a sale of any securities by us unless it is accompanied by a prospectus supplement and any applicable free writing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 The prospectus supplement and any free writing prospectus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any applicable free writing prospectus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5"/>
        <w:gridCol w:w="10029"/>
      </w:tblGrid>
      <w:tr>
        <w:trPr/>
        <w:tc>
          <w:tcPr>
            <w:tcW w:w="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29" w:type="dxa"/>
            <w:tcBorders/>
            <w:vAlign w:val="center"/>
          </w:tcPr>
          <w:p>
            <w:pPr>
              <w:pStyle w:val="TableContents"/>
              <w:bidi w:val="0"/>
              <w:spacing w:before="0" w:after="283"/>
              <w:jc w:val="both"/>
              <w:rPr/>
            </w:pPr>
            <w:r>
              <w:rPr/>
              <w:t>the commercial and technical feasibility of seafloor polymetallic nodule collection and processing;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our commercialization plans;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supply and demand for nickel and cobalt (including critical metals and battery cathode feedstocks), copper, manganese ores and other steel-making feedstocks;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future prices of nickel and cobalt (including critical metals and battery cathode feedstocks), copper, manganese ores and other steel-making feedstocks;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timing of the exploration license and commercial recovery permit and consolidated applications review by NOAA under DSHMRA;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timing and expectations with respect to the extension of our exploration contracts with the ISA and the receipt of exploitation contracts from the ISA;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government regulation of mineral extraction from the deep seafloor and changes in mining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technical, operational, environmental, social and governance risks of developing and deploying equipment to collect and ship polymetallic nodules at sea, and to process such nodules on land;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sources and timing of potential revenue as well as the timing and amount of estimated future production, costs of production, other expenses, capital expenditures and requirements for additional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03"/>
        <w:gridCol w:w="9810"/>
      </w:tblGrid>
      <w:tr>
        <w:trPr/>
        <w:tc>
          <w:tcPr>
            <w:tcW w:w="9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Symbol" w:hAnsi="Symbol"/>
              </w:rPr>
            </w:pPr>
            <w:r>
              <w:rPr>
                <w:rFonts w:ascii="Symbol" w:hAnsi="Symbol"/>
              </w:rPr>
              <w:t>·</w:t>
            </w:r>
          </w:p>
        </w:tc>
        <w:tc>
          <w:tcPr>
            <w:tcW w:w="9810" w:type="dxa"/>
            <w:tcBorders/>
            <w:vAlign w:val="center"/>
          </w:tcPr>
          <w:p>
            <w:pPr>
              <w:pStyle w:val="TableContents"/>
              <w:bidi w:val="0"/>
              <w:spacing w:before="0" w:after="283"/>
              <w:jc w:val="left"/>
              <w:rPr/>
            </w:pPr>
            <w:r>
              <w:rPr/>
              <w:t>cash flow provided by operating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rPr>
            </w:pPr>
            <w:r>
              <w:rPr>
                <w:rFonts w:ascii="Symbol" w:hAnsi="Symbol"/>
              </w:rPr>
              <w:t>·</w:t>
            </w:r>
          </w:p>
        </w:tc>
        <w:tc>
          <w:tcPr>
            <w:tcW w:w="9976" w:type="dxa"/>
            <w:tcBorders/>
            <w:vAlign w:val="center"/>
          </w:tcPr>
          <w:p>
            <w:pPr>
              <w:pStyle w:val="TableContents"/>
              <w:bidi w:val="0"/>
              <w:spacing w:before="0" w:after="283"/>
              <w:jc w:val="left"/>
              <w:rPr/>
            </w:pPr>
            <w:r>
              <w:rPr/>
              <w:t>the expected activities of our partners under our key strategic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sufficiency of our cash on hand to meet our working capital and capital expenditure requirements, the need for additional financing and our ability to continue as a going concern;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ability to raise financing in the future, the nature of any such financing and our plans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339"/>
        <w:gridCol w:w="9764"/>
      </w:tblGrid>
      <w:tr>
        <w:trPr/>
        <w:tc>
          <w:tcPr>
            <w:tcW w:w="10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Symbol" w:hAnsi="Symbol"/>
              </w:rPr>
            </w:pPr>
            <w:r>
              <w:rPr>
                <w:rFonts w:ascii="Symbol" w:hAnsi="Symbol"/>
              </w:rPr>
              <w:t>·</w:t>
            </w:r>
          </w:p>
        </w:tc>
        <w:tc>
          <w:tcPr>
            <w:tcW w:w="9764" w:type="dxa"/>
            <w:tcBorders/>
            <w:vAlign w:val="center"/>
          </w:tcPr>
          <w:p>
            <w:pPr>
              <w:pStyle w:val="TableContents"/>
              <w:bidi w:val="0"/>
              <w:spacing w:before="0" w:after="283"/>
              <w:jc w:val="left"/>
              <w:rPr/>
            </w:pPr>
            <w:r>
              <w:rPr/>
              <w:t>any litigation to which we are a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85"/>
        <w:gridCol w:w="9834"/>
      </w:tblGrid>
      <w:tr>
        <w:trPr/>
        <w:tc>
          <w:tcPr>
            <w:tcW w:w="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Symbol" w:hAnsi="Symbol"/>
              </w:rPr>
            </w:pPr>
            <w:r>
              <w:rPr>
                <w:rFonts w:ascii="Symbol" w:hAnsi="Symbol"/>
              </w:rPr>
              <w:t>·</w:t>
            </w:r>
          </w:p>
        </w:tc>
        <w:tc>
          <w:tcPr>
            <w:tcW w:w="9834" w:type="dxa"/>
            <w:tcBorders/>
            <w:vAlign w:val="center"/>
          </w:tcPr>
          <w:p>
            <w:pPr>
              <w:pStyle w:val="TableContents"/>
              <w:bidi w:val="0"/>
              <w:spacing w:before="0" w:after="283"/>
              <w:jc w:val="left"/>
              <w:rPr/>
            </w:pPr>
            <w:r>
              <w:rPr/>
              <w:t>claims and limitations on insurance coverage;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Symbol" w:hAnsi="Symbol"/>
              </w:rPr>
            </w:pPr>
            <w:r>
              <w:rPr>
                <w:rFonts w:ascii="Symbol" w:hAnsi="Symbol"/>
              </w:rPr>
              <w:t>·</w:t>
            </w:r>
          </w:p>
        </w:tc>
        <w:tc>
          <w:tcPr>
            <w:tcW w:w="9937" w:type="dxa"/>
            <w:tcBorders/>
            <w:vAlign w:val="center"/>
          </w:tcPr>
          <w:p>
            <w:pPr>
              <w:pStyle w:val="TableContents"/>
              <w:bidi w:val="0"/>
              <w:spacing w:before="0" w:after="283"/>
              <w:jc w:val="left"/>
              <w:rPr/>
            </w:pPr>
            <w:r>
              <w:rPr/>
              <w:t>geological, metallurgical and geotechnical studies and opinions;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mineral reserve and resource estimates, and our ability to define and declare further mineral reserve estimates;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31"/>
        <w:gridCol w:w="9905"/>
      </w:tblGrid>
      <w:tr>
        <w:trPr/>
        <w:tc>
          <w:tcPr>
            <w:tcW w:w="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Symbol" w:hAnsi="Symbol"/>
              </w:rPr>
            </w:pPr>
            <w:r>
              <w:rPr>
                <w:rFonts w:ascii="Symbol" w:hAnsi="Symbol"/>
              </w:rPr>
              <w:t>·</w:t>
            </w:r>
          </w:p>
        </w:tc>
        <w:tc>
          <w:tcPr>
            <w:tcW w:w="9905" w:type="dxa"/>
            <w:tcBorders/>
            <w:vAlign w:val="center"/>
          </w:tcPr>
          <w:p>
            <w:pPr>
              <w:pStyle w:val="TableContents"/>
              <w:bidi w:val="0"/>
              <w:spacing w:before="0" w:after="283"/>
              <w:jc w:val="left"/>
              <w:rPr/>
            </w:pPr>
            <w:r>
              <w:rPr/>
              <w:t>our status as a passive foreign investment company ;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355"/>
        <w:gridCol w:w="9742"/>
      </w:tblGrid>
      <w:tr>
        <w:trPr/>
        <w:tc>
          <w:tcPr>
            <w:tcW w:w="10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rFonts w:ascii="Symbol" w:hAnsi="Symbol"/>
              </w:rPr>
            </w:pPr>
            <w:r>
              <w:rPr>
                <w:rFonts w:ascii="Symbol" w:hAnsi="Symbol"/>
              </w:rPr>
              <w:t>·</w:t>
            </w:r>
          </w:p>
        </w:tc>
        <w:tc>
          <w:tcPr>
            <w:tcW w:w="97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expected financial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As provided for further below, the information contained in this document is believed to be current as of the date of this document and we do not intend to update any of the forward-looking statements after the date of this document to conform these statements to actual results or to changes in our expectations,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NO CANADIAN PROSPECTUS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any prospectus supplement or free writing prospectus, (i) the securities offered by this prospectus have not been and will not be qualified for distribution to the public under the securities laws of any province or territory of Canada, (ii) such securities may not be offered or sold, directly or indirectly, in Canada or to a Canadian purchaser or to any person who is purchasing for distribution to, or for the account of, any person in Canada and (iii) the Company is not a reporting issuer under Canadian securities laws and, as such, such securities will be subject to resale restrictions in Canada under such laws for an indefinite amount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CAUTIONARY STATEMENTS REGARDING THE NORI AREA D PRE-FEASIBILITY STUDY AND THE TOML AND NORI INITIAL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otherwise stated, the scientific and technical information set forth in or incorporated by reference into this prospectus relating to the area our subsidiary TMC-USA has applied for an exploration license and commercial permit under DSHMRA (which includes part of the area under which our subsidiary NORI holds an exploration contract issued by the ISA), or NORI Area D, and the area under which our subsidiary TMC-USA has applied for an additional exploration license under DSHMRA (which includes part of the area under which our subsidiary NORI holds an exploration contract issued by the ISA and includes the area under which our subsidiary TOML holds an exploration contract issued by the ISA), or the NORI and TOML Properties, is based on technical reports prepared in accordance with the SEC rules set forth in subpart 1300 of Regulation S-K, or the SEC Mining Rules.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respect of NORI Area D, the pre-feasibility study in the technical report titled </w:t>
            </w:r>
            <w:r>
              <w:rPr>
                <w:rFonts w:ascii="Times New Roman;Times;Serif" w:hAnsi="Times New Roman;Times;Serif"/>
                <w:i/>
                <w:sz w:val="20"/>
              </w:rPr>
              <w:t>S-K 1300 NORI Area D Technical Report</w:t>
            </w:r>
            <w:r>
              <w:rPr>
                <w:rFonts w:ascii="Times New Roman;Times;Serif" w:hAnsi="Times New Roman;Times;Serif"/>
                <w:sz w:val="20"/>
              </w:rPr>
              <w:t>, dated August 4, 2025, or the NORI Area D TRS, prepared by AMC Consultants Pty Ltd. and other qualified persons, each a “qualified person” as defined in the SEC Mining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respect of the NORI and TOML Properties, the technical report titled </w:t>
            </w:r>
            <w:r>
              <w:rPr>
                <w:rFonts w:ascii="Times New Roman;Times;Serif" w:hAnsi="Times New Roman;Times;Serif"/>
                <w:i/>
                <w:sz w:val="20"/>
              </w:rPr>
              <w:t>Technical Report Summary—Initial Assessment of TOML and NORI Properties, Clarion-Clipperton Zone</w:t>
            </w:r>
            <w:r>
              <w:rPr>
                <w:rFonts w:ascii="Times New Roman;Times;Serif" w:hAnsi="Times New Roman;Times;Serif"/>
                <w:sz w:val="20"/>
              </w:rPr>
              <w:t>, dated August 4, 2025, or the TOML and NORI IA, and together with the NORI Area D TRS, the Technical Reports, prepared by AMC Consultants Pty Ltd. and other qualified persons, each a “qualified person” as defined in the SEC Mining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pre-feasibility study included in the NORI Area D TRS indicated that the development of NORI Area D is technically and economically viable. The pre-feasibility study, however, does not represent a feasibility study and does not support a development decision and additional project planning and design are needed to make this decision. In addition, the initial assessment included in the TOML and NORI IA is a conceptual study of the potential viability of mineral resources in the NORI and TOML Properties. This initial assessment indicates that development of the mineral resource in the NORI and TOML Properties is potentially technically and economically viable; however, due to the preliminary nature of project planning and design, and the untested nature of the specific seafloor production systems at a commercial scale, economic viability has not yet been demonstrated. As a result, we plan to continue to estimate our resources and reserves in NORI Area D and the NORI and TOML Properties and further develop the project economics.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or in the applicable report summary, the terms “pre-feasibility study,” “feasibility study,” “initial assessment,” “mineral reserve,” “probable mineral reserve,” proven mineral reserve,” “mineral resource,” “measured mineral resource,” “indicated mineral resource” and “inferred mineral resource”, as applicable, and other terms used herein are defined and used in accordance with the SEC Mining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NORI Area D TRS also does not include the conversion of all mineral resources included in NORI Area D to mineral reserves and does not include the conversion of any mineral resources to proven mineral reserves and the TOML and NORI IA does not include the conversion of mineral resources to mineral reserves. You are specifically cautioned not to assume that any part or all of the mineral deposits categorized as mineral resources will ever be converted into mineral reserves, as defined by the SEC. You are also cautioned that mineral resources do not have demonstrated economic value. Information concerning our mineral properties in the Technical Reports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supporting mineral reserves.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and approximately 6% of the NORI (Areas A to C) and TOML Properties resource are categorized as measured or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Likewise, you are cautioned not to assume that all or any part of measured or indicated mineral resources will ever be upgraded to mineral reserves or that probable mineral reserves will ever be upgraded to proven mineral reserves. Until mineral deposits are actually mined and processed, mineral resources and mineral reserves must be considered as estimates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on each of the polymetallic nodule areas in the CCZ and the Technical Reports referred to above can be found in the documents incorporated by reference into this prospectus. The information contained in or incorporated by reference into this prospectus regarding NORI Area D and the NORI and TOML Properties has been derived from the Technical Reports, is subject to certain assumptions, qualifications and procedures described in the Technical Reports and is qualified in its entirety by the full text of the NORI Area D TRS and the TOML and NORI IA, which are filed as exhibit 96.1 and 96.2, respectively, to our Current Report on Form 8-K filed with the SEC on August 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technical report entitled “Technical Report Summary – Initial Assessment of the NORI Property, Clarion-Clipperton Zone” dated as of March 17, 2021 (the “2021 NORI Initial Assessment”) and the technical report entitled “Technical Report Summary – TOML Mineral Resource, Clarion Clipperton Zone, Pacific Ocean” dated as of March 26, 2021 (the “2021 TOML Mineral Resource Statement”), each prepared by AMC Consultants Pty Ltd. and other qualified persons, have been superseded by the NORI Area D TRS and the NORI and TOML Initial Assessment and therefore, the 2021 NORI Initial Assessment and the 2021 TOML Resource Statement and any summaries of or excerpts thereof should no longer be relied upon or used by investors for any reason unless specifically allowed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or free writing prospectus,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provides otherwise, we will not receive any of the proceeds from the sale of our securities by 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securityholders are persons or entities that, directly or indirectly, have acquired or will from time to time acquire from us, our securities. If the registration statement of which this prospectus forms a part is used by selling securityholders for the 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 in a post-effective amendment or in filings we make with the SEC under the Exchange Act that are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securityholders may offer securities under this prospectus from time to time pursuant to underwritten public offerings, negotiated transactions, block trades or a combination of these methods or any of the following, any of which will be described in detail in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95"/>
        <w:gridCol w:w="773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95"/>
        <w:gridCol w:w="713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95"/>
        <w:gridCol w:w="666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95"/>
        <w:gridCol w:w="276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95"/>
        <w:gridCol w:w="989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of short sales entered into after the effective date of the registration statement of which this prospectus is a part;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through the writing or settlement of options or other hedging transactions, whether such options are listed on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95"/>
        <w:gridCol w:w="389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95"/>
        <w:gridCol w:w="452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securityholders may sell the securities (1) through underwriters or dealers, (2) through agents or (3) directly to one or more purchasers, or through a combination of such methods. We or the selling securityholders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95"/>
        <w:gridCol w:w="52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fixed price or prices, which may be changed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95"/>
        <w:gridCol w:w="353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95"/>
        <w:gridCol w:w="390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prices related to the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5"/>
        <w:gridCol w:w="95"/>
        <w:gridCol w:w="147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securityholders may also loan securities to others or sell securities that we or the selling securityholders borrowed from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securityholders may also designate agents to solicit offers to purchase the securities from time to time, and may enter into arrangements for “at-the-market,” equity line or similar transactions. We will name in a prospectus supplement or free writing prospectus any underwriter or agent involved in the offer or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selling securityholders utilize a dealer in the sale of the securities being offered by this prospectus, we or the selling securityholders will sell the securities to the dealer, as principal. The dealer may then resell the securities to the public at varying prices to be determined by the dealer at the time of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used in the sale of the securities being offered by this prospectus, an underwriting agreement will be executed with the underwriter at the time of sale, and the name of any underwriter will be provided in any prospectus supplement or free writing prospectus, if required, which the underwriter will use to make resales of the securities to the public. In connection with the sale of the securities, we, the selling securityholders,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underwritten public offerings, negotiated transactions and block trades, we, if required, will provide in the applicable prospectus supplement or free writing prospectus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the selling securityholders may enter into agreements to indemnify underwriters, dealers and agents against civil liabilities, including liabilities under the Securities Act, or to contribute to payments they may be required to make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a prospectus supplement or free writing prospectus, if required, we or the selling securityholders will authorize the underwriters, dealers or other persons acting as our or their agents to solicit offers by certain institutions to purchase securities from us or the selling securityholders pursuant to delayed delivery contracts providing for payment and delivery on the date stated in each applicable prospectus supplement or free writing prospectus, if required. Each contract will be for an amount not less than, and the aggregate amount of securities sold pursuant to such contracts shall not be less nor more than, the respective amounts stated in each applicable prospectus supplement or free writing prospectus. Institutions with whom the contracts, when authorized, may be made include commercial and savings banks, insurance companies, pension funds, investment companies, educational and charitable institutions and other institutions, but shall in all cases be subject to our or the selling securityholders approval. Delayed delivery contracts will not be subject to any conditions except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by an institution of the securities covered under that contract shall not at the time of delivery be prohibited under the laws of the jurisdiction to which that institution is subject;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securities are also being sold to underwriters acting as principals for their own account, the underwriters shall have purchased such securities not sold for delayed delivery. The underwriters and other persons acting as our or the selling securityholders’ agents will not have any responsibility in respect of the validity or performance of delayed delivery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a prospectus supplement or free writing prospectus,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or free writing prospectus, if required, will identify and describe any remarketing firm and the terms of its agreement, if any, with us or the selling securityholders and will describe the remarketing firm’s compensation. Remarketing firms may be deemed to be underwriters in connection with the securities they remarket. Remarketing firms may be entitled under agreements that may be entered into with us or the selling securityholders to indemnification by us or the selling securityholders against certain civil liabilities, including liabilities under the Securities Act, and may be customers of, engage in transactions with or perform services for us or the selling securityholders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use this prospectus and any accompanying prospectus supplement or free writing prospectus, if required,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sold pursuant to the registration statement of which this prospectus is a part will be authorized for listing and trading on the Nasdaq Stock Market. The applicable prospectus supplement or free writing prospectus, if required, will contain information, where applicable, as to any other listing, if any, on the Nasdaq Stock Market or any securities market or other securities exchange of the securities covered by the prospectus supplement and any applicable free writing prospectus. Underwriters may make a market in our common shares, but will not be obligated to do so and may discontinue any market making at any time without notice. We or the selling securityholders can make no assurance as to the liquidity of or the existence, development or maintenance of trading markets for any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or the selling securityholders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other transactions with us or the selling securityholders, or perform other services for us or the selling securityholders, in the ordinary course of their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COMMON SHARES AND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consists of (a) an unlimited number of common shares, (b) an unlimited number of preferred shares, issuable in series, (c) 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30, 2026, there were 433,188,187 common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common shares are entitled to one (1) vote per share on all matters upon which holders of shares are entitled to vote. Subject to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(British Columbia), or the BCBCA, and prior rights of the holders of preferred shares and any other class ranking senior to the common shares, the holders of common shares are entitled to receive non-cumulative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for the purpose of winding up our affairs,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or any other material restrictions. The special rights or restrictions attached to common shares are subject to and may be adversely affected by, the rights attached to any series of preferred shares that the board of directors may designate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shares is Continental Stock Transfer &amp;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for trading on the Nasdaq Global Select Market under the symbol “TMC”.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our business combination with Sustainable Opportunities Acquisition Corp., or SOAC, on September 9, 2021, we and certain of our shareholders and shareholders of SOAC entered into an amended and restated registration rights agreement, pursuant to which, among other things, these shareholders were granted certain registration rights with respect to their respective common shares on the terms and subject to the conditions therein. Additionally, (a) the securities purchase agreement entered into on August 14, 2023, (b) the securities purchase agreement entered into on November 14, 2024, as amended, and (c) the securities purchase agreement entered into on May 12, 2025, provide the investors under each agreement with certain registration rights with respect to the common shares and, as applicable, warrants to purchase common shares purchased pursuant to such agreements. The Company has filed registration statements, which remain effective, in connection with these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June 2025 private placement financing, we granted the investor in the financing, subject to certain exceptions, a right to participate in any public offering or private placement of any common shares or common share equivalents primarily for capital raising purposes, referred to herein as a Proposed Offering, up to such amount of securities to maintain its percentage ownership at the time of such Proposed Offering. Such right to participate in future financings will expire upon the earlier to occur of (i) June 16, 2030, (ii) the date on which the investor owns less than all of the common shares it purchased in the financing and (iii) immediately after a closing of a Proposed Offering where the investor does not exercise its participation right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30, 2026, there were issued and outstanding (a) 4,613,611 Class A special shares, (b) 9,227,112 Class B special shares, (c) 9,227,112 Class C special shares, (d) 18,454,372 Class D special shares, (e) 18,454,372 Class E special shares, (f) 18,454,372 Class F special shares, (g) 23,068,000 Class G special shares, (h) 23,068,000 Class H special shares, (i) 500,000 Class I special shares and (j) 741,000 Class J special shares. As of March 30, 2026, there were an additional (i) 377,647 Class A special shares, (ii) 755,307 Class B special shares, (iii) 755,307 Class C special shares, (iv) 1,510,613 Class D special shares, (v) 1,510,613 Class E special shares, (vi) 1,510,613 Class F special shares, (vii) 1,888,273 Class G special shares and (viii) 1,888,273 Class H special shares issuable upon the exercise of outstanding options to purchase common shares and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for the purpose of winding up our affairs,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in us (including any stock appreciation, phantom stock, profit participation or similar rights), and any option, warrant, right or security (including debt securities) convertible, exchangeable or exercisable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shares will automatically convert into common shares on a one (1) for one (1) basis (unless adjusted as described below) upon the occurrence of the following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common shares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an unlimited number of preferred shares, issuable in series. Accordingly, the board of directors is authorized, without shareholder approval but subject to the provisions of the BCBCA and our articles and notice of articles, to determine the maximum number of shares of each series, create or alter an identifying name for each series and alter or attach such special rights or restrictions, including dividend, liquidation and voting rights, as the board of directors may determine, and such special rights or restrictions, including dividend, liquidation and voting rights, may be superior to those of the common shares and special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 federal and Canadian income tax consequences and special considerations, if any, applicable to any such preferred shares will be described in the applicable prospectus supplement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preferred shares will be set forth in the applicable prospectus supplement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or free writing prospectus,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or free writing prospectus. If we so indicate in a prospectus supplement or free writing prospectus, the terms of any debt securities offered under such prospectus supplement and any applicable free writing prospectus may differ from the terms we describe below, and to the extent the terms set forth in a prospectus supplement or free writing prospectus differ from the terms described below, the terms set forth in the prospectus supplement and free writing prospectus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or the Trust Indenture Act. We use the term “debenture trustee” to refer to either the trustee under the senior indenture or the trustee under the subordinated indenture,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debt securities may also be resold by the 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each prospectus supplement or any applicable free writing prospectus the following terms relating to a series of debt securities:</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95"/>
        <w:gridCol w:w="19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or designation;</w:t>
            </w:r>
          </w:p>
        </w:tc>
      </w:tr>
    </w:tbl>
    <w:p>
      <w:pPr>
        <w:pStyle w:val="TextBody"/>
        <w:bidi w:val="0"/>
        <w:spacing w:before="0" w:after="0"/>
        <w:ind w:left="0" w:right="0" w:hanging="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95"/>
        <w:gridCol w:w="651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principal amount and any limit on the amount that may be issued;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units based on or relating to currencies in which debt securities of such series are denominated and the currency or units in which principal or interest or both will or may be payable;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we will issue the series of debt securities in global form, the terms of any global securities and who the depositary will be;</w:t>
            </w:r>
          </w:p>
        </w:tc>
      </w:tr>
    </w:tbl>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95"/>
        <w:gridCol w:w="605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 and the date or dates on which principal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tc>
      </w:tr>
    </w:tbl>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95"/>
        <w:gridCol w:w="791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the debt securities will be secured or unsecured, and the terms of any secured debt;</w:t>
            </w:r>
          </w:p>
        </w:tc>
      </w:tr>
    </w:tbl>
    <w:p>
      <w:pPr>
        <w:pStyle w:val="TextBody"/>
        <w:bidi w:val="0"/>
        <w:spacing w:before="0" w:after="0"/>
        <w:ind w:left="0" w:right="0" w:hanging="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95"/>
        <w:gridCol w:w="530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subordination of any series of subordinated debt;</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95"/>
        <w:gridCol w:w="42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where payments will be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95"/>
        <w:gridCol w:w="79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right, if any, to defer payment of interest and the maximum length of any such deferral period;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after which, and the price at which, we may, at our option, redeem the series of debt securities pursuant to any optional redemption provisions;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which, and the price at which we are obligated, pursuant to any mandatory sinking fund provisions or otherwise, to redeem, or at the holder’s option to purchase, the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95"/>
        <w:gridCol w:w="97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indenture will restrict our ability to pay dividends, or will require us to maintain any asset ratios or reserves;</w:t>
            </w:r>
          </w:p>
        </w:tc>
      </w:tr>
    </w:tbl>
    <w:p>
      <w:pPr>
        <w:pStyle w:val="TextBody"/>
        <w:bidi w:val="0"/>
        <w:spacing w:before="0" w:after="0"/>
        <w:ind w:left="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95"/>
        <w:gridCol w:w="59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we will be restricted from incurring any additional indebtedness;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or special U.S. federal and Canadian income tax considerations applicable to a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we will issue the series of debt securities, if other than denominations of $1,000 and any integral multiple thereof; and</w:t>
            </w:r>
          </w:p>
        </w:tc>
      </w:tr>
    </w:tbl>
    <w:p>
      <w:pPr>
        <w:pStyle w:val="TextBody"/>
        <w:bidi w:val="0"/>
        <w:spacing w:before="0" w:after="0"/>
        <w:ind w:left="0" w:right="0" w:hanging="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95"/>
        <w:gridCol w:w="79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material U.S. federal and Canadian income tax considerations and other special considerations applicable to any of these debt securities in the applicable prospectus supplement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or free writing prospectus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Consolidation, Merger or Sale/No Protection in Event of a Change of Control or Highly Leveraged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or free writing prospectus,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Events of Default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with respect to any series of debt securities that we may issue: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pay interest when due and our failure continues for 90 days and the time for payment has not been extended or deferred;</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95"/>
        <w:gridCol w:w="971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pay the principal, or premium, if any, when due and the time for payment has not been extended or delayed;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95"/>
        <w:gridCol w:w="630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specified events of bankruptcy, insolvency or reorganization occur as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and any applicable free writing prospectus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95"/>
        <w:gridCol w:w="803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direction so given by the holder is not in conflict with any law or the applicable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 previously has given written notice to the debenture trustee of a continuing event of default with respect to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at least a majority in aggregate principal amount of the outstanding debt securities of that series have made written request, and such holders have offered reasonable indemnity to the debenture trustee to institute the proceeding as trustee;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applicable debenture trustee regarding our compliance with specified covenants in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Indenture/Waiver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and we may change the applicable indenture without the consent of any holders with respect to specific matters, including:</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95"/>
        <w:gridCol w:w="540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fix any ambiguity, defect or inconsistency in the indenture; and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change anything that does not materially adversely affect the interests of any holder of debt securities of any series issued pursuant to such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95"/>
        <w:gridCol w:w="485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extending the fixed maturity of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principal amount, reducing the rate of or extending the time of payment of interest, or any premium payable upon the redemption of any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95"/>
        <w:gridCol w:w="74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principal amount of discount securities payable upon acceleration of maturity;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the principal of or premium or interest on any debt security payable in currency other than that stated in the debt security; or</w:t>
            </w:r>
          </w:p>
        </w:tc>
      </w:tr>
    </w:tbl>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95"/>
        <w:gridCol w:w="94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percentage of debt securities, the holders of which are required to consent to any amendment or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obligations to:</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95"/>
        <w:gridCol w:w="44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 or exchange of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95"/>
        <w:gridCol w:w="486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replace stolen, lost or mutilated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95"/>
        <w:gridCol w:w="218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paying agencies;</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95"/>
        <w:gridCol w:w="27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 monies for payment in trust;</w:t>
            </w:r>
          </w:p>
        </w:tc>
      </w:tr>
    </w:tbl>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95"/>
        <w:gridCol w:w="351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compensate and indemnify the trustee; and</w:t>
            </w:r>
          </w:p>
        </w:tc>
      </w:tr>
    </w:tbl>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95"/>
        <w:gridCol w:w="245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 any successor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or free writing prospectus with respect to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Concerning the Debenture Trustee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which we will mail to the holder. Unless we otherwise indicate in a prospectus supplement or free writing prospectus, we will designate the corporate trust office of the debenture trustee in the City of New York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Subordination of Subordinated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pursuant to any subordinated debt securities will be unsecured and will be subordinate and junior in priority of payment to certain of our other indebtedness to the extent described in a prospectus supplement or free writing prospectus. The subordinated indenture does not limit the amount of senior indebtedness we may incur. It also does not limit us from issuing any other secured or unsecured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securityholders may offer and sell warrants to purchase our common shares, preferred shares and/or debt securities in one or more series together with other securities or separately, as described in the applicable prospectus supplement or free writing prospectus. Below is a description of certain general terms and provisions of the warrants that we or the selling securityholders may offer. Particular terms of the warrants will be described in the warrant agreements and the prospectus supplement or free writing prospectus relating to the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or free writing prospectus will contain, where applicable, the following terms of and other information relating to the warrants:</w:t>
      </w:r>
    </w:p>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shd w:fill="FFFFFF" w:val="clear"/>
        <w:tblLayout w:type="fixed"/>
        <w:tblCellMar>
          <w:top w:w="0" w:type="dxa"/>
          <w:left w:w="0" w:type="dxa"/>
          <w:bottom w:w="0" w:type="dxa"/>
          <w:right w:w="0" w:type="dxa"/>
        </w:tblCellMar>
      </w:tblPr>
      <w:tblGrid>
        <w:gridCol w:w="75"/>
        <w:gridCol w:w="95"/>
        <w:gridCol w:w="810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810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specific designation and aggregate number of, and the price at which we will issue, the warrants;</w:t>
            </w:r>
          </w:p>
        </w:tc>
      </w:tr>
    </w:tbl>
    <w:p>
      <w:pPr>
        <w:pStyle w:val="TextBody"/>
        <w:bidi w:val="0"/>
        <w:spacing w:before="0" w:after="0"/>
        <w:ind w:left="0" w:right="0" w:hanging="0"/>
        <w:jc w:val="both"/>
        <w:rPr>
          <w:caps w:val="false"/>
          <w:smallCaps w:val="false"/>
        </w:rPr>
      </w:pPr>
      <w:r>
        <w:rPr>
          <w:caps w:val="false"/>
          <w:smallCaps w:val="false"/>
        </w:rPr>
        <w:t> </w:t>
      </w:r>
    </w:p>
    <w:tbl>
      <w:tblPr>
        <w:tblW w:w="8245" w:type="dxa"/>
        <w:jc w:val="left"/>
        <w:tblInd w:w="0" w:type="dxa"/>
        <w:shd w:fill="FFFFFF" w:val="clear"/>
        <w:tblLayout w:type="fixed"/>
        <w:tblCellMar>
          <w:top w:w="0" w:type="dxa"/>
          <w:left w:w="0" w:type="dxa"/>
          <w:bottom w:w="0" w:type="dxa"/>
          <w:right w:w="0" w:type="dxa"/>
        </w:tblCellMar>
      </w:tblPr>
      <w:tblGrid>
        <w:gridCol w:w="75"/>
        <w:gridCol w:w="95"/>
        <w:gridCol w:w="807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80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in which the offering price, if any, and the exercise price are payable;</w:t>
            </w:r>
          </w:p>
        </w:tc>
      </w:tr>
    </w:tbl>
    <w:p>
      <w:pPr>
        <w:pStyle w:val="TextBody"/>
        <w:bidi w:val="0"/>
        <w:spacing w:before="0" w:after="0"/>
        <w:ind w:left="0" w:right="0" w:hanging="0"/>
        <w:jc w:val="both"/>
        <w:rPr>
          <w:caps w:val="false"/>
          <w:smallCaps w:val="false"/>
        </w:rPr>
      </w:pPr>
      <w:r>
        <w:rPr>
          <w:caps w:val="false"/>
          <w:smallCaps w:val="false"/>
        </w:rPr>
        <w:t> </w:t>
      </w:r>
    </w:p>
    <w:tbl>
      <w:tblPr>
        <w:tblW w:w="7795" w:type="dxa"/>
        <w:jc w:val="left"/>
        <w:tblInd w:w="0" w:type="dxa"/>
        <w:shd w:fill="FFFFFF" w:val="clear"/>
        <w:tblLayout w:type="fixed"/>
        <w:tblCellMar>
          <w:top w:w="0" w:type="dxa"/>
          <w:left w:w="0" w:type="dxa"/>
          <w:bottom w:w="0" w:type="dxa"/>
          <w:right w:w="0" w:type="dxa"/>
        </w:tblCellMar>
      </w:tblPr>
      <w:tblGrid>
        <w:gridCol w:w="75"/>
        <w:gridCol w:w="95"/>
        <w:gridCol w:w="762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76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amount and terms of the securities purchasable upon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exercise price for our common shares and the number of our common shares to be received upon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exercise price for our preferred shares, the number of preferred shares to be received upon exercise, and a description of that series of our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exercise price for our debt securities, the amount of debt securities to be received upon exercise, and a description of that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warrants will begin and the date on which that right will expire or, if you may not continuously exercise the warrants throughout that period, the specific date or dates on which you may exercise the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tc>
      </w:tr>
    </w:tbl>
    <w:p>
      <w:pPr>
        <w:pStyle w:val="TextBody"/>
        <w:bidi w:val="0"/>
        <w:spacing w:before="0" w:after="0"/>
        <w:ind w:left="0" w:right="0" w:hanging="0"/>
        <w:jc w:val="both"/>
        <w:rPr>
          <w:caps w:val="false"/>
          <w:smallCaps w:val="false"/>
        </w:rPr>
      </w:pPr>
      <w:r>
        <w:rPr>
          <w:caps w:val="false"/>
          <w:smallCaps w:val="false"/>
        </w:rPr>
        <w:t> </w:t>
      </w:r>
    </w:p>
    <w:tbl>
      <w:tblPr>
        <w:tblW w:w="6430" w:type="dxa"/>
        <w:jc w:val="left"/>
        <w:tblInd w:w="0" w:type="dxa"/>
        <w:shd w:fill="FFFFFF" w:val="clear"/>
        <w:tblLayout w:type="fixed"/>
        <w:tblCellMar>
          <w:top w:w="0" w:type="dxa"/>
          <w:left w:w="0" w:type="dxa"/>
          <w:bottom w:w="0" w:type="dxa"/>
          <w:right w:w="0" w:type="dxa"/>
        </w:tblCellMar>
      </w:tblPr>
      <w:tblGrid>
        <w:gridCol w:w="75"/>
        <w:gridCol w:w="95"/>
        <w:gridCol w:w="6260"/>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62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material U.S. federal and Canadian income tax consequences;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identity of the warrant agent for the warrants and of any other depositaries, execution or paying agents, transfer agents, registrars or other agents;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proposed listing, if any, of the warrants or any securities purchasable upon exercise of the warrants on any securities exchange;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from and after which the warrants and the common shares, preferred shares and/or debt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shd w:fill="FFFFFF" w:val="clear"/>
        <w:tblLayout w:type="fixed"/>
        <w:tblCellMar>
          <w:top w:w="0" w:type="dxa"/>
          <w:left w:w="0" w:type="dxa"/>
          <w:bottom w:w="0" w:type="dxa"/>
          <w:right w:w="0" w:type="dxa"/>
        </w:tblCellMar>
      </w:tblPr>
      <w:tblGrid>
        <w:gridCol w:w="75"/>
        <w:gridCol w:w="95"/>
        <w:gridCol w:w="8330"/>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minimum or maximum amount of the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shd w:fill="FFFFFF" w:val="clear"/>
        <w:tblLayout w:type="fixed"/>
        <w:tblCellMar>
          <w:top w:w="0" w:type="dxa"/>
          <w:left w:w="0" w:type="dxa"/>
          <w:bottom w:w="0" w:type="dxa"/>
          <w:right w:w="0" w:type="dxa"/>
        </w:tblCellMar>
      </w:tblPr>
      <w:tblGrid>
        <w:gridCol w:w="75"/>
        <w:gridCol w:w="95"/>
        <w:gridCol w:w="471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with respect to book-entry procedures, if any;</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shd w:fill="FFFFFF" w:val="clear"/>
        <w:tblLayout w:type="fixed"/>
        <w:tblCellMar>
          <w:top w:w="0" w:type="dxa"/>
          <w:left w:w="0" w:type="dxa"/>
          <w:bottom w:w="0" w:type="dxa"/>
          <w:right w:w="0" w:type="dxa"/>
        </w:tblCellMar>
      </w:tblPr>
      <w:tblGrid>
        <w:gridCol w:w="75"/>
        <w:gridCol w:w="95"/>
        <w:gridCol w:w="411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4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anti-dilution provisions of the warrants, if any;</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shd w:fill="FFFFFF" w:val="clear"/>
        <w:tblLayout w:type="fixed"/>
        <w:tblCellMar>
          <w:top w:w="0" w:type="dxa"/>
          <w:left w:w="0" w:type="dxa"/>
          <w:bottom w:w="0" w:type="dxa"/>
          <w:right w:w="0" w:type="dxa"/>
        </w:tblCellMar>
      </w:tblPr>
      <w:tblGrid>
        <w:gridCol w:w="75"/>
        <w:gridCol w:w="95"/>
        <w:gridCol w:w="282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28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redemption or call provisions;</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shd w:fill="FFFFFF" w:val="clear"/>
        <w:tblLayout w:type="fixed"/>
        <w:tblCellMar>
          <w:top w:w="0" w:type="dxa"/>
          <w:left w:w="0" w:type="dxa"/>
          <w:bottom w:w="0" w:type="dxa"/>
          <w:right w:w="0" w:type="dxa"/>
        </w:tblCellMar>
      </w:tblPr>
      <w:tblGrid>
        <w:gridCol w:w="75"/>
        <w:gridCol w:w="95"/>
        <w:gridCol w:w="684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6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the warrants may be sold separately or with other securities as parts of units;</w:t>
            </w:r>
          </w:p>
        </w:tc>
      </w:tr>
    </w:tbl>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shd w:fill="FFFFFF" w:val="clear"/>
        <w:tblLayout w:type="fixed"/>
        <w:tblCellMar>
          <w:top w:w="0" w:type="dxa"/>
          <w:left w:w="0" w:type="dxa"/>
          <w:bottom w:w="0" w:type="dxa"/>
          <w:right w:w="0" w:type="dxa"/>
        </w:tblCellMar>
      </w:tblPr>
      <w:tblGrid>
        <w:gridCol w:w="75"/>
        <w:gridCol w:w="95"/>
        <w:gridCol w:w="3140"/>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3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governing law of the warrants;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additional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any warrants we or the selling securityholders offer will be set forth in the applicable prospectus supplement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30, 2026, there were (i) public warrants outstanding entitling the holders thereof to purchase an aggregate of 15,000,000 common shares at an exercise price of $11.50 per share, (ii) private placement warrants outstanding entitling the holders thereof to purchase an aggregate of 9,500,000 common shares at an exercise price of $11.50 per share, (iii) Class A warrants outstanding entitling the holders thereof to purchase an aggregate of 4,317,500 common shares at an exercise price of $2.00 per share, (iv) Class B warrants outstanding entitling the holders thereof to purchase an aggregate of 15,000 common shares at an exercise price of $2.00 per share, (v) Class C warrants outstanding entitling the holders thereof to purchase an aggregate of 10,003,333 common shares at an exercise price of $4.50 per share, (vi) a warrant outstanding entitling the holder thereof to purchase 9,146,268 common shares at an exercise price of $4.72 per share that becomes exercisable upon certain conditions, (vii) a warrant outstanding entitling the holder thereof to purchase 1,000,000 common shares at an exercise price of $5.87 per share that becomes exercisable upon certain conditions and (viii) a warrant outstanding entitling the holder thereof to purchase 6,868,181 common shares at an exercise price of $7.00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or free writing prospectus, summarizes the material terms and provisions of the units that we or the selling securityholders may offer under this prospectus. While the terms summarized below will apply generally to any units that we or the selling securityholders may offer, we will describe the particular terms of any series of units in more detail in the applicable prospectus supplement or free writing prospectus. If we indicate in the prospectus supplement or free writing prospectus, the terms of any units offered under that prospectus supplement and any applicable free writing prospectus may differ from the terms described below. Specific unit agreements will contain additional important terms and provisions and will be incorporated by reference as an exhibit to the registration statement that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or free writing prospectus the terms of the series of units being offered,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both"/>
        <w:rPr>
          <w:caps w:val="false"/>
          <w:smallCaps w:val="false"/>
        </w:rPr>
      </w:pPr>
      <w:r>
        <w:rPr>
          <w:caps w:val="false"/>
          <w:smallCaps w:val="false"/>
        </w:rPr>
        <w:t> </w:t>
      </w:r>
    </w:p>
    <w:tbl>
      <w:tblPr>
        <w:tblW w:w="7225" w:type="dxa"/>
        <w:jc w:val="left"/>
        <w:tblInd w:w="0" w:type="dxa"/>
        <w:shd w:fill="FFFFFF" w:val="clear"/>
        <w:tblLayout w:type="fixed"/>
        <w:tblCellMar>
          <w:top w:w="0" w:type="dxa"/>
          <w:left w:w="0" w:type="dxa"/>
          <w:bottom w:w="0" w:type="dxa"/>
          <w:right w:w="0" w:type="dxa"/>
        </w:tblCellMar>
      </w:tblPr>
      <w:tblGrid>
        <w:gridCol w:w="75"/>
        <w:gridCol w:w="95"/>
        <w:gridCol w:w="705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70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of the governing unit agreement that differ from those described below;</w:t>
            </w:r>
          </w:p>
        </w:tc>
      </w:tr>
    </w:tbl>
    <w:p>
      <w:pPr>
        <w:pStyle w:val="TextBody"/>
        <w:bidi w:val="0"/>
        <w:spacing w:before="0" w:after="0"/>
        <w:ind w:left="0" w:right="0" w:hanging="0"/>
        <w:jc w:val="both"/>
        <w:rPr>
          <w:caps w:val="false"/>
          <w:smallCaps w:val="false"/>
        </w:rPr>
      </w:pPr>
      <w:r>
        <w:rPr>
          <w:caps w:val="false"/>
          <w:smallCaps w:val="false"/>
        </w:rPr>
        <w:t> </w:t>
      </w:r>
    </w:p>
    <w:tbl>
      <w:tblPr>
        <w:tblW w:w="3850" w:type="dxa"/>
        <w:jc w:val="left"/>
        <w:tblInd w:w="0" w:type="dxa"/>
        <w:shd w:fill="FFFFFF" w:val="clear"/>
        <w:tblLayout w:type="fixed"/>
        <w:tblCellMar>
          <w:top w:w="0" w:type="dxa"/>
          <w:left w:w="0" w:type="dxa"/>
          <w:bottom w:w="0" w:type="dxa"/>
          <w:right w:w="0" w:type="dxa"/>
        </w:tblCellMar>
      </w:tblPr>
      <w:tblGrid>
        <w:gridCol w:w="75"/>
        <w:gridCol w:w="95"/>
        <w:gridCol w:w="3680"/>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36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governing law of the unit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numbers of distinct series as we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 federal and Canadian income tax consequences and special considerations, if any, applicable to any such units will be described in the applicable prospectus supplement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for any units we or the securityholders offer will be set forth in the applicable prospectus supplement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CERTAIN IMPORTANT PROVISIONS OF THE NOTICE OF ARTICLES AND ARTICLES AND THE BCBCA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Stated Objects or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articles and articles do not contain stated objects or purposes and do not place any limitations on the business that we may carry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vote on matters in which a director is materially interested. Under the BCBCA, a director of a company is liable to account to the company for any profit that accrues to the director under or as a result of a contract or transaction in which the director holds a disclosable interest if the contract or transaction is material to the company, the company has entered, or proposes to enter, into the contract or transaction, and either the director has a material interest in the contract or transaction or is a director of, or has a material interest in, a person who has a material interest in the contract or transaction, unless otherwise provided for in the BCBCA. A director does not hold a disclosable interest in a contract or transaction merely because the contract or transaction: (i) is an arrangement by way of security granted by the company for money loaned to, or obligations undertaken by, the director, or a person in whom the director has a material interest, for the benefit of the company or one of its affiliates; (ii) relates to an indemnity or insurance permitted under the BCBCA; (iii) relates to the remuneration of the director in his or her capacity as director, officer, employee or agent of the company or one of its affiliates; (iv) relates to a loan to the company, and the director, or a person in whom the director has a material interest, is or is to be a guarantor of some or all of the loan; or (v) is, has been or will be made with or for the benefit of a company that is affiliated with the company and the director is also a director or senior officer of that company or an affiliate of that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holds a disclosable interest may also be liable to account to the company for any profit that accrues to the director under or as a result of a contract or transaction in which the director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the disclosable interest was disclosed to the other directors or shareholders, as applicable, and the director who holds the disclosable interest does not vote on any decision or resolution touching on the contract or transaction. Directors are also required to comply with certain other relevant provisions of the BCBCA regarding conflicts of interest. A director who holds such disclosable interest in respect of any material contract or transaction into which the company has entered or proposes to enter may be required to absent himself or herself from the meeting while discussions and voting with respect to the matter are taking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power to determine the remuneration of directors. The remuneration of our directors, if any, may be determined by our directors subject to our articles. The remuneration may be in addition to any salary or other remuneration paid to any of our employees (including senior officers) who are also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required to be owned by a director. Our articles do not and the BCBCA does not provide that a director is required to hold any shares in our capital as a qualification for holding his or her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or other communications medium.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a quorum for meetings of shareholders is present if at least two shareholders who, in the aggregate, hold at least 5% of the issued shares entitled to vote at the meeting, are present in person or represented by proxy at the meeting. Additionally, the Nasdaq requires that a quorum of at least 33 1/3% of the issued shares entitled to vote at the meeting be so present. If a quorum is not present within one half hour from the time set for the holding of any meeting of shareholders, the meeting stands adjourned to the same day in the next week at the same time and place, or at such other date, time or location as the chair of the meeting specifies on the adjournment, unless the meeting was requisitioned by shareholders, in which case the meeting is dissolved.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shares are entitled to attend and vote at meetings of our shareholders except meetings at which only holders of another class of shares are entitled to vote. Except as otherwise provided with respect to any particular series of preferred shares or special shares, and except as otherwise required by law, the holders of our preferred shares and/or special shares are not entitled to receive notice of, or to attend or vote at any meetings of our shareholders. Our directors and officers, our auditor and any other persons invited by our directors are entitled to attend any meeting of our shareholders but will not be counted in the quorum or be entitled to vote at the meeting unless he or she is a shareholder or proxyholder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 and Advance Notice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BCBCA, qualified shareholders holding, directly or indirectly, at least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an uninterrupted period of at least two years before the date of signing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 Our board of directors may, in their sole discretion, waive any and all requirements set forth in our articles in respect of the Advance Notice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could have the effect of delaying until the next shareholder meeting the nomination of certain persons for director that are favored by the holders of a majority of our outstanding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Forum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claims brought under the Securities Act, Section 22 of the Securities Act creates concurrent jurisdiction for federal and state courts over all claims brought to enforce any duty or liability created by the Securities Act or the rules and regulations thereunder, and our articles provide that the federal district courts of the United States of America, to the fullest extent permitted by law, are the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 unless we consent in writing to the selection of an alternative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articles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Liability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civil, criminal, administrative or other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OWNERSHIP AND 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limitation imposed by Canadian law or by the notice of articles and articles on the right of a non-resident to hold or vote common shares, other than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where the Commissioner has been notified of the acquisition (or up to three years where no notice has been given to the Commissioner),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Canada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CAD$2.179 billion. For most other investors who are not state-owned enterprises the threshold is currently CAD$1.452 billion for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 relating to common shares will generally be exempt from the Investment Canada Act, subject to the federal government’s prerogative to conduct a national-security review,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acquisition of common shares by a person in the ordinary course of that person’s business as a trader or dealer in securities;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acquisition of control of us in connection with the realization of security granted for a loan or other financial assistance and not for any purpose related to the provisions of the Investment Canada Act;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acquisition of control of us by reason of an amalgamation, merger, consolidation or corporate reorganization following which the ultimate direct or indirect control in fact of us, through ownership of common shares, remains unchanged.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law, governmental decree or regulation in Canada that restricts the export or import of capital, or that would affect the remittance of dividends (if any) or other payments by us to non-resident holders of common shares, other than sanctions, anti-terrorism, anti-money laundering or withholding tax requirements, and the requirements of the BCBCA, including relating generally to dividends, returns of capital and redemptions.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shd w:fill="FFFFFF" w:val="clear"/>
        </w:rPr>
      </w:pPr>
      <w:bookmarkStart w:id="18" w:name="a_017"/>
      <w:bookmarkEnd w:id="18"/>
      <w:r>
        <w:rPr>
          <w:rFonts w:ascii="Times New Roman;Times;Serif" w:hAnsi="Times New Roman;Times;Serif"/>
          <w:b/>
          <w:i w:val="false"/>
          <w:caps/>
          <w:sz w:val="20"/>
          <w:shd w:fill="FFFFFF" w:val="clear"/>
        </w:rPr>
        <w:t>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(generally, property held for investment) within the meaning of Section 1221 of the Internal Revenue Code of 1986, as amended, or the Code. This summary does not discuss all aspects of U.S. federal income taxation that may be relevant to particular investors in light of their particular circumstances, or to investors subject to special tax rules, such as:</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95"/>
        <w:gridCol w:w="179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95"/>
        <w:gridCol w:w="179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75"/>
        <w:gridCol w:w="95"/>
        <w:gridCol w:w="11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mutual funds;</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75"/>
        <w:gridCol w:w="95"/>
        <w:gridCol w:w="122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pension plans;</w:t>
            </w:r>
          </w:p>
        </w:tc>
      </w:tr>
    </w:tbl>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75"/>
        <w:gridCol w:w="95"/>
        <w:gridCol w:w="126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corporations;</w:t>
            </w:r>
          </w:p>
        </w:tc>
      </w:tr>
    </w:tbl>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75"/>
        <w:gridCol w:w="95"/>
        <w:gridCol w:w="125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95"/>
        <w:gridCol w:w="455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traders in securities that elect mark-to-market treatment;</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95"/>
        <w:gridCol w:w="272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95"/>
        <w:gridCol w:w="233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75"/>
        <w:gridCol w:w="95"/>
        <w:gridCol w:w="14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trusts and estates;</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75"/>
        <w:gridCol w:w="95"/>
        <w:gridCol w:w="47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organizations (including private foundations);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that hold our common shares or public warrants as part of a “straddle,” “hedge,” “conversion,” “synthetic security,” “constructive ownership transaction,” “constructive sale” or other integrated transaction for U.S. federal income tax purposes;</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95"/>
        <w:gridCol w:w="590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subject to the alternative minimum tax provisions of the Code;</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95"/>
        <w:gridCol w:w="57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Holders that have a functional currency other than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95"/>
        <w:gridCol w:w="537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expatriates or former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95"/>
        <w:gridCol w:w="377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subject to the U.S. “inversion”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Holders owning or considered as owning (directly, indirectly, or through attribution) 5% (measured by vote or value) or more of our common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acquired our common shares or public warrants pursuant to an exercise of employee share options, in connection with employee share incentive plans or otherwise as compensation for the performance of services;</w:t>
            </w:r>
          </w:p>
        </w:tc>
      </w:tr>
    </w:tbl>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95"/>
        <w:gridCol w:w="263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controlled foreign corporations;</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95"/>
        <w:gridCol w:w="888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accrual method taxpayers that file applicable financial statements as described in Section 451(b) of the Code;</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95"/>
        <w:gridCol w:w="431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passive foreign investment companies, or PFICs;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are not U.S. Holders, all of whom may be subject to tax rules that differ materially from those summarized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common shares or public warrants, as the case may be, that is:</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95"/>
        <w:gridCol w:w="540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U.S. citizen or resident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(including an entity treated as a corporation for U.S. federal income tax purposes) created or organized in or under the laws of the United States, any state thereof or the District of Columbia;</w:t>
            </w:r>
          </w:p>
        </w:tc>
      </w:tr>
    </w:tbl>
    <w:p>
      <w:pPr>
        <w:pStyle w:val="TextBody"/>
        <w:bidi w:val="0"/>
        <w:spacing w:before="0" w:after="0"/>
        <w:ind w:left="0" w:right="0" w:hanging="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95"/>
        <w:gridCol w:w="992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includible in gross income for U.S. federal income tax purposes regardless of its source;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of Ownership and Disposition of Common Shares and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and Other Distributions on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under the heading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w:t>
      </w:r>
      <w:r>
        <w:rPr>
          <w:rFonts w:ascii="Times New Roman;Times;Serif" w:hAnsi="Times New Roman;Times;Serif"/>
          <w:b w:val="false"/>
          <w:i/>
          <w:caps w:val="false"/>
          <w:smallCaps w:val="false"/>
          <w:sz w:val="20"/>
        </w:rPr>
        <w:t>Tax Consequences of Ownership and Disposition of Common Shares and Public Warrants—Sale, Taxable Exchange or Other Taxable Disposition of Common Shares and Public Warrants.</w:t>
      </w:r>
      <w:r>
        <w:rPr>
          <w:rFonts w:ascii="Times New Roman;Times;Serif" w:hAnsi="Times New Roman;Times;Serif"/>
          <w:b w:val="false"/>
          <w:i w:val="false"/>
          <w:caps w:val="false"/>
          <w:smallCaps w:val="false"/>
          <w:sz w:val="20"/>
        </w:rPr>
        <w:t>” The amount of any such distribution will include any amounts withheld by us (or another applicable withholding agent) in respect of Canadian income taxes. Any amount treated as dividend income will be treated as foreign-source dividend income. Amounts treated as dividends that the Company pays to a U.S. Holder that is a taxable corporation generally will be taxed at regular corporate income tax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in the year that the dividend is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limitations, non-refundable Canadian income taxes withheld from dividends on common shares at a rate not exceeding the rate provided by the applicable treaty with the United States will be eligible for credit against the U.S. Holder’s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Taxable Exchange or Other Taxable Disposition of Common Shares and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under the heading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under the heading “—</w:t>
      </w:r>
      <w:r>
        <w:rPr>
          <w:rFonts w:ascii="Times New Roman;Times;Serif" w:hAnsi="Times New Roman;Times;Serif"/>
          <w:b w:val="false"/>
          <w:i/>
          <w:caps w:val="false"/>
          <w:smallCaps w:val="false"/>
          <w:sz w:val="20"/>
        </w:rPr>
        <w:t>Tax Consequences of Ownership and Disposition of Common Shares and Public Warrants—Exercise or Lapse of a Public Warrant</w:t>
      </w:r>
      <w:r>
        <w:rPr>
          <w:rFonts w:ascii="Times New Roman;Times;Serif" w:hAnsi="Times New Roman;Times;Serif"/>
          <w:b w:val="false"/>
          <w:i w:val="false"/>
          <w:caps w:val="false"/>
          <w:smallCaps w:val="false"/>
          <w:sz w:val="20"/>
        </w:rPr>
        <w:t>”). Any such gain or loss generally will be capital gain or loss and will be long-term capital gain or loss if the U.S. Holder’s holding period for such common shares or public warrants exceeds one (1) year. Long-term capital gain realized by a non-corporate U.S. Holder generally will be taxable at a reduced rate. The deduction of capital losses is subject to limitations. This gain or loss generally will be treated as U.S. source gain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or Lapse of a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common shares received would include the holding period of the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common shares received would equal the sum of the U.S. Holder’s tax basis in the public warrants exercised, and the exercise price of such public warrants. It is unclear whether a U.S. Holder’s holding period for the common shares would commence on the date of exercise of the public warrant or the day following the date of exercise of the public warrant; in either case, the holding period will not include the period during which the U.S. Holder held the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including when a U.S. Holder’s holding period would commence with respect to the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redeems public warrants for cash or if the Company purchases public warrants in an open market transaction, such redemption or purchase generally will be treated as a taxable disposition to the U.S. Holder, taxed as described above under the heading “—</w:t>
      </w:r>
      <w:r>
        <w:rPr>
          <w:rFonts w:ascii="Times New Roman;Times;Serif" w:hAnsi="Times New Roman;Times;Serif"/>
          <w:b w:val="false"/>
          <w:i/>
          <w:caps w:val="false"/>
          <w:smallCaps w:val="false"/>
          <w:sz w:val="20"/>
        </w:rPr>
        <w:t>Tax Consequences of Ownership and Disposition of Common Shares and Public Warrants—Sale, Taxable Exchange or Other Taxable Disposition of Common Shares and Public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w:t>
      </w:r>
      <w:r>
        <w:rPr>
          <w:rFonts w:ascii="Times New Roman;Times;Serif" w:hAnsi="Times New Roman;Times;Serif"/>
          <w:b w:val="false"/>
          <w:i/>
          <w:caps w:val="false"/>
          <w:smallCaps w:val="false"/>
          <w:sz w:val="20"/>
        </w:rPr>
        <w:t>Tax Consequences of Ownership and Disposition of Common Shares and Public Warrants—Dividends and Other Distributions on Common Shares</w:t>
      </w:r>
      <w:r>
        <w:rPr>
          <w:rFonts w:ascii="Times New Roman;Times;Serif" w:hAnsi="Times New Roman;Times;Serif"/>
          <w:b w:val="false"/>
          <w:i w:val="false"/>
          <w:caps w:val="false"/>
          <w:smallCaps w:val="false"/>
          <w:sz w:val="20"/>
        </w:rPr>
        <w:t>”). The 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U.S. Holders of common shares and public warrants could be materially different from that described above if the Company is treated as a PFIC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initial assessment, we do not believe that the Company was classified as a PFIC for U.S. federal income tax purposes for the taxable year ended December 31, 2025.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Holder’s gain or excess distribution will be allocated ratably over the U.S. Holder’s holding period for the common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other taxable years (or portions thereof) of the U.S. Holder and included in its holding period will be taxed at the highest tax rate in effect for that year and applicable to the U.S. Holder;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PFIC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the Nasdaq (on which our common shares are currently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backup withholding from a payment to a U.S. Holder will be allowed as a credit against the holder’s U.S. federal income tax liability and may entitle it to a refund,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shd w:fill="FFFFFF" w:val="clear"/>
        </w:rPr>
      </w:pPr>
      <w:bookmarkStart w:id="19" w:name="a_018"/>
      <w:bookmarkEnd w:id="19"/>
      <w:r>
        <w:rPr>
          <w:rFonts w:ascii="Times New Roman;Times;Serif" w:hAnsi="Times New Roman;Times;Serif"/>
          <w:b/>
          <w:i w:val="false"/>
          <w:caps/>
          <w:sz w:val="20"/>
          <w:shd w:fill="FFFFFF" w:val="clear"/>
        </w:rPr>
        <w:t>MATERIAL CANADIAN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as of the date of this prospectus, a summary of the principal Canadian federal income tax considerations pursuant to the </w:t>
      </w:r>
      <w:r>
        <w:rPr>
          <w:rFonts w:ascii="Times New Roman;Times;Serif" w:hAnsi="Times New Roman;Times;Serif"/>
          <w:b w:val="false"/>
          <w:i/>
          <w:caps w:val="false"/>
          <w:smallCaps w:val="false"/>
          <w:sz w:val="20"/>
        </w:rPr>
        <w:t xml:space="preserve">Income Tax Act </w:t>
      </w:r>
      <w:r>
        <w:rPr>
          <w:rFonts w:ascii="Times New Roman;Times;Serif" w:hAnsi="Times New Roman;Times;Serif"/>
          <w:b w:val="false"/>
          <w:i w:val="false"/>
          <w:caps w:val="false"/>
          <w:smallCaps w:val="false"/>
          <w:sz w:val="20"/>
        </w:rPr>
        <w:t>(Canada) and the regulations thereunder, or the Tax Act, that generally apply to the acquisition, holding and disposition of common shares and public warrants by a person who is neither resident nor deemed to be resident in Canada for purposes of the Tax Act and acquires a beneficial interest in common shares or public warrants, or a Non-Resident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applies only to a Non-Resident Holder who, at all relevant times, for purposes of the Tax Act:</w:t>
      </w:r>
    </w:p>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95"/>
        <w:gridCol w:w="52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holds common shares and/or public warrants as capital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does not, and is not deemed to, use or hold common shares or public warrants in the course of carrying on a business in Canada; and</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95"/>
        <w:gridCol w:w="39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deals at arm’s length and is not affiliated with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rules, which are not discussed in this summary, may apply to a Non-Resident Holder that is an insurer that carries on an insurance business in Canada and elsewhere or an “authorized foreign bank” (as defined in the Tax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on the current provisions of the Tax Act, all specific proposals to amend the Tax Act publicly announced by or on behalf of the Minister of Finance (Canada) prior to the date hereof, or the Tax Proposals, and an understanding of the current administrative policies and assessing practices of the Canada Revenue Agency, or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the purposes of the Tax Act, all amounts relating to the acquisition, holding and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Cost Base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on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Generally, the Canada - United States Tax Convention (1980), as amended, or the Treaty, reduces the statutory rate with respect to dividends that are or are deemed to be paid or credited to a Non-Resident Holder who is resident in the U.S. for purposes of the Treaty, the beneficial owner of such dividends, and entitled to benefits under the Treaty, to 15% of the gross amount of the dividend. The Company is required to withhold the applicable tax from dividends that are or are deemed to be paid or credited to the Non-Resident Holder, and to remit the tax to the Receiver General of Canada for the account of the Non-Resident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Dispositions of Common Shares and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(as applicable) constitute “taxable Canadian property” of the Non-Resident Holder for purposes of the Tax Act and the Non-Resident Holder is not entitled to relief under the Treaty or any other applicable income tax treaty or convention.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common shares and public warrants will not constitute “taxable Canadian property” of a Non-Resident Holder for purposes of the Tax Act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the Non-Resident Holder, (b) persons with whom the Non-Resident Holder does not deal at arm’s length (for the purposes of the Tax Act), (c) partnerships in which the Non-Resident Holder or a person described in (b) holds an interest directly or indirectly through one or more partnerships, or (d) any combination of persons or partnerships described in (a) to (c), owned 25% or more of the issued shares of any class or series of our capital;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any of the foregoing property, whether or not the property exists.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NOTWITHSTANDING THE FOREGOING, IN CERTAIN CIRCUMSTANCES SET OUT IN THE TAX ACT, COMMON SHARES AND PUBLIC WARRANTS MAY BE DEEMED TO CONSTITUTE TAXABLE CANADIAN PROPERTY. NON-RESIDENT HOLDERS WHOSE COMMON SHARES OR PUBLIC WARRANTS MAY CONSTITUTE TAXABLE CANADIAN PROPERTY SHOULD CONSULT THEIR OWN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owns 14,630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TMC the metals company Inc. as of December 31, 2025 and 2024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file annual, quarterly and current reports, proxy statements and other information with the SEC. Our SEC filings are available to the public on a website maintained by the SEC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We also maintain a website at </w:t>
      </w:r>
      <w:r>
        <w:rPr>
          <w:rFonts w:ascii="Times New Roman;Times;Serif" w:hAnsi="Times New Roman;Times;Serif"/>
          <w:b w:val="false"/>
          <w:i/>
          <w:caps w:val="false"/>
          <w:smallCaps w:val="false"/>
          <w:sz w:val="20"/>
        </w:rPr>
        <w:t>www.metals.co</w:t>
      </w:r>
      <w:r>
        <w:rPr>
          <w:rFonts w:ascii="Times New Roman;Times;Serif" w:hAnsi="Times New Roman;Times;Serif"/>
          <w:b w:val="false"/>
          <w:i w:val="false"/>
          <w:caps w:val="false"/>
          <w:smallCaps w:val="false"/>
          <w:sz w:val="20"/>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or the selling securityholders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The documents we are incorporating by reference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hyperlink r:id="rId3">
              <w:r>
                <w:rPr>
                  <w:rStyle w:val="InternetLink"/>
                  <w:rFonts w:ascii="Times New Roman;Times;Serif" w:hAnsi="Times New Roman;Times;Serif"/>
                  <w:sz w:val="20"/>
                </w:rPr>
                <w:t>our Annual Report on Form 10-K for the fiscal year ended December 31, 2025 that we filed with the SEC on March 31,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 xml:space="preserve">our Current Report on Form 8-K that we filed with the SEC on </w:t>
            </w:r>
            <w:hyperlink r:id="rId4">
              <w:r>
                <w:rPr>
                  <w:rStyle w:val="InternetLink"/>
                  <w:rFonts w:ascii="Times New Roman;Times;Serif" w:hAnsi="Times New Roman;Times;Serif"/>
                  <w:sz w:val="20"/>
                </w:rPr>
                <w:t>January 2, 2026</w:t>
              </w:r>
            </w:hyperlink>
            <w:r>
              <w:rPr>
                <w:rFonts w:ascii="Times New Roman;Times;Serif" w:hAnsi="Times New Roman;Times;Serif"/>
                <w:sz w:val="20"/>
              </w:rPr>
              <w:t xml:space="preserve"> (other than any portions of such filing that is furnished under applicable SEC rules rather than filed);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 xml:space="preserve">the portions of our Definitive Proxy Statements on Schedule 14A that we filed with the SEC on </w:t>
            </w:r>
            <w:hyperlink r:id="rId5">
              <w:r>
                <w:rPr>
                  <w:rStyle w:val="InternetLink"/>
                  <w:rFonts w:ascii="Times New Roman;Times;Serif" w:hAnsi="Times New Roman;Times;Serif"/>
                  <w:sz w:val="20"/>
                </w:rPr>
                <w:t>April 18, 2025</w:t>
              </w:r>
            </w:hyperlink>
            <w:r>
              <w:rPr>
                <w:rFonts w:ascii="Times New Roman;Times;Serif" w:hAnsi="Times New Roman;Times;Serif"/>
                <w:sz w:val="20"/>
              </w:rPr>
              <w:t xml:space="preserve">, as supplemented on </w:t>
            </w:r>
            <w:hyperlink r:id="rId6">
              <w:r>
                <w:rPr>
                  <w:rStyle w:val="InternetLink"/>
                  <w:rFonts w:ascii="Times New Roman;Times;Serif" w:hAnsi="Times New Roman;Times;Serif"/>
                  <w:sz w:val="20"/>
                </w:rPr>
                <w:t>May 21, 2025</w:t>
              </w:r>
            </w:hyperlink>
            <w:r>
              <w:rPr>
                <w:rFonts w:ascii="Times New Roman;Times;Serif" w:hAnsi="Times New Roman;Times;Serif"/>
                <w:sz w:val="20"/>
              </w:rPr>
              <w:t xml:space="preserve">, and on </w:t>
            </w:r>
            <w:hyperlink r:id="rId7">
              <w:r>
                <w:rPr>
                  <w:rStyle w:val="InternetLink"/>
                  <w:rFonts w:ascii="Times New Roman;Times;Serif" w:hAnsi="Times New Roman;Times;Serif"/>
                  <w:sz w:val="20"/>
                </w:rPr>
                <w:t>July 18, 2025</w:t>
              </w:r>
            </w:hyperlink>
            <w:r>
              <w:rPr>
                <w:rFonts w:ascii="Times New Roman;Times;Serif" w:hAnsi="Times New Roman;Times;Serif"/>
                <w:sz w:val="20"/>
              </w:rPr>
              <w:t>, that are deemed filed under applicable SEC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common shares contained in our Registration Statement on </w:t>
            </w:r>
            <w:hyperlink r:id="rId8">
              <w:r>
                <w:rPr>
                  <w:rStyle w:val="InternetLink"/>
                  <w:rFonts w:ascii="Times New Roman;Times;Serif" w:hAnsi="Times New Roman;Times;Serif"/>
                  <w:sz w:val="20"/>
                </w:rPr>
                <w:t>Form 8-A filed on September 10, 2021</w:t>
              </w:r>
            </w:hyperlink>
            <w:r>
              <w:rPr>
                <w:rFonts w:ascii="Times New Roman;Times;Serif" w:hAnsi="Times New Roman;Times;Serif"/>
                <w:sz w:val="20"/>
              </w:rPr>
              <w:t xml:space="preserve">, including any amendment or report filed for the purpose of updating such description as updated by Exhibit 4.1 of our Annual Report on </w:t>
            </w:r>
            <w:hyperlink r:id="rId9">
              <w:r>
                <w:rPr>
                  <w:rStyle w:val="InternetLink"/>
                  <w:rFonts w:ascii="Times New Roman;Times;Serif" w:hAnsi="Times New Roman;Times;Serif"/>
                  <w:sz w:val="20"/>
                </w:rPr>
                <w:t>Form 10-K for the fiscal year ended December 31, 2025</w:t>
              </w:r>
            </w:hyperlink>
            <w:r>
              <w:rPr>
                <w:rFonts w:ascii="Times New Roman;Times;Serif" w:hAnsi="Times New Roman;Times;Serif"/>
                <w:sz w:val="20"/>
              </w:rPr>
              <w:t xml:space="preserve"> that we filed with the SEC on March 31, 2026, and as subsequently amended or updated; and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file number for each of the documents listed above is 001-39281.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orally or in writing, a copy of any or all of the documents incorporated herein by reference. These documents will be provided to you at no cost, by contacting: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British Columbia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V6E 2J3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access these documents on our website, </w:t>
      </w:r>
      <w:r>
        <w:rPr>
          <w:rFonts w:ascii="Times New Roman;Times;Serif" w:hAnsi="Times New Roman;Times;Serif"/>
          <w:b w:val="false"/>
          <w:i/>
          <w:caps w:val="false"/>
          <w:smallCaps w:val="false"/>
          <w:sz w:val="20"/>
        </w:rPr>
        <w:t>www.metals.co</w:t>
      </w:r>
      <w:r>
        <w:rPr>
          <w:rFonts w:ascii="Times New Roman;Times;Serif" w:hAnsi="Times New Roman;Times;Serif"/>
          <w:b w:val="false"/>
          <w:i w:val="false"/>
          <w:caps w:val="false"/>
          <w:smallCaps w:val="false"/>
          <w:sz w:val="20"/>
        </w:rPr>
        <w:t>. The information contained on, or that can be accessed through, our website is not a part of this prospectus. We have included our website address in this prospectus solely as an inactive textual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and free writing prospectus. We have not authorized anyone to provide you with information different from that contained in this prospectus or incorporated by reference in this prospectus. Neither we nor the selling securityholders are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a_023"/>
      <w:bookmarkEnd w:id="24"/>
      <w:r>
        <w:rPr>
          <w:rFonts w:ascii="Times New Roman;Times;Serif" w:hAnsi="Times New Roman;Times;Serif"/>
          <w:b/>
          <w:i w:val="false"/>
          <w:caps/>
          <w:sz w:val="20"/>
        </w:rPr>
        <w:t>ENFORCEABILITY OF CIVIL LIABILITIES AND SERVICE OF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Province of British Columbia, Canada with our registered office located in Vancouver, British Columbia, Canada. All or substantially all of our assets are located outside the United States, and substantially all of our business, including our operations, is conducted outside the United States. In addition, some of our directors and officers are nationals and/or residents of countries other than the United States, and all or a substantial portion of such persons’ assets may be located outside the United States. As a result, it could be difficult or impossible for you to effect service of process on us or these individuals in the United States in the event that you believe that your rights have been infringed under applicable securities laws or otherwise or to enforce in the United States judgments obtained in U.S. courts against us or those persons based on civil liability provisions of the U.S. securities laws. There can be no assurance that U.S. investors will be able to enforce against us, members of our board of directors, officers or certain experts named herein who are residents of Canada or other countries outside the United States, any judgments in civil and commercial matters, including judgments under the federal securities laws. There is uncertainty with respect to whether a Canadian or other non-U.S. court would take jurisdiction on a matter of liability predicated solely upon U.S. federal securities laws or any state securities or blue-sky laws, and uncertainty with respect to whether a Canadian or other non-U.S. court would enforce a foreign judgement on liabilities predicated upon the U.S. federal securities laws or any state securities or blue-sky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65860" cy="4298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1165860" cy="42989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an itemization of the various expenses, all of which the registrant will pay, in connection with the issuance and distribution of the securities being registered.</w:t>
      </w:r>
    </w:p>
    <w:p>
      <w:pPr>
        <w:pStyle w:val="TextBody"/>
        <w:bidi w:val="0"/>
        <w:spacing w:before="0" w:after="0"/>
        <w:ind w:left="0" w:right="0" w:hanging="0"/>
        <w:jc w:val="left"/>
        <w:rPr>
          <w:caps w:val="false"/>
          <w:smallCaps w:val="false"/>
        </w:rPr>
      </w:pPr>
      <w:r>
        <w:rPr>
          <w:caps w:val="false"/>
          <w:smallCaps w:val="false"/>
        </w:rPr>
        <w:t> </w:t>
      </w:r>
    </w:p>
    <w:tbl>
      <w:tblPr>
        <w:tblW w:w="4193" w:type="dxa"/>
        <w:jc w:val="center"/>
        <w:tblInd w:w="0" w:type="dxa"/>
        <w:tblLayout w:type="fixed"/>
        <w:tblCellMar>
          <w:top w:w="0" w:type="dxa"/>
          <w:left w:w="0" w:type="dxa"/>
          <w:bottom w:w="0" w:type="dxa"/>
          <w:right w:w="0" w:type="dxa"/>
        </w:tblCellMar>
      </w:tblPr>
      <w:tblGrid>
        <w:gridCol w:w="3725"/>
        <w:gridCol w:w="60"/>
        <w:gridCol w:w="125"/>
        <w:gridCol w:w="23"/>
        <w:gridCol w:w="260"/>
      </w:tblGrid>
      <w:tr>
        <w:trPr/>
        <w:tc>
          <w:tcPr>
            <w:tcW w:w="3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tab/>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shd w:fill="CCEEFF" w:val="clear"/>
            <w:vAlign w:val="center"/>
          </w:tcPr>
          <w:p>
            <w:pPr>
              <w:pStyle w:val="TableContents"/>
              <w:bidi w:val="0"/>
              <w:spacing w:before="0" w:after="283"/>
              <w:jc w:val="left"/>
              <w:rPr>
                <w:sz w:val="20"/>
              </w:rPr>
            </w:pPr>
            <w:r>
              <w:rPr>
                <w:sz w:val="20"/>
              </w:rPr>
              <w:t>(1)</w:t>
            </w:r>
          </w:p>
        </w:tc>
      </w:tr>
      <w:tr>
        <w:trPr/>
        <w:tc>
          <w:tcPr>
            <w:tcW w:w="3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filing fee</w:t>
              <w:tab/>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sz w:val="20"/>
              </w:rPr>
            </w:pPr>
            <w:r>
              <w:rPr>
                <w:sz w:val="20"/>
              </w:rPr>
              <w:t>(2)</w:t>
            </w:r>
          </w:p>
        </w:tc>
      </w:tr>
      <w:tr>
        <w:trPr/>
        <w:tc>
          <w:tcPr>
            <w:tcW w:w="3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and engraving expenses</w:t>
              <w:tab/>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shd w:fill="CCEEFF" w:val="clear"/>
            <w:vAlign w:val="center"/>
          </w:tcPr>
          <w:p>
            <w:pPr>
              <w:pStyle w:val="TableContents"/>
              <w:bidi w:val="0"/>
              <w:spacing w:before="0" w:after="283"/>
              <w:jc w:val="left"/>
              <w:rPr>
                <w:sz w:val="20"/>
              </w:rPr>
            </w:pPr>
            <w:r>
              <w:rPr>
                <w:sz w:val="20"/>
              </w:rPr>
              <w:t>(2)</w:t>
            </w:r>
          </w:p>
        </w:tc>
      </w:tr>
      <w:tr>
        <w:trPr/>
        <w:tc>
          <w:tcPr>
            <w:tcW w:w="3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tab/>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sz w:val="20"/>
              </w:rPr>
            </w:pPr>
            <w:r>
              <w:rPr>
                <w:sz w:val="20"/>
              </w:rPr>
              <w:t>(2)</w:t>
            </w:r>
          </w:p>
        </w:tc>
      </w:tr>
      <w:tr>
        <w:trPr/>
        <w:tc>
          <w:tcPr>
            <w:tcW w:w="3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Accountants’ fees and expenses</w:t>
              <w:tab/>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shd w:fill="CCEEFF" w:val="clear"/>
            <w:vAlign w:val="center"/>
          </w:tcPr>
          <w:p>
            <w:pPr>
              <w:pStyle w:val="TableContents"/>
              <w:bidi w:val="0"/>
              <w:spacing w:before="0" w:after="283"/>
              <w:jc w:val="left"/>
              <w:rPr>
                <w:sz w:val="20"/>
              </w:rPr>
            </w:pPr>
            <w:r>
              <w:rPr>
                <w:sz w:val="20"/>
              </w:rPr>
              <w:t>(2)</w:t>
            </w:r>
          </w:p>
        </w:tc>
      </w:tr>
      <w:tr>
        <w:trPr/>
        <w:tc>
          <w:tcPr>
            <w:tcW w:w="3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and registrar fees and expenses</w:t>
              <w:tab/>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sz w:val="20"/>
              </w:rPr>
            </w:pPr>
            <w:r>
              <w:rPr>
                <w:sz w:val="20"/>
              </w:rPr>
              <w:t>(2)</w:t>
            </w:r>
          </w:p>
        </w:tc>
      </w:tr>
      <w:tr>
        <w:trPr/>
        <w:tc>
          <w:tcPr>
            <w:tcW w:w="3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expenses</w:t>
              <w:tab/>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vAlign w:val="center"/>
          </w:tcPr>
          <w:p>
            <w:pPr>
              <w:pStyle w:val="TableContents"/>
              <w:bidi w:val="0"/>
              <w:spacing w:before="0" w:after="283"/>
              <w:jc w:val="left"/>
              <w:rPr>
                <w:sz w:val="20"/>
              </w:rPr>
            </w:pPr>
            <w:r>
              <w:rPr>
                <w:sz w:val="20"/>
              </w:rPr>
              <w:t>(2)</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tab/>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sz w:val="20"/>
              </w:rPr>
            </w:pPr>
            <w:r>
              <w:rPr>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accordance with Rules 456(b) and 457(r), the registrant is deferring payment of all registration fees for the securities offered by this registration statement. </w:t>
            </w:r>
          </w:p>
        </w:tc>
      </w:tr>
      <w:tr>
        <w:trPr/>
        <w:tc>
          <w:tcPr>
            <w:tcW w:w="223" w:type="dxa"/>
            <w:tcBorders/>
            <w:vAlign w:val="center"/>
          </w:tcPr>
          <w:p>
            <w:pPr>
              <w:pStyle w:val="TableContents"/>
              <w:bidi w:val="0"/>
              <w:spacing w:before="0" w:after="283"/>
              <w:jc w:val="left"/>
              <w:rPr/>
            </w:pPr>
            <w:r>
              <w:rPr/>
              <w:t> </w:t>
            </w:r>
          </w:p>
        </w:tc>
        <w:tc>
          <w:tcPr>
            <w:tcW w:w="9982" w:type="dxa"/>
            <w:tcBorders/>
            <w:vAlign w:val="center"/>
          </w:tcPr>
          <w:p>
            <w:pPr>
              <w:pStyle w:val="TableContents"/>
              <w:bidi w:val="0"/>
              <w:spacing w:before="0" w:after="283"/>
              <w:jc w:val="both"/>
              <w:rPr/>
            </w:pPr>
            <w:r>
              <w:rPr/>
              <w:t> </w:t>
            </w:r>
          </w:p>
        </w:tc>
      </w:tr>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BCBCA, a company may indemnify a director or officer, a former director or officer, or a person who acts or acted at the company’s request as a director or officer, or an individual acting in a similar capacity, of another entity, which we collectively refer to as an eligible party, against all costs, charges and expenses, including an amount paid to settle an action or satisfy a judgment, reasonably incurred by him or her in respect of any civil, criminal, administrative, investigative or other proceeding in which he or she is involved because of that association with the company or other entity, if: (1) the individual acted honestly and in good faith with a view to the best interests of such company or the other entity, as the case may be; and (2) in the case of a proceeding other than a civil proceeding, the individual had reasonable grounds for believing that the individual’s conduct was lawful. A company cannot indemnify an eligible party if it is prohibited from doing so under its articles, even if it had agreed to do so by an indemnification agreement (provided that the articles prohibited indemnification when the indemnification agreement was made). A company may advance the expenses of an eligible party as they are incurred in an eligible proceeding only if the eligible party has provided an undertaking that, if it is ultimately determined that the payment of expenses was prohibited, the eligible party will repay any amounts advanced. On application from an eligible party, a court may make any order the court considers appropriate in respect of an eligible proceeding, including the indemnification of penalties imposed or expenses incurred in any such proceedings and the enforcement of an 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BCBCA, our articles require us to indemnify an eligible party and his or her heirs and legal personal representatives against all eligible penalties to which such person is or may be liable, and we must after final disposition of an eligible proceeding, pay the expenses actually and reasonably incurred by such person in respect of that proceeding. Each eligible party is deemed to have contracted with us on the terms of the indemnity contained in our articles. In addition, our articles specify that failure of an eligible party to comply with the provisions of the BCBCA or our articles will not invalidate any indemnity to which he or she is entitled. Our articles also allow for us to purchase and maintain insurance for the benefit of specified eligible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indemnity agreements with our directors and certain officers. Each indemnity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 and subject to the terms and conditions of such indemnity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also purchased insurance policies relating to certain liabilities that our directors and officers may incur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exhibits are filed herewith or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5487"/>
        <w:gridCol w:w="60"/>
        <w:gridCol w:w="800"/>
        <w:gridCol w:w="60"/>
        <w:gridCol w:w="1259"/>
        <w:gridCol w:w="60"/>
        <w:gridCol w:w="701"/>
        <w:gridCol w:w="60"/>
        <w:gridCol w:w="933"/>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48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9"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 herein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Form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0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 Reg.</w:t>
              <w:br/>
              <w:t>Number</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Articles of TMC the metals company Inc.</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10-K</w:t>
              <w:br/>
              <w:t>(Exhibit 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001-39281</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b w:val="false"/>
                  <w:i w:val="false"/>
                  <w:caps w:val="false"/>
                  <w:smallCaps w:val="false"/>
                  <w:sz w:val="20"/>
                </w:rPr>
                <w:t>4.2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b w:val="false"/>
                  <w:i w:val="false"/>
                  <w:caps w:val="false"/>
                  <w:smallCaps w:val="false"/>
                  <w:sz w:val="20"/>
                </w:rPr>
                <w:t>Articles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tcMar>
              <w:bottom w:w="0" w:type="dxa"/>
            </w:tcMar>
            <w:vAlign w:val="center"/>
          </w:tcPr>
          <w:p>
            <w:pPr>
              <w:pStyle w:val="TableContents"/>
              <w:bidi w:val="0"/>
              <w:spacing w:before="0" w:after="283"/>
              <w:jc w:val="center"/>
              <w:rPr/>
            </w:pPr>
            <w:hyperlink r:id="rId13">
              <w:r>
                <w:rPr>
                  <w:rStyle w:val="InternetLink"/>
                  <w:rFonts w:ascii="Times New Roman;Times;Serif" w:hAnsi="Times New Roman;Times;Serif"/>
                  <w:b w:val="false"/>
                  <w:i w:val="false"/>
                  <w:caps w:val="false"/>
                  <w:smallCaps w:val="false"/>
                  <w:sz w:val="20"/>
                </w:rPr>
                <w:t xml:space="preserve">Form 8-K </w:t>
                <w:br/>
                <w:t>(Exhibit 3.3)</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pPr>
            <w:hyperlink r:id="rId14">
              <w:r>
                <w:rPr>
                  <w:rStyle w:val="InternetLink"/>
                  <w:rFonts w:ascii="Times New Roman;Times;Serif" w:hAnsi="Times New Roman;Times;Serif"/>
                  <w:b w:val="false"/>
                  <w:i w:val="false"/>
                  <w:caps w:val="false"/>
                  <w:smallCaps w:val="false"/>
                  <w:sz w:val="20"/>
                </w:rPr>
                <w:t>1/2/2026</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tcMar>
              <w:bottom w:w="0" w:type="dxa"/>
            </w:tcMar>
            <w:vAlign w:val="center"/>
          </w:tcPr>
          <w:p>
            <w:pPr>
              <w:pStyle w:val="TableContents"/>
              <w:bidi w:val="0"/>
              <w:spacing w:before="0" w:after="283"/>
              <w:jc w:val="center"/>
              <w:rPr/>
            </w:pPr>
            <w:hyperlink r:id="rId15">
              <w:r>
                <w:rPr>
                  <w:rStyle w:val="InternetLink"/>
                  <w:rFonts w:ascii="Times New Roman;Times;Serif" w:hAnsi="Times New Roman;Times;Serif"/>
                  <w:b w:val="false"/>
                  <w:i w:val="false"/>
                  <w:caps w:val="false"/>
                  <w:smallCaps w:val="false"/>
                  <w:sz w:val="20"/>
                </w:rPr>
                <w:t>001-39281</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b w:val="false"/>
                  <w:i w:val="false"/>
                  <w:caps w:val="false"/>
                  <w:smallCaps w:val="false"/>
                  <w:sz w:val="20"/>
                </w:rPr>
                <w:t>4.3</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b w:val="false"/>
                  <w:i w:val="false"/>
                  <w:caps w:val="false"/>
                  <w:smallCaps w:val="false"/>
                  <w:sz w:val="20"/>
                </w:rPr>
                <w:t>TMC the metals company Inc. Common Share Certificate</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tcMar>
              <w:bottom w:w="0" w:type="dxa"/>
            </w:tcMar>
            <w:vAlign w:val="center"/>
          </w:tcPr>
          <w:p>
            <w:pPr>
              <w:pStyle w:val="TableContents"/>
              <w:bidi w:val="0"/>
              <w:spacing w:before="0" w:after="283"/>
              <w:jc w:val="center"/>
              <w:rPr/>
            </w:pPr>
            <w:hyperlink r:id="rId18">
              <w:r>
                <w:rPr>
                  <w:rStyle w:val="InternetLink"/>
                  <w:rFonts w:ascii="Times New Roman;Times;Serif" w:hAnsi="Times New Roman;Times;Serif"/>
                  <w:b w:val="false"/>
                  <w:i w:val="false"/>
                  <w:caps w:val="false"/>
                  <w:smallCaps w:val="false"/>
                  <w:sz w:val="20"/>
                </w:rPr>
                <w:t xml:space="preserve">Form 8-K </w:t>
                <w:br/>
                <w:t>(Exhibit 4.1)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pPr>
            <w:hyperlink r:id="rId19">
              <w:r>
                <w:rPr>
                  <w:rStyle w:val="InternetLink"/>
                  <w:rFonts w:ascii="Times New Roman;Times;Serif" w:hAnsi="Times New Roman;Times;Serif"/>
                  <w:b w:val="false"/>
                  <w:i w:val="false"/>
                  <w:caps w:val="false"/>
                  <w:smallCaps w:val="false"/>
                  <w:sz w:val="20"/>
                </w:rPr>
                <w:t>9/15/2021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tcMar>
              <w:bottom w:w="0" w:type="dxa"/>
            </w:tcMar>
            <w:vAlign w:val="center"/>
          </w:tcPr>
          <w:p>
            <w:pPr>
              <w:pStyle w:val="TableContents"/>
              <w:bidi w:val="0"/>
              <w:spacing w:before="0" w:after="283"/>
              <w:jc w:val="center"/>
              <w:rPr/>
            </w:pPr>
            <w:hyperlink r:id="rId20">
              <w:r>
                <w:rPr>
                  <w:rStyle w:val="InternetLink"/>
                  <w:rFonts w:ascii="Times New Roman;Times;Serif" w:hAnsi="Times New Roman;Times;Serif"/>
                  <w:b w:val="false"/>
                  <w:i w:val="false"/>
                  <w:caps w:val="false"/>
                  <w:smallCaps w:val="false"/>
                  <w:sz w:val="20"/>
                </w:rPr>
                <w:t>001-39281</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 with respect to Preferred Shares</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w:anchor="tm269884d1_ex4-5.htm">
              <w:r>
                <w:rPr>
                  <w:rStyle w:val="InternetLink"/>
                  <w:rFonts w:ascii="Times New Roman;Times;Serif" w:hAnsi="Times New Roman;Times;Serif"/>
                  <w:b w:val="false"/>
                  <w:i w:val="false"/>
                  <w:caps w:val="false"/>
                  <w:smallCaps w:val="false"/>
                  <w:sz w:val="20"/>
                </w:rPr>
                <w:t>4.5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pPr>
            <w:hyperlink w:anchor="tm269884d1_ex4-5.htm">
              <w:r>
                <w:rPr>
                  <w:rStyle w:val="InternetLink"/>
                  <w:rFonts w:ascii="Times New Roman;Times;Serif" w:hAnsi="Times New Roman;Times;Serif"/>
                  <w:b w:val="false"/>
                  <w:i w:val="false"/>
                  <w:caps w:val="false"/>
                  <w:smallCaps w:val="false"/>
                  <w:sz w:val="20"/>
                </w:rPr>
                <w:t>Form of Senior Indenture</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pPr>
            <w:hyperlink w:anchor="tm269884d1_ex4-5.htm">
              <w:r>
                <w:rPr>
                  <w:rStyle w:val="InternetLink"/>
                  <w:rFonts w:ascii="Times New Roman;Times;Serif" w:hAnsi="Times New Roman;Times;Serif"/>
                  <w:b w:val="false"/>
                  <w:i w:val="false"/>
                  <w:caps w:val="false"/>
                  <w:smallCaps w:val="false"/>
                  <w:sz w:val="20"/>
                </w:rPr>
                <w:t>X</w:t>
              </w:r>
            </w:hyperlink>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w:anchor="tm269884d1_ex4-6.htm">
              <w:r>
                <w:rPr>
                  <w:rStyle w:val="InternetLink"/>
                  <w:rFonts w:ascii="Times New Roman;Times;Serif" w:hAnsi="Times New Roman;Times;Serif"/>
                  <w:b w:val="false"/>
                  <w:i w:val="false"/>
                  <w:caps w:val="false"/>
                  <w:smallCaps w:val="false"/>
                  <w:sz w:val="20"/>
                </w:rPr>
                <w:t>4.6</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pPr>
            <w:hyperlink w:anchor="tm269884d1_ex4-6.htm">
              <w:r>
                <w:rPr>
                  <w:rStyle w:val="InternetLink"/>
                  <w:rFonts w:ascii="Times New Roman;Times;Serif" w:hAnsi="Times New Roman;Times;Serif"/>
                  <w:b w:val="false"/>
                  <w:i w:val="false"/>
                  <w:caps w:val="false"/>
                  <w:smallCaps w:val="false"/>
                  <w:sz w:val="20"/>
                </w:rPr>
                <w:t>Form of Subordinated Indenture</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pPr>
            <w:hyperlink w:anchor="tm269884d1_ex4-6.htm">
              <w:r>
                <w:rPr>
                  <w:rStyle w:val="InternetLink"/>
                  <w:rFonts w:ascii="Times New Roman;Times;Serif" w:hAnsi="Times New Roman;Times;Serif"/>
                  <w:b w:val="false"/>
                  <w:i w:val="false"/>
                  <w:caps w:val="false"/>
                  <w:smallCaps w:val="false"/>
                  <w:sz w:val="20"/>
                </w:rPr>
                <w:t>X</w:t>
              </w:r>
            </w:hyperlink>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Senior Debt Security</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Subordinated Debt Security</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Agreement and Warrant</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 and Unit</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b w:val="false"/>
                  <w:i w:val="false"/>
                  <w:caps w:val="false"/>
                  <w:smallCaps w:val="false"/>
                  <w:sz w:val="20"/>
                </w:rPr>
                <w:t>4.11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b w:val="false"/>
                  <w:i w:val="false"/>
                  <w:caps w:val="false"/>
                  <w:smallCaps w:val="false"/>
                  <w:sz w:val="20"/>
                </w:rPr>
                <w:t>Warrant Agreement between Continental Stock Transfer &amp; Trust Company and Sustainable Opportunities Acquisition Corp., dated May 8, 2020</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tcMar>
              <w:bottom w:w="0" w:type="dxa"/>
            </w:tcMar>
            <w:vAlign w:val="center"/>
          </w:tcPr>
          <w:p>
            <w:pPr>
              <w:pStyle w:val="TableContents"/>
              <w:bidi w:val="0"/>
              <w:spacing w:before="0" w:after="283"/>
              <w:jc w:val="center"/>
              <w:rPr/>
            </w:pPr>
            <w:hyperlink r:id="rId23">
              <w:r>
                <w:rPr>
                  <w:rStyle w:val="InternetLink"/>
                  <w:rFonts w:ascii="Times New Roman;Times;Serif" w:hAnsi="Times New Roman;Times;Serif"/>
                  <w:b w:val="false"/>
                  <w:i w:val="false"/>
                  <w:caps w:val="false"/>
                  <w:smallCaps w:val="false"/>
                  <w:sz w:val="20"/>
                </w:rPr>
                <w:t>Form 8-K</w:t>
                <w:br/>
                <w:t>(Exhibit 4.1)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pPr>
            <w:hyperlink r:id="rId24">
              <w:r>
                <w:rPr>
                  <w:rStyle w:val="InternetLink"/>
                  <w:rFonts w:ascii="Times New Roman;Times;Serif" w:hAnsi="Times New Roman;Times;Serif"/>
                  <w:b w:val="false"/>
                  <w:i w:val="false"/>
                  <w:caps w:val="false"/>
                  <w:smallCaps w:val="false"/>
                  <w:sz w:val="20"/>
                </w:rPr>
                <w:t>5/8/2020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tcMar>
              <w:bottom w:w="0" w:type="dxa"/>
            </w:tcMar>
            <w:vAlign w:val="center"/>
          </w:tcPr>
          <w:p>
            <w:pPr>
              <w:pStyle w:val="TableContents"/>
              <w:bidi w:val="0"/>
              <w:spacing w:before="0" w:after="283"/>
              <w:jc w:val="center"/>
              <w:rPr/>
            </w:pPr>
            <w:hyperlink r:id="rId25">
              <w:r>
                <w:rPr>
                  <w:rStyle w:val="InternetLink"/>
                  <w:rFonts w:ascii="Times New Roman;Times;Serif" w:hAnsi="Times New Roman;Times;Serif"/>
                  <w:b w:val="false"/>
                  <w:i w:val="false"/>
                  <w:caps w:val="false"/>
                  <w:smallCaps w:val="false"/>
                  <w:sz w:val="20"/>
                </w:rPr>
                <w:t>001-39281</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b w:val="false"/>
                  <w:i w:val="false"/>
                  <w:caps w:val="false"/>
                  <w:smallCaps w:val="false"/>
                  <w:sz w:val="20"/>
                </w:rPr>
                <w:t>4.12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pPr>
            <w:hyperlink r:id="rId27">
              <w:r>
                <w:rPr>
                  <w:rStyle w:val="InternetLink"/>
                  <w:rFonts w:ascii="Times New Roman;Times;Serif" w:hAnsi="Times New Roman;Times;Serif"/>
                  <w:b w:val="false"/>
                  <w:i w:val="false"/>
                  <w:caps w:val="false"/>
                  <w:smallCaps w:val="false"/>
                  <w:sz w:val="20"/>
                </w:rPr>
                <w:t>Form of Class A Warrant to Purchase Common Shares</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tcMar>
              <w:bottom w:w="0" w:type="dxa"/>
            </w:tcMar>
            <w:vAlign w:val="center"/>
          </w:tcPr>
          <w:p>
            <w:pPr>
              <w:pStyle w:val="TableContents"/>
              <w:bidi w:val="0"/>
              <w:spacing w:before="0" w:after="283"/>
              <w:jc w:val="center"/>
              <w:rPr/>
            </w:pPr>
            <w:hyperlink r:id="rId28">
              <w:r>
                <w:rPr>
                  <w:rStyle w:val="InternetLink"/>
                  <w:rFonts w:ascii="Times New Roman;Times;Serif" w:hAnsi="Times New Roman;Times;Serif"/>
                  <w:b w:val="false"/>
                  <w:i w:val="false"/>
                  <w:caps w:val="false"/>
                  <w:smallCaps w:val="false"/>
                  <w:sz w:val="20"/>
                </w:rPr>
                <w:t>Form 8-K</w:t>
                <w:br/>
                <w:t>(Exhibit 4.1)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pPr>
            <w:hyperlink r:id="rId29">
              <w:r>
                <w:rPr>
                  <w:rStyle w:val="InternetLink"/>
                  <w:rFonts w:ascii="Times New Roman;Times;Serif" w:hAnsi="Times New Roman;Times;Serif"/>
                  <w:b w:val="false"/>
                  <w:i w:val="false"/>
                  <w:caps w:val="false"/>
                  <w:smallCaps w:val="false"/>
                  <w:sz w:val="20"/>
                </w:rPr>
                <w:t>8/14/2023</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tcMar>
              <w:bottom w:w="0" w:type="dxa"/>
            </w:tcMar>
            <w:vAlign w:val="center"/>
          </w:tcPr>
          <w:p>
            <w:pPr>
              <w:pStyle w:val="TableContents"/>
              <w:bidi w:val="0"/>
              <w:spacing w:before="0" w:after="283"/>
              <w:jc w:val="center"/>
              <w:rPr/>
            </w:pPr>
            <w:hyperlink r:id="rId30">
              <w:r>
                <w:rPr>
                  <w:rStyle w:val="InternetLink"/>
                  <w:rFonts w:ascii="Times New Roman;Times;Serif" w:hAnsi="Times New Roman;Times;Serif"/>
                  <w:b w:val="false"/>
                  <w:i w:val="false"/>
                  <w:caps w:val="false"/>
                  <w:smallCaps w:val="false"/>
                  <w:sz w:val="20"/>
                </w:rPr>
                <w:t>001-39281</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r:id="rId31">
              <w:r>
                <w:rPr>
                  <w:rStyle w:val="InternetLink"/>
                  <w:rFonts w:ascii="Times New Roman;Times;Serif" w:hAnsi="Times New Roman;Times;Serif"/>
                  <w:b w:val="false"/>
                  <w:i w:val="false"/>
                  <w:caps w:val="false"/>
                  <w:smallCaps w:val="false"/>
                  <w:sz w:val="20"/>
                </w:rPr>
                <w:t>4.13</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pPr>
            <w:hyperlink r:id="rId32">
              <w:r>
                <w:rPr>
                  <w:rStyle w:val="InternetLink"/>
                  <w:rFonts w:ascii="Times New Roman;Times;Serif" w:hAnsi="Times New Roman;Times;Serif"/>
                  <w:b w:val="false"/>
                  <w:i w:val="false"/>
                  <w:caps w:val="false"/>
                  <w:smallCaps w:val="false"/>
                  <w:sz w:val="20"/>
                </w:rPr>
                <w:t>Form of Class B Warrant to Purchase Common Shares</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tcMar>
              <w:bottom w:w="0" w:type="dxa"/>
            </w:tcMar>
            <w:vAlign w:val="center"/>
          </w:tcPr>
          <w:p>
            <w:pPr>
              <w:pStyle w:val="TableContents"/>
              <w:bidi w:val="0"/>
              <w:spacing w:before="0" w:after="283"/>
              <w:jc w:val="center"/>
              <w:rPr/>
            </w:pPr>
            <w:hyperlink r:id="rId33">
              <w:r>
                <w:rPr>
                  <w:rStyle w:val="InternetLink"/>
                  <w:rFonts w:ascii="Times New Roman;Times;Serif" w:hAnsi="Times New Roman;Times;Serif"/>
                  <w:b w:val="false"/>
                  <w:i w:val="false"/>
                  <w:caps w:val="false"/>
                  <w:smallCaps w:val="false"/>
                  <w:sz w:val="20"/>
                </w:rPr>
                <w:t>Form 8-K</w:t>
                <w:br/>
                <w:t>(Exhibit 4.1)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pPr>
            <w:hyperlink r:id="rId34">
              <w:r>
                <w:rPr>
                  <w:rStyle w:val="InternetLink"/>
                  <w:rFonts w:ascii="Times New Roman;Times;Serif" w:hAnsi="Times New Roman;Times;Serif"/>
                  <w:b w:val="false"/>
                  <w:i w:val="false"/>
                  <w:caps w:val="false"/>
                  <w:smallCaps w:val="false"/>
                  <w:sz w:val="20"/>
                </w:rPr>
                <w:t>11/15/2024</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tcMar>
              <w:bottom w:w="0" w:type="dxa"/>
            </w:tcMar>
            <w:vAlign w:val="center"/>
          </w:tcPr>
          <w:p>
            <w:pPr>
              <w:pStyle w:val="TableContents"/>
              <w:bidi w:val="0"/>
              <w:spacing w:before="0" w:after="283"/>
              <w:jc w:val="center"/>
              <w:rPr/>
            </w:pPr>
            <w:hyperlink r:id="rId35">
              <w:r>
                <w:rPr>
                  <w:rStyle w:val="InternetLink"/>
                  <w:rFonts w:ascii="Times New Roman;Times;Serif" w:hAnsi="Times New Roman;Times;Serif"/>
                  <w:b w:val="false"/>
                  <w:i w:val="false"/>
                  <w:caps w:val="false"/>
                  <w:smallCaps w:val="false"/>
                  <w:sz w:val="20"/>
                </w:rPr>
                <w:t>001-39281</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r:id="rId36">
              <w:r>
                <w:rPr>
                  <w:rStyle w:val="InternetLink"/>
                  <w:rFonts w:ascii="Times New Roman;Times;Serif" w:hAnsi="Times New Roman;Times;Serif"/>
                  <w:b w:val="false"/>
                  <w:i w:val="false"/>
                  <w:caps w:val="false"/>
                  <w:smallCaps w:val="false"/>
                  <w:sz w:val="20"/>
                </w:rPr>
                <w:t>4.14</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pPr>
            <w:hyperlink r:id="rId37">
              <w:r>
                <w:rPr>
                  <w:rStyle w:val="InternetLink"/>
                  <w:rFonts w:ascii="Times New Roman;Times;Serif" w:hAnsi="Times New Roman;Times;Serif"/>
                  <w:b w:val="false"/>
                  <w:i w:val="false"/>
                  <w:caps w:val="false"/>
                  <w:smallCaps w:val="false"/>
                  <w:sz w:val="20"/>
                </w:rPr>
                <w:t>Waiver to Class B Warrants to Purchase Common Shares</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tcMar>
              <w:bottom w:w="0" w:type="dxa"/>
            </w:tcMar>
            <w:vAlign w:val="center"/>
          </w:tcPr>
          <w:p>
            <w:pPr>
              <w:pStyle w:val="TableContents"/>
              <w:bidi w:val="0"/>
              <w:spacing w:before="0" w:after="283"/>
              <w:jc w:val="center"/>
              <w:rPr/>
            </w:pPr>
            <w:hyperlink r:id="rId38">
              <w:r>
                <w:rPr>
                  <w:rStyle w:val="InternetLink"/>
                  <w:rFonts w:ascii="Times New Roman;Times;Serif" w:hAnsi="Times New Roman;Times;Serif"/>
                  <w:b w:val="false"/>
                  <w:i w:val="false"/>
                  <w:caps w:val="false"/>
                  <w:smallCaps w:val="false"/>
                  <w:sz w:val="20"/>
                </w:rPr>
                <w:t xml:space="preserve">Form 8-K </w:t>
                <w:br/>
                <w:t>(Exhibit 4.1)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pPr>
            <w:hyperlink r:id="rId39">
              <w:r>
                <w:rPr>
                  <w:rStyle w:val="InternetLink"/>
                  <w:rFonts w:ascii="Times New Roman;Times;Serif" w:hAnsi="Times New Roman;Times;Serif"/>
                  <w:b w:val="false"/>
                  <w:i w:val="false"/>
                  <w:caps w:val="false"/>
                  <w:smallCaps w:val="false"/>
                  <w:sz w:val="20"/>
                </w:rPr>
                <w:t>6/18/2025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tcMar>
              <w:bottom w:w="0" w:type="dxa"/>
            </w:tcMar>
            <w:vAlign w:val="center"/>
          </w:tcPr>
          <w:p>
            <w:pPr>
              <w:pStyle w:val="TableContents"/>
              <w:bidi w:val="0"/>
              <w:spacing w:before="0" w:after="283"/>
              <w:jc w:val="center"/>
              <w:rPr/>
            </w:pPr>
            <w:hyperlink r:id="rId40">
              <w:r>
                <w:rPr>
                  <w:rStyle w:val="InternetLink"/>
                  <w:rFonts w:ascii="Times New Roman;Times;Serif" w:hAnsi="Times New Roman;Times;Serif"/>
                  <w:b w:val="false"/>
                  <w:i w:val="false"/>
                  <w:caps w:val="false"/>
                  <w:smallCaps w:val="false"/>
                  <w:sz w:val="20"/>
                </w:rPr>
                <w:t>001-39281</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r:id="rId41">
              <w:r>
                <w:rPr>
                  <w:rStyle w:val="InternetLink"/>
                  <w:rFonts w:ascii="Times New Roman;Times;Serif" w:hAnsi="Times New Roman;Times;Serif"/>
                  <w:b w:val="false"/>
                  <w:i w:val="false"/>
                  <w:caps w:val="false"/>
                  <w:smallCaps w:val="false"/>
                  <w:sz w:val="20"/>
                </w:rPr>
                <w:t>4.15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pPr>
            <w:hyperlink r:id="rId42">
              <w:r>
                <w:rPr>
                  <w:rStyle w:val="InternetLink"/>
                  <w:rFonts w:ascii="Times New Roman;Times;Serif" w:hAnsi="Times New Roman;Times;Serif"/>
                  <w:b w:val="false"/>
                  <w:i w:val="false"/>
                  <w:caps w:val="false"/>
                  <w:smallCaps w:val="false"/>
                  <w:sz w:val="20"/>
                </w:rPr>
                <w:t>Form of Class C Warrant to Purchase Common Shares</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tcMar>
              <w:bottom w:w="0" w:type="dxa"/>
            </w:tcMar>
            <w:vAlign w:val="center"/>
          </w:tcPr>
          <w:p>
            <w:pPr>
              <w:pStyle w:val="TableContents"/>
              <w:bidi w:val="0"/>
              <w:spacing w:before="0" w:after="283"/>
              <w:jc w:val="center"/>
              <w:rPr/>
            </w:pPr>
            <w:hyperlink r:id="rId43">
              <w:r>
                <w:rPr>
                  <w:rStyle w:val="InternetLink"/>
                  <w:rFonts w:ascii="Times New Roman;Times;Serif" w:hAnsi="Times New Roman;Times;Serif"/>
                  <w:b w:val="false"/>
                  <w:i w:val="false"/>
                  <w:caps w:val="false"/>
                  <w:smallCaps w:val="false"/>
                  <w:sz w:val="20"/>
                </w:rPr>
                <w:t>Form 8-K</w:t>
                <w:br/>
                <w:t>(Exhibit 4.1)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pPr>
            <w:hyperlink r:id="rId44">
              <w:r>
                <w:rPr>
                  <w:rStyle w:val="InternetLink"/>
                  <w:rFonts w:ascii="Times New Roman;Times;Serif" w:hAnsi="Times New Roman;Times;Serif"/>
                  <w:b w:val="false"/>
                  <w:i w:val="false"/>
                  <w:caps w:val="false"/>
                  <w:smallCaps w:val="false"/>
                  <w:sz w:val="20"/>
                </w:rPr>
                <w:t>5/12/2025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tcMar>
              <w:bottom w:w="0" w:type="dxa"/>
            </w:tcMar>
            <w:vAlign w:val="center"/>
          </w:tcPr>
          <w:p>
            <w:pPr>
              <w:pStyle w:val="TableContents"/>
              <w:bidi w:val="0"/>
              <w:spacing w:before="0" w:after="283"/>
              <w:jc w:val="center"/>
              <w:rPr/>
            </w:pPr>
            <w:hyperlink r:id="rId45">
              <w:r>
                <w:rPr>
                  <w:rStyle w:val="InternetLink"/>
                  <w:rFonts w:ascii="Times New Roman;Times;Serif" w:hAnsi="Times New Roman;Times;Serif"/>
                  <w:b w:val="false"/>
                  <w:i w:val="false"/>
                  <w:caps w:val="false"/>
                  <w:smallCaps w:val="false"/>
                  <w:sz w:val="20"/>
                </w:rPr>
                <w:t>001-39281</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r:id="rId46">
              <w:r>
                <w:rPr>
                  <w:rStyle w:val="InternetLink"/>
                  <w:rFonts w:ascii="Times New Roman;Times;Serif" w:hAnsi="Times New Roman;Times;Serif"/>
                  <w:b w:val="false"/>
                  <w:i w:val="false"/>
                  <w:caps w:val="false"/>
                  <w:smallCaps w:val="false"/>
                  <w:sz w:val="20"/>
                </w:rPr>
                <w:t>4.16</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pPr>
            <w:hyperlink r:id="rId47">
              <w:r>
                <w:rPr>
                  <w:rStyle w:val="InternetLink"/>
                  <w:rFonts w:ascii="Times New Roman;Times;Serif" w:hAnsi="Times New Roman;Times;Serif"/>
                  <w:b w:val="false"/>
                  <w:i w:val="false"/>
                  <w:caps w:val="false"/>
                  <w:smallCaps w:val="false"/>
                  <w:sz w:val="20"/>
                </w:rPr>
                <w:t>Common Share Purchase Warrant, dated May 30, 2025, issued to the Government of the Republic of Nauru</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tcMar>
              <w:bottom w:w="0" w:type="dxa"/>
            </w:tcMar>
            <w:vAlign w:val="center"/>
          </w:tcPr>
          <w:p>
            <w:pPr>
              <w:pStyle w:val="TableContents"/>
              <w:bidi w:val="0"/>
              <w:spacing w:before="0" w:after="283"/>
              <w:jc w:val="center"/>
              <w:rPr/>
            </w:pPr>
            <w:hyperlink r:id="rId48">
              <w:r>
                <w:rPr>
                  <w:rStyle w:val="InternetLink"/>
                  <w:rFonts w:ascii="Times New Roman;Times;Serif" w:hAnsi="Times New Roman;Times;Serif"/>
                  <w:b w:val="false"/>
                  <w:i w:val="false"/>
                  <w:caps w:val="false"/>
                  <w:smallCaps w:val="false"/>
                  <w:sz w:val="20"/>
                </w:rPr>
                <w:t xml:space="preserve">Form 8-K </w:t>
                <w:br/>
                <w:t>(Exhibit 4.1)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pPr>
            <w:hyperlink r:id="rId49">
              <w:r>
                <w:rPr>
                  <w:rStyle w:val="InternetLink"/>
                  <w:rFonts w:ascii="Times New Roman;Times;Serif" w:hAnsi="Times New Roman;Times;Serif"/>
                  <w:b w:val="false"/>
                  <w:i w:val="false"/>
                  <w:caps w:val="false"/>
                  <w:smallCaps w:val="false"/>
                  <w:sz w:val="20"/>
                </w:rPr>
                <w:t>6/4/2025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tcMar>
              <w:bottom w:w="0" w:type="dxa"/>
            </w:tcMar>
            <w:vAlign w:val="center"/>
          </w:tcPr>
          <w:p>
            <w:pPr>
              <w:pStyle w:val="TableContents"/>
              <w:bidi w:val="0"/>
              <w:spacing w:before="0" w:after="283"/>
              <w:jc w:val="center"/>
              <w:rPr/>
            </w:pPr>
            <w:hyperlink r:id="rId50">
              <w:r>
                <w:rPr>
                  <w:rStyle w:val="InternetLink"/>
                  <w:rFonts w:ascii="Times New Roman;Times;Serif" w:hAnsi="Times New Roman;Times;Serif"/>
                  <w:b w:val="false"/>
                  <w:i w:val="false"/>
                  <w:caps w:val="false"/>
                  <w:smallCaps w:val="false"/>
                  <w:sz w:val="20"/>
                </w:rPr>
                <w:t>001-39281</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5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hyperlink r:id="rId51">
              <w:r>
                <w:rPr>
                  <w:rStyle w:val="InternetLink"/>
                  <w:rFonts w:ascii="Times New Roman;Times;Serif" w:hAnsi="Times New Roman;Times;Serif"/>
                  <w:b w:val="false"/>
                  <w:i w:val="false"/>
                  <w:caps w:val="false"/>
                  <w:smallCaps w:val="false"/>
                  <w:sz w:val="20"/>
                </w:rPr>
                <w:t>4.17</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87" w:type="dxa"/>
            <w:tcBorders/>
            <w:tcMar>
              <w:bottom w:w="0" w:type="dxa"/>
            </w:tcMar>
            <w:vAlign w:val="center"/>
          </w:tcPr>
          <w:p>
            <w:pPr>
              <w:pStyle w:val="TableContents"/>
              <w:bidi w:val="0"/>
              <w:spacing w:before="0" w:after="283"/>
              <w:jc w:val="left"/>
              <w:rPr/>
            </w:pPr>
            <w:hyperlink r:id="rId52">
              <w:r>
                <w:rPr>
                  <w:rStyle w:val="InternetLink"/>
                  <w:rFonts w:ascii="Times New Roman;Times;Serif" w:hAnsi="Times New Roman;Times;Serif"/>
                  <w:b w:val="false"/>
                  <w:i w:val="false"/>
                  <w:caps w:val="false"/>
                  <w:smallCaps w:val="false"/>
                  <w:sz w:val="20"/>
                </w:rPr>
                <w:t>Common Share Purchase Warrant, dated August 4, 2025, issued to the Government of the Kingdom of Tonga</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tcMar>
              <w:bottom w:w="0" w:type="dxa"/>
            </w:tcMar>
            <w:vAlign w:val="center"/>
          </w:tcPr>
          <w:p>
            <w:pPr>
              <w:pStyle w:val="TableContents"/>
              <w:bidi w:val="0"/>
              <w:spacing w:before="0" w:after="283"/>
              <w:jc w:val="center"/>
              <w:rPr/>
            </w:pPr>
            <w:hyperlink r:id="rId53">
              <w:r>
                <w:rPr>
                  <w:rStyle w:val="InternetLink"/>
                  <w:rFonts w:ascii="Times New Roman;Times;Serif" w:hAnsi="Times New Roman;Times;Serif"/>
                  <w:b w:val="false"/>
                  <w:i w:val="false"/>
                  <w:caps w:val="false"/>
                  <w:smallCaps w:val="false"/>
                  <w:sz w:val="20"/>
                </w:rPr>
                <w:t xml:space="preserve">Form 8-K </w:t>
                <w:br/>
                <w:t>(Exhibit 4.1)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tcMar>
              <w:bottom w:w="0" w:type="dxa"/>
            </w:tcMar>
            <w:vAlign w:val="center"/>
          </w:tcPr>
          <w:p>
            <w:pPr>
              <w:pStyle w:val="TableContents"/>
              <w:bidi w:val="0"/>
              <w:spacing w:before="0" w:after="283"/>
              <w:jc w:val="center"/>
              <w:rPr/>
            </w:pPr>
            <w:hyperlink r:id="rId54">
              <w:r>
                <w:rPr>
                  <w:rStyle w:val="InternetLink"/>
                  <w:rFonts w:ascii="Times New Roman;Times;Serif" w:hAnsi="Times New Roman;Times;Serif"/>
                  <w:b w:val="false"/>
                  <w:i w:val="false"/>
                  <w:caps w:val="false"/>
                  <w:smallCaps w:val="false"/>
                  <w:sz w:val="20"/>
                </w:rPr>
                <w:t>8/4/2025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tcMar>
              <w:bottom w:w="0" w:type="dxa"/>
            </w:tcMar>
            <w:vAlign w:val="center"/>
          </w:tcPr>
          <w:p>
            <w:pPr>
              <w:pStyle w:val="TableContents"/>
              <w:bidi w:val="0"/>
              <w:spacing w:before="0" w:after="283"/>
              <w:jc w:val="center"/>
              <w:rPr/>
            </w:pPr>
            <w:hyperlink r:id="rId55">
              <w:r>
                <w:rPr>
                  <w:rStyle w:val="InternetLink"/>
                  <w:rFonts w:ascii="Times New Roman;Times;Serif" w:hAnsi="Times New Roman;Times;Serif"/>
                  <w:b w:val="false"/>
                  <w:i w:val="false"/>
                  <w:caps w:val="false"/>
                  <w:smallCaps w:val="false"/>
                  <w:sz w:val="20"/>
                </w:rPr>
                <w:t>001-39281</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170" w:type="dxa"/>
        <w:jc w:val="left"/>
        <w:tblInd w:w="0" w:type="dxa"/>
        <w:tblLayout w:type="fixed"/>
        <w:tblCellMar>
          <w:top w:w="0" w:type="dxa"/>
          <w:left w:w="0" w:type="dxa"/>
          <w:bottom w:w="28" w:type="dxa"/>
          <w:right w:w="0" w:type="dxa"/>
        </w:tblCellMar>
      </w:tblPr>
      <w:tblGrid>
        <w:gridCol w:w="725"/>
        <w:gridCol w:w="60"/>
        <w:gridCol w:w="1670"/>
        <w:gridCol w:w="60"/>
        <w:gridCol w:w="800"/>
        <w:gridCol w:w="60"/>
        <w:gridCol w:w="1445"/>
        <w:gridCol w:w="60"/>
        <w:gridCol w:w="965"/>
        <w:gridCol w:w="60"/>
        <w:gridCol w:w="1265"/>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 herein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Form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 Reg.</w:t>
              <w:br/>
              <w:t>Number</w:t>
            </w:r>
          </w:p>
        </w:tc>
      </w:tr>
    </w:tbl>
    <w:tbl>
      <w:tblPr>
        <w:tblW w:w="10205" w:type="dxa"/>
        <w:jc w:val="left"/>
        <w:tblInd w:w="0" w:type="dxa"/>
        <w:tblLayout w:type="fixed"/>
        <w:tblCellMar>
          <w:top w:w="0" w:type="dxa"/>
          <w:left w:w="0" w:type="dxa"/>
          <w:bottom w:w="0" w:type="dxa"/>
          <w:right w:w="0" w:type="dxa"/>
        </w:tblCellMar>
      </w:tblPr>
      <w:tblGrid>
        <w:gridCol w:w="500"/>
        <w:gridCol w:w="60"/>
        <w:gridCol w:w="6516"/>
        <w:gridCol w:w="60"/>
        <w:gridCol w:w="155"/>
        <w:gridCol w:w="60"/>
        <w:gridCol w:w="1045"/>
        <w:gridCol w:w="60"/>
        <w:gridCol w:w="809"/>
        <w:gridCol w:w="60"/>
        <w:gridCol w:w="880"/>
      </w:tblGrid>
      <w:tr>
        <w:trPr/>
        <w:tc>
          <w:tcPr>
            <w:tcW w:w="500" w:type="dxa"/>
            <w:tcBorders/>
            <w:vAlign w:val="center"/>
          </w:tcPr>
          <w:p>
            <w:pPr>
              <w:pStyle w:val="TableContents"/>
              <w:bidi w:val="0"/>
              <w:spacing w:before="0" w:after="283"/>
              <w:jc w:val="left"/>
              <w:rPr/>
            </w:pPr>
            <w:hyperlink r:id="rId56">
              <w:r>
                <w:rPr>
                  <w:rStyle w:val="InternetLink"/>
                  <w:rFonts w:ascii="Times New Roman;Times;Serif" w:hAnsi="Times New Roman;Times;Serif"/>
                  <w:b w:val="false"/>
                  <w:i w:val="false"/>
                  <w:caps w:val="false"/>
                  <w:smallCaps w:val="false"/>
                  <w:sz w:val="20"/>
                </w:rPr>
                <w:t>4.18</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r:id="rId57">
              <w:r>
                <w:rPr>
                  <w:rStyle w:val="InternetLink"/>
                  <w:rFonts w:ascii="Times New Roman;Times;Serif" w:hAnsi="Times New Roman;Times;Serif"/>
                  <w:b w:val="false"/>
                  <w:i w:val="false"/>
                  <w:caps w:val="false"/>
                  <w:smallCaps w:val="false"/>
                  <w:sz w:val="20"/>
                </w:rPr>
                <w:t>Common Share Purchase Warrant, dated June 25, 2025, issued to Korea Zinc Company, Ltd.</w:t>
              </w:r>
            </w:hyperlink>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5" w:type="dxa"/>
            <w:tcBorders/>
            <w:vAlign w:val="center"/>
          </w:tcPr>
          <w:p>
            <w:pPr>
              <w:pStyle w:val="TableContents"/>
              <w:bidi w:val="0"/>
              <w:spacing w:before="0" w:after="283"/>
              <w:jc w:val="center"/>
              <w:rPr/>
            </w:pPr>
            <w:hyperlink r:id="rId58">
              <w:r>
                <w:rPr>
                  <w:rStyle w:val="InternetLink"/>
                  <w:rFonts w:ascii="Times New Roman;Times;Serif" w:hAnsi="Times New Roman;Times;Serif"/>
                  <w:b w:val="false"/>
                  <w:i w:val="false"/>
                  <w:caps w:val="false"/>
                  <w:smallCaps w:val="false"/>
                  <w:sz w:val="20"/>
                </w:rPr>
                <w:t xml:space="preserve">Form 10-Q </w:t>
                <w:br/>
                <w:t>(Exhibit 4.4)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pPr>
            <w:hyperlink r:id="rId59">
              <w:r>
                <w:rPr>
                  <w:rStyle w:val="InternetLink"/>
                  <w:rFonts w:ascii="Times New Roman;Times;Serif" w:hAnsi="Times New Roman;Times;Serif"/>
                  <w:b w:val="false"/>
                  <w:i w:val="false"/>
                  <w:caps w:val="false"/>
                  <w:smallCaps w:val="false"/>
                  <w:sz w:val="20"/>
                </w:rPr>
                <w:t>8/14/2025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tcBorders/>
            <w:vAlign w:val="center"/>
          </w:tcPr>
          <w:p>
            <w:pPr>
              <w:pStyle w:val="TableContents"/>
              <w:bidi w:val="0"/>
              <w:spacing w:before="0" w:after="283"/>
              <w:jc w:val="center"/>
              <w:rPr/>
            </w:pPr>
            <w:hyperlink r:id="rId60">
              <w:r>
                <w:rPr>
                  <w:rStyle w:val="InternetLink"/>
                  <w:rFonts w:ascii="Times New Roman;Times;Serif" w:hAnsi="Times New Roman;Times;Serif"/>
                  <w:b w:val="false"/>
                  <w:i w:val="false"/>
                  <w:caps w:val="false"/>
                  <w:smallCaps w:val="false"/>
                  <w:sz w:val="20"/>
                </w:rPr>
                <w:t>001-39281</w:t>
              </w:r>
            </w:hyperlink>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5-1.htm">
              <w:r>
                <w:rPr>
                  <w:rStyle w:val="InternetLink"/>
                  <w:rFonts w:ascii="Times New Roman;Times;Serif" w:hAnsi="Times New Roman;Times;Serif"/>
                  <w:b w:val="false"/>
                  <w:i w:val="false"/>
                  <w:caps w:val="false"/>
                  <w:smallCaps w:val="false"/>
                  <w:sz w:val="20"/>
                </w:rPr>
                <w:t>5.1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5-1.htm">
              <w:r>
                <w:rPr>
                  <w:rStyle w:val="InternetLink"/>
                  <w:rFonts w:ascii="Times New Roman;Times;Serif" w:hAnsi="Times New Roman;Times;Serif"/>
                  <w:b w:val="false"/>
                  <w:i w:val="false"/>
                  <w:caps w:val="false"/>
                  <w:smallCaps w:val="false"/>
                  <w:sz w:val="20"/>
                </w:rPr>
                <w:t>Opinion of Fasken Martineau DuMoulin LLP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5-1.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5-2.htm">
              <w:r>
                <w:rPr>
                  <w:rStyle w:val="InternetLink"/>
                  <w:rFonts w:ascii="Times New Roman;Times;Serif" w:hAnsi="Times New Roman;Times;Serif"/>
                  <w:b w:val="false"/>
                  <w:i w:val="false"/>
                  <w:caps w:val="false"/>
                  <w:smallCaps w:val="false"/>
                  <w:sz w:val="20"/>
                </w:rPr>
                <w:t>5.2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5-2.htm">
              <w:r>
                <w:rPr>
                  <w:rStyle w:val="InternetLink"/>
                  <w:rFonts w:ascii="Times New Roman;Times;Serif" w:hAnsi="Times New Roman;Times;Serif"/>
                  <w:b w:val="false"/>
                  <w:i w:val="false"/>
                  <w:caps w:val="false"/>
                  <w:smallCaps w:val="false"/>
                  <w:sz w:val="20"/>
                </w:rPr>
                <w:t>Opinion of Mintz, Levin, Cohn, Ferris, Glovsky and Popeo, P.C.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5-2.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w:anchor="tm269884d1_ex23-1.htm">
              <w:r>
                <w:rPr>
                  <w:rStyle w:val="InternetLink"/>
                  <w:rFonts w:ascii="Times New Roman;Times;Serif" w:hAnsi="Times New Roman;Times;Serif"/>
                  <w:b w:val="false"/>
                  <w:i w:val="false"/>
                  <w:caps w:val="false"/>
                  <w:smallCaps w:val="false"/>
                  <w:sz w:val="20"/>
                </w:rPr>
                <w:t>23.1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1.htm">
              <w:r>
                <w:rPr>
                  <w:rStyle w:val="InternetLink"/>
                  <w:rFonts w:ascii="Times New Roman;Times;Serif" w:hAnsi="Times New Roman;Times;Serif"/>
                  <w:b w:val="false"/>
                  <w:i w:val="false"/>
                  <w:caps w:val="false"/>
                  <w:smallCaps w:val="false"/>
                  <w:sz w:val="20"/>
                </w:rPr>
                <w:t>Consent of Ernst &amp; Young LLP,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1.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5-1.htm">
              <w:r>
                <w:rPr>
                  <w:rStyle w:val="InternetLink"/>
                  <w:rFonts w:ascii="Times New Roman;Times;Serif" w:hAnsi="Times New Roman;Times;Serif"/>
                  <w:b w:val="false"/>
                  <w:i w:val="false"/>
                  <w:caps w:val="false"/>
                  <w:smallCaps w:val="false"/>
                  <w:sz w:val="20"/>
                </w:rPr>
                <w:t>23.2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5-1.htm">
              <w:r>
                <w:rPr>
                  <w:rStyle w:val="InternetLink"/>
                  <w:rFonts w:ascii="Times New Roman;Times;Serif" w:hAnsi="Times New Roman;Times;Serif"/>
                  <w:b w:val="false"/>
                  <w:i w:val="false"/>
                  <w:caps w:val="false"/>
                  <w:smallCaps w:val="false"/>
                  <w:sz w:val="20"/>
                </w:rPr>
                <w:t>Consent of Fasken Martineau DuMoulin LLP (included in Exhibit 5.1)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5-1.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w:anchor="tm269884d1_ex5-2.htm">
              <w:r>
                <w:rPr>
                  <w:rStyle w:val="InternetLink"/>
                  <w:rFonts w:ascii="Times New Roman;Times;Serif" w:hAnsi="Times New Roman;Times;Serif"/>
                  <w:b w:val="false"/>
                  <w:i w:val="false"/>
                  <w:caps w:val="false"/>
                  <w:smallCaps w:val="false"/>
                  <w:sz w:val="20"/>
                </w:rPr>
                <w:t>23.3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5-2.htm">
              <w:r>
                <w:rPr>
                  <w:rStyle w:val="InternetLink"/>
                  <w:rFonts w:ascii="Times New Roman;Times;Serif" w:hAnsi="Times New Roman;Times;Serif"/>
                  <w:b w:val="false"/>
                  <w:i w:val="false"/>
                  <w:caps w:val="false"/>
                  <w:smallCaps w:val="false"/>
                  <w:sz w:val="20"/>
                </w:rPr>
                <w:t>Consent of Mintz, Levin, Cohn, Ferris, Glovsky and Popeo, P.C. (included in Exhibit 5.2)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5-2.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23-4.htm">
              <w:r>
                <w:rPr>
                  <w:rStyle w:val="InternetLink"/>
                  <w:rFonts w:ascii="Times New Roman;Times;Serif" w:hAnsi="Times New Roman;Times;Serif"/>
                  <w:b w:val="false"/>
                  <w:i w:val="false"/>
                  <w:caps w:val="false"/>
                  <w:smallCaps w:val="false"/>
                  <w:sz w:val="20"/>
                </w:rPr>
                <w:t>23.4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4.htm">
              <w:r>
                <w:rPr>
                  <w:rStyle w:val="InternetLink"/>
                  <w:rFonts w:ascii="Times New Roman;Times;Serif" w:hAnsi="Times New Roman;Times;Serif"/>
                  <w:b w:val="false"/>
                  <w:i w:val="false"/>
                  <w:caps w:val="false"/>
                  <w:smallCaps w:val="false"/>
                  <w:sz w:val="20"/>
                </w:rPr>
                <w:t>Consent of Qualified Person (TRS) - AMC Consultants Pty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4.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23-5.htm">
              <w:r>
                <w:rPr>
                  <w:rStyle w:val="InternetLink"/>
                  <w:rFonts w:ascii="Times New Roman;Times;Serif" w:hAnsi="Times New Roman;Times;Serif"/>
                  <w:b w:val="false"/>
                  <w:i w:val="false"/>
                  <w:caps w:val="false"/>
                  <w:smallCaps w:val="false"/>
                  <w:sz w:val="20"/>
                </w:rPr>
                <w:t>23.5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5.htm">
              <w:r>
                <w:rPr>
                  <w:rStyle w:val="InternetLink"/>
                  <w:rFonts w:ascii="Times New Roman;Times;Serif" w:hAnsi="Times New Roman;Times;Serif"/>
                  <w:b w:val="false"/>
                  <w:i w:val="false"/>
                  <w:caps w:val="false"/>
                  <w:smallCaps w:val="false"/>
                  <w:sz w:val="20"/>
                </w:rPr>
                <w:t>Consent of Qualified Person (TRS) - MARGIN - Marine Geoscience Innovation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5.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23-6.htm">
              <w:r>
                <w:rPr>
                  <w:rStyle w:val="InternetLink"/>
                  <w:rFonts w:ascii="Times New Roman;Times;Serif" w:hAnsi="Times New Roman;Times;Serif"/>
                  <w:b w:val="false"/>
                  <w:i w:val="false"/>
                  <w:caps w:val="false"/>
                  <w:smallCaps w:val="false"/>
                  <w:sz w:val="20"/>
                </w:rPr>
                <w:t>23.6</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6.htm">
              <w:r>
                <w:rPr>
                  <w:rStyle w:val="InternetLink"/>
                  <w:rFonts w:ascii="Times New Roman;Times;Serif" w:hAnsi="Times New Roman;Times;Serif"/>
                  <w:b w:val="false"/>
                  <w:i w:val="false"/>
                  <w:caps w:val="false"/>
                  <w:smallCaps w:val="false"/>
                  <w:sz w:val="20"/>
                </w:rPr>
                <w:t>Consent of Qualified Person (TRS) - APYS Subsea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6.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23-7.htm">
              <w:r>
                <w:rPr>
                  <w:rStyle w:val="InternetLink"/>
                  <w:rFonts w:ascii="Times New Roman;Times;Serif" w:hAnsi="Times New Roman;Times;Serif"/>
                  <w:b w:val="false"/>
                  <w:i w:val="false"/>
                  <w:caps w:val="false"/>
                  <w:smallCaps w:val="false"/>
                  <w:sz w:val="20"/>
                </w:rPr>
                <w:t>23.7</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7.htm">
              <w:r>
                <w:rPr>
                  <w:rStyle w:val="InternetLink"/>
                  <w:rFonts w:ascii="Times New Roman;Times;Serif" w:hAnsi="Times New Roman;Times;Serif"/>
                  <w:b w:val="false"/>
                  <w:i w:val="false"/>
                  <w:caps w:val="false"/>
                  <w:smallCaps w:val="false"/>
                  <w:sz w:val="20"/>
                </w:rPr>
                <w:t>Consent of Qualified Person (TRS) - Canadian Engineering Associates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7.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23-8.htm">
              <w:r>
                <w:rPr>
                  <w:rStyle w:val="InternetLink"/>
                  <w:rFonts w:ascii="Times New Roman;Times;Serif" w:hAnsi="Times New Roman;Times;Serif"/>
                  <w:b w:val="false"/>
                  <w:i w:val="false"/>
                  <w:caps w:val="false"/>
                  <w:smallCaps w:val="false"/>
                  <w:sz w:val="20"/>
                </w:rPr>
                <w:t>23.8</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8.htm">
              <w:r>
                <w:rPr>
                  <w:rStyle w:val="InternetLink"/>
                  <w:rFonts w:ascii="Times New Roman;Times;Serif" w:hAnsi="Times New Roman;Times;Serif"/>
                  <w:b w:val="false"/>
                  <w:i w:val="false"/>
                  <w:caps w:val="false"/>
                  <w:smallCaps w:val="false"/>
                  <w:sz w:val="20"/>
                </w:rPr>
                <w:t>Consent of Qualified Person (TRS) - Lanasera Pty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8.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23-9.htm">
              <w:r>
                <w:rPr>
                  <w:rStyle w:val="InternetLink"/>
                  <w:rFonts w:ascii="Times New Roman;Times;Serif" w:hAnsi="Times New Roman;Times;Serif"/>
                  <w:b w:val="false"/>
                  <w:i w:val="false"/>
                  <w:caps w:val="false"/>
                  <w:smallCaps w:val="false"/>
                  <w:sz w:val="20"/>
                </w:rPr>
                <w:t>23.9</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9.htm">
              <w:r>
                <w:rPr>
                  <w:rStyle w:val="InternetLink"/>
                  <w:rFonts w:ascii="Times New Roman;Times;Serif" w:hAnsi="Times New Roman;Times;Serif"/>
                  <w:b w:val="false"/>
                  <w:i w:val="false"/>
                  <w:caps w:val="false"/>
                  <w:smallCaps w:val="false"/>
                  <w:sz w:val="20"/>
                </w:rPr>
                <w:t>Consent of Qualified Person (TRS) - Anthony O’Sullivan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9.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left"/>
              <w:rPr/>
            </w:pPr>
            <w:hyperlink w:anchor="tm269884d1_ex23-10.htm">
              <w:r>
                <w:rPr>
                  <w:rStyle w:val="InternetLink"/>
                  <w:rFonts w:ascii="Times New Roman;Times;Serif" w:hAnsi="Times New Roman;Times;Serif"/>
                  <w:b w:val="false"/>
                  <w:i w:val="false"/>
                  <w:caps w:val="false"/>
                  <w:smallCaps w:val="false"/>
                  <w:sz w:val="20"/>
                </w:rPr>
                <w:t>23.10</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10.htm">
              <w:r>
                <w:rPr>
                  <w:rStyle w:val="InternetLink"/>
                  <w:rFonts w:ascii="Times New Roman;Times;Serif" w:hAnsi="Times New Roman;Times;Serif"/>
                  <w:b w:val="false"/>
                  <w:i w:val="false"/>
                  <w:caps w:val="false"/>
                  <w:smallCaps w:val="false"/>
                  <w:sz w:val="20"/>
                </w:rPr>
                <w:t>Consent of Qualified Person (TRS) - Rutger Bosland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10.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23-11.htm">
              <w:r>
                <w:rPr>
                  <w:rStyle w:val="InternetLink"/>
                  <w:rFonts w:ascii="Times New Roman;Times;Serif" w:hAnsi="Times New Roman;Times;Serif"/>
                  <w:b w:val="false"/>
                  <w:i w:val="false"/>
                  <w:caps w:val="false"/>
                  <w:smallCaps w:val="false"/>
                  <w:sz w:val="20"/>
                </w:rPr>
                <w:t>23.11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11.htm">
              <w:r>
                <w:rPr>
                  <w:rStyle w:val="InternetLink"/>
                  <w:rFonts w:ascii="Times New Roman;Times;Serif" w:hAnsi="Times New Roman;Times;Serif"/>
                  <w:b w:val="false"/>
                  <w:i w:val="false"/>
                  <w:caps w:val="false"/>
                  <w:smallCaps w:val="false"/>
                  <w:sz w:val="20"/>
                </w:rPr>
                <w:t>Consent of Qualified Person (TRS) - Dr. Michael Clarke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11.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23-12.htm">
              <w:r>
                <w:rPr>
                  <w:rStyle w:val="InternetLink"/>
                  <w:rFonts w:ascii="Times New Roman;Times;Serif" w:hAnsi="Times New Roman;Times;Serif"/>
                  <w:b w:val="false"/>
                  <w:i w:val="false"/>
                  <w:caps w:val="false"/>
                  <w:smallCaps w:val="false"/>
                  <w:sz w:val="20"/>
                </w:rPr>
                <w:t>23.12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12.htm">
              <w:r>
                <w:rPr>
                  <w:rStyle w:val="InternetLink"/>
                  <w:rFonts w:ascii="Times New Roman;Times;Serif" w:hAnsi="Times New Roman;Times;Serif"/>
                  <w:b w:val="false"/>
                  <w:i w:val="false"/>
                  <w:caps w:val="false"/>
                  <w:smallCaps w:val="false"/>
                  <w:sz w:val="20"/>
                </w:rPr>
                <w:t>Consent of Qualified Person (TRS) - Adam Price.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12.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23-13.htm">
              <w:r>
                <w:rPr>
                  <w:rStyle w:val="InternetLink"/>
                  <w:rFonts w:ascii="Times New Roman;Times;Serif" w:hAnsi="Times New Roman;Times;Serif"/>
                  <w:b w:val="false"/>
                  <w:i w:val="false"/>
                  <w:caps w:val="false"/>
                  <w:smallCaps w:val="false"/>
                  <w:sz w:val="20"/>
                </w:rPr>
                <w:t>23.13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13.htm">
              <w:r>
                <w:rPr>
                  <w:rStyle w:val="InternetLink"/>
                  <w:rFonts w:ascii="Times New Roman;Times;Serif" w:hAnsi="Times New Roman;Times;Serif"/>
                  <w:b w:val="false"/>
                  <w:i w:val="false"/>
                  <w:caps w:val="false"/>
                  <w:smallCaps w:val="false"/>
                  <w:sz w:val="20"/>
                </w:rPr>
                <w:t>Consent of Qualified Person (IA) - AMC Consultants Pty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13.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23-14.htm">
              <w:r>
                <w:rPr>
                  <w:rStyle w:val="InternetLink"/>
                  <w:rFonts w:ascii="Times New Roman;Times;Serif" w:hAnsi="Times New Roman;Times;Serif"/>
                  <w:b w:val="false"/>
                  <w:i w:val="false"/>
                  <w:caps w:val="false"/>
                  <w:smallCaps w:val="false"/>
                  <w:sz w:val="20"/>
                </w:rPr>
                <w:t>23.14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14.htm">
              <w:r>
                <w:rPr>
                  <w:rStyle w:val="InternetLink"/>
                  <w:rFonts w:ascii="Times New Roman;Times;Serif" w:hAnsi="Times New Roman;Times;Serif"/>
                  <w:b w:val="false"/>
                  <w:i w:val="false"/>
                  <w:caps w:val="false"/>
                  <w:smallCaps w:val="false"/>
                  <w:sz w:val="20"/>
                </w:rPr>
                <w:t>Consent of Qualified Person (IA) - MARGIN - Marine Geoscience Innovation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14.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hyperlink w:anchor="tm269884d1_ex23-15.htm">
              <w:r>
                <w:rPr>
                  <w:rStyle w:val="InternetLink"/>
                  <w:rFonts w:ascii="Times New Roman;Times;Serif" w:hAnsi="Times New Roman;Times;Serif"/>
                  <w:b w:val="false"/>
                  <w:i w:val="false"/>
                  <w:caps w:val="false"/>
                  <w:smallCaps w:val="false"/>
                  <w:sz w:val="20"/>
                </w:rPr>
                <w:t>23.15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6" w:type="dxa"/>
            <w:tcBorders/>
            <w:vAlign w:val="center"/>
          </w:tcPr>
          <w:p>
            <w:pPr>
              <w:pStyle w:val="TableContents"/>
              <w:bidi w:val="0"/>
              <w:spacing w:before="0" w:after="283"/>
              <w:jc w:val="left"/>
              <w:rPr/>
            </w:pPr>
            <w:hyperlink w:anchor="tm269884d1_ex23-15.htm">
              <w:r>
                <w:rPr>
                  <w:rStyle w:val="InternetLink"/>
                  <w:rFonts w:ascii="Times New Roman;Times;Serif" w:hAnsi="Times New Roman;Times;Serif"/>
                  <w:b w:val="false"/>
                  <w:i w:val="false"/>
                  <w:caps w:val="false"/>
                  <w:smallCaps w:val="false"/>
                  <w:sz w:val="20"/>
                </w:rPr>
                <w:t>Consent of Qualified Person (IA) - APYS Subsea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15.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170" w:type="dxa"/>
        <w:jc w:val="left"/>
        <w:tblInd w:w="0" w:type="dxa"/>
        <w:tblLayout w:type="fixed"/>
        <w:tblCellMar>
          <w:top w:w="0" w:type="dxa"/>
          <w:left w:w="0" w:type="dxa"/>
          <w:bottom w:w="28" w:type="dxa"/>
          <w:right w:w="0" w:type="dxa"/>
        </w:tblCellMar>
      </w:tblPr>
      <w:tblGrid>
        <w:gridCol w:w="725"/>
        <w:gridCol w:w="60"/>
        <w:gridCol w:w="1670"/>
        <w:gridCol w:w="60"/>
        <w:gridCol w:w="800"/>
        <w:gridCol w:w="60"/>
        <w:gridCol w:w="1445"/>
        <w:gridCol w:w="60"/>
        <w:gridCol w:w="965"/>
        <w:gridCol w:w="60"/>
        <w:gridCol w:w="1265"/>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 herein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Form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 Reg.</w:t>
              <w:br/>
              <w:t>Number</w:t>
            </w:r>
          </w:p>
        </w:tc>
      </w:tr>
    </w:tbl>
    <w:tbl>
      <w:tblPr>
        <w:tblW w:w="10205" w:type="dxa"/>
        <w:jc w:val="left"/>
        <w:tblInd w:w="0" w:type="dxa"/>
        <w:tblLayout w:type="fixed"/>
        <w:tblCellMar>
          <w:top w:w="0" w:type="dxa"/>
          <w:left w:w="0" w:type="dxa"/>
          <w:bottom w:w="0" w:type="dxa"/>
          <w:right w:w="0" w:type="dxa"/>
        </w:tblCellMar>
      </w:tblPr>
      <w:tblGrid>
        <w:gridCol w:w="579"/>
        <w:gridCol w:w="60"/>
        <w:gridCol w:w="8975"/>
        <w:gridCol w:w="60"/>
        <w:gridCol w:w="155"/>
        <w:gridCol w:w="60"/>
        <w:gridCol w:w="60"/>
        <w:gridCol w:w="60"/>
        <w:gridCol w:w="60"/>
        <w:gridCol w:w="60"/>
        <w:gridCol w:w="76"/>
      </w:tblGrid>
      <w:tr>
        <w:trPr/>
        <w:tc>
          <w:tcPr>
            <w:tcW w:w="579" w:type="dxa"/>
            <w:tcBorders/>
            <w:vAlign w:val="center"/>
          </w:tcPr>
          <w:p>
            <w:pPr>
              <w:pStyle w:val="TableContents"/>
              <w:bidi w:val="0"/>
              <w:spacing w:before="0" w:after="283"/>
              <w:jc w:val="left"/>
              <w:rPr/>
            </w:pPr>
            <w:hyperlink w:anchor="tm269884d1_ex23-16.htm">
              <w:r>
                <w:rPr>
                  <w:rStyle w:val="InternetLink"/>
                  <w:rFonts w:ascii="Times New Roman;Times;Serif" w:hAnsi="Times New Roman;Times;Serif"/>
                  <w:b w:val="false"/>
                  <w:i w:val="false"/>
                  <w:caps w:val="false"/>
                  <w:smallCaps w:val="false"/>
                  <w:sz w:val="20"/>
                </w:rPr>
                <w:t>23.16</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left"/>
              <w:rPr/>
            </w:pPr>
            <w:hyperlink w:anchor="tm269884d1_ex23-16.htm">
              <w:r>
                <w:rPr>
                  <w:rStyle w:val="InternetLink"/>
                  <w:rFonts w:ascii="Times New Roman;Times;Serif" w:hAnsi="Times New Roman;Times;Serif"/>
                  <w:b w:val="false"/>
                  <w:i w:val="false"/>
                  <w:caps w:val="false"/>
                  <w:smallCaps w:val="false"/>
                  <w:sz w:val="20"/>
                </w:rPr>
                <w:t>Consent of Qualified Person (IA) - Canadian Engineering Associates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16.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hyperlink w:anchor="tm269884d1_ex23-17.htm">
              <w:r>
                <w:rPr>
                  <w:rStyle w:val="InternetLink"/>
                  <w:rFonts w:ascii="Times New Roman;Times;Serif" w:hAnsi="Times New Roman;Times;Serif"/>
                  <w:b w:val="false"/>
                  <w:i w:val="false"/>
                  <w:caps w:val="false"/>
                  <w:smallCaps w:val="false"/>
                  <w:sz w:val="20"/>
                </w:rPr>
                <w:t>23.17</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left"/>
              <w:rPr/>
            </w:pPr>
            <w:hyperlink w:anchor="tm269884d1_ex23-17.htm">
              <w:r>
                <w:rPr>
                  <w:rStyle w:val="InternetLink"/>
                  <w:rFonts w:ascii="Times New Roman;Times;Serif" w:hAnsi="Times New Roman;Times;Serif"/>
                  <w:b w:val="false"/>
                  <w:i w:val="false"/>
                  <w:caps w:val="false"/>
                  <w:smallCaps w:val="false"/>
                  <w:sz w:val="20"/>
                </w:rPr>
                <w:t>Consent of Qualified Person (IA) - Lanasera Pty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17.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hyperlink w:anchor="tm269884d1_ex23-18.htm">
              <w:r>
                <w:rPr>
                  <w:rStyle w:val="InternetLink"/>
                  <w:rFonts w:ascii="Times New Roman;Times;Serif" w:hAnsi="Times New Roman;Times;Serif"/>
                  <w:b w:val="false"/>
                  <w:i w:val="false"/>
                  <w:caps w:val="false"/>
                  <w:smallCaps w:val="false"/>
                  <w:sz w:val="20"/>
                </w:rPr>
                <w:t>23.18</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left"/>
              <w:rPr/>
            </w:pPr>
            <w:hyperlink w:anchor="tm269884d1_ex23-18.htm">
              <w:r>
                <w:rPr>
                  <w:rStyle w:val="InternetLink"/>
                  <w:rFonts w:ascii="Times New Roman;Times;Serif" w:hAnsi="Times New Roman;Times;Serif"/>
                  <w:b w:val="false"/>
                  <w:i w:val="false"/>
                  <w:caps w:val="false"/>
                  <w:smallCaps w:val="false"/>
                  <w:sz w:val="20"/>
                </w:rPr>
                <w:t>Consent of Qualified Person (IA) - Anthony O’Sullivan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18.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hyperlink w:anchor="tm269884d1_ex23-19.htm">
              <w:r>
                <w:rPr>
                  <w:rStyle w:val="InternetLink"/>
                  <w:rFonts w:ascii="Times New Roman;Times;Serif" w:hAnsi="Times New Roman;Times;Serif"/>
                  <w:b w:val="false"/>
                  <w:i w:val="false"/>
                  <w:caps w:val="false"/>
                  <w:smallCaps w:val="false"/>
                  <w:sz w:val="20"/>
                </w:rPr>
                <w:t>23.19</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left"/>
              <w:rPr/>
            </w:pPr>
            <w:hyperlink w:anchor="tm269884d1_ex23-19.htm">
              <w:r>
                <w:rPr>
                  <w:rStyle w:val="InternetLink"/>
                  <w:rFonts w:ascii="Times New Roman;Times;Serif" w:hAnsi="Times New Roman;Times;Serif"/>
                  <w:b w:val="false"/>
                  <w:i w:val="false"/>
                  <w:caps w:val="false"/>
                  <w:smallCaps w:val="false"/>
                  <w:sz w:val="20"/>
                </w:rPr>
                <w:t>Consent of Qualified Person (IA) - Rutger Bosland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19.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hyperlink w:anchor="tm269884d1_ex23-20.htm">
              <w:r>
                <w:rPr>
                  <w:rStyle w:val="InternetLink"/>
                  <w:rFonts w:ascii="Times New Roman;Times;Serif" w:hAnsi="Times New Roman;Times;Serif"/>
                  <w:b w:val="false"/>
                  <w:i w:val="false"/>
                  <w:caps w:val="false"/>
                  <w:smallCaps w:val="false"/>
                  <w:sz w:val="20"/>
                </w:rPr>
                <w:t>23.20</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left"/>
              <w:rPr/>
            </w:pPr>
            <w:hyperlink w:anchor="tm269884d1_ex23-20.htm">
              <w:r>
                <w:rPr>
                  <w:rStyle w:val="InternetLink"/>
                  <w:rFonts w:ascii="Times New Roman;Times;Serif" w:hAnsi="Times New Roman;Times;Serif"/>
                  <w:b w:val="false"/>
                  <w:i w:val="false"/>
                  <w:caps w:val="false"/>
                  <w:smallCaps w:val="false"/>
                  <w:sz w:val="20"/>
                </w:rPr>
                <w:t>Consent of Qualified Person (IA) - Dr. Michael Clarke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20.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hyperlink w:anchor="tm269884d1_ex23-21.htm">
              <w:r>
                <w:rPr>
                  <w:rStyle w:val="InternetLink"/>
                  <w:rFonts w:ascii="Times New Roman;Times;Serif" w:hAnsi="Times New Roman;Times;Serif"/>
                  <w:b w:val="false"/>
                  <w:i w:val="false"/>
                  <w:caps w:val="false"/>
                  <w:smallCaps w:val="false"/>
                  <w:sz w:val="20"/>
                </w:rPr>
                <w:t>23.21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left"/>
              <w:rPr/>
            </w:pPr>
            <w:hyperlink w:anchor="tm269884d1_ex23-21.htm">
              <w:r>
                <w:rPr>
                  <w:rStyle w:val="InternetLink"/>
                  <w:rFonts w:ascii="Times New Roman;Times;Serif" w:hAnsi="Times New Roman;Times;Serif"/>
                  <w:b w:val="false"/>
                  <w:i w:val="false"/>
                  <w:caps w:val="false"/>
                  <w:smallCaps w:val="false"/>
                  <w:sz w:val="20"/>
                </w:rPr>
                <w:t>Consent of Qualified Person (IA) - Adam Price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23-21.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both"/>
              <w:rPr/>
            </w:pPr>
            <w:r>
              <w:rPr/>
              <w:t> </w:t>
            </w:r>
          </w:p>
        </w:tc>
      </w:tr>
      <w:tr>
        <w:trPr/>
        <w:tc>
          <w:tcPr>
            <w:tcW w:w="579" w:type="dxa"/>
            <w:tcBorders/>
            <w:vAlign w:val="center"/>
          </w:tcPr>
          <w:p>
            <w:pPr>
              <w:pStyle w:val="TableContents"/>
              <w:bidi w:val="0"/>
              <w:spacing w:before="0" w:after="283"/>
              <w:jc w:val="left"/>
              <w:rPr/>
            </w:pPr>
            <w:hyperlink w:anchor="s_001">
              <w:r>
                <w:rPr>
                  <w:rStyle w:val="InternetLink"/>
                  <w:rFonts w:ascii="Times New Roman;Times;Serif" w:hAnsi="Times New Roman;Times;Serif"/>
                  <w:b w:val="false"/>
                  <w:i w:val="false"/>
                  <w:caps w:val="false"/>
                  <w:smallCaps w:val="false"/>
                  <w:sz w:val="20"/>
                </w:rPr>
                <w:t>24.1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left"/>
              <w:rPr/>
            </w:pPr>
            <w:hyperlink w:anchor="s_001">
              <w:r>
                <w:rPr>
                  <w:rStyle w:val="InternetLink"/>
                  <w:rFonts w:ascii="Times New Roman;Times;Serif" w:hAnsi="Times New Roman;Times;Serif"/>
                  <w:b w:val="false"/>
                  <w:i w:val="false"/>
                  <w:caps w:val="false"/>
                  <w:smallCaps w:val="false"/>
                  <w:sz w:val="20"/>
                </w:rPr>
                <w:t>Power of attorney (included on the signature page)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s_001">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 of Eligibility on Form T-1 under the Trust Indenture Act of 1939, as amended, of the Trustee under the Senior Indenture</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 of Eligibility on Form T-1 under the Trust Indenture Act of 1939, as amended, of the Trustee under the Subordinated Indenture</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r>
        <w:trPr/>
        <w:tc>
          <w:tcPr>
            <w:tcW w:w="579" w:type="dxa"/>
            <w:tcBorders/>
            <w:vAlign w:val="center"/>
          </w:tcPr>
          <w:p>
            <w:pPr>
              <w:pStyle w:val="TableContents"/>
              <w:bidi w:val="0"/>
              <w:spacing w:before="0" w:after="283"/>
              <w:jc w:val="left"/>
              <w:rPr/>
            </w:pPr>
            <w:hyperlink w:anchor="tm269884d1_ex-filingfees.htm">
              <w:r>
                <w:rPr>
                  <w:rStyle w:val="InternetLink"/>
                  <w:rFonts w:ascii="Times New Roman;Times;Serif" w:hAnsi="Times New Roman;Times;Serif"/>
                  <w:b w:val="false"/>
                  <w:i w:val="false"/>
                  <w:caps w:val="false"/>
                  <w:smallCaps w:val="false"/>
                  <w:sz w:val="20"/>
                </w:rPr>
                <w:t>107</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5" w:type="dxa"/>
            <w:tcBorders/>
            <w:vAlign w:val="center"/>
          </w:tcPr>
          <w:p>
            <w:pPr>
              <w:pStyle w:val="TableContents"/>
              <w:bidi w:val="0"/>
              <w:spacing w:before="0" w:after="283"/>
              <w:jc w:val="left"/>
              <w:rPr/>
            </w:pPr>
            <w:hyperlink w:anchor="tm269884d1_ex-filingfees.htm">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pPr>
            <w:hyperlink w:anchor="tm269884d1_ex-filingfees.htm">
              <w:r>
                <w:rPr>
                  <w:rStyle w:val="InternetLink"/>
                  <w:rFonts w:ascii="Times New Roman;Times;Serif" w:hAnsi="Times New Roman;Times;Serif"/>
                  <w:b w:val="false"/>
                  <w:i w:val="false"/>
                  <w:caps w:val="false"/>
                  <w:smallCaps w:val="false"/>
                  <w:sz w:val="20"/>
                </w:rPr>
                <w:t>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be subsequently filed, if applicable, by an amendment to this registration statement or as part of a Current Report on Form 8-K.</w:t>
            </w:r>
          </w:p>
        </w:tc>
      </w:tr>
      <w:tr>
        <w:trPr/>
        <w:tc>
          <w:tcPr>
            <w:tcW w:w="238" w:type="dxa"/>
            <w:tcBorders/>
            <w:vAlign w:val="center"/>
          </w:tcPr>
          <w:p>
            <w:pPr>
              <w:pStyle w:val="TableContents"/>
              <w:bidi w:val="0"/>
              <w:spacing w:before="0" w:after="283"/>
              <w:jc w:val="left"/>
              <w:rPr/>
            </w:pPr>
            <w:r>
              <w:rPr/>
              <w:t> </w:t>
            </w:r>
          </w:p>
        </w:tc>
        <w:tc>
          <w:tcPr>
            <w:tcW w:w="9967" w:type="dxa"/>
            <w:tcBorders/>
            <w:vAlign w:val="center"/>
          </w:tcPr>
          <w:p>
            <w:pPr>
              <w:pStyle w:val="TableContents"/>
              <w:bidi w:val="0"/>
              <w:spacing w:before="0" w:after="283"/>
              <w:jc w:val="left"/>
              <w:rPr/>
            </w:pPr>
            <w:r>
              <w:rPr/>
              <w:t> </w:t>
            </w:r>
          </w:p>
        </w:tc>
      </w:tr>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be subsequently filed, if applicable, in accordance with Section 305(b)(2) of the Trust Indenture Act of 1939.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undersigned registrant hereby undertakes to file an application for the purpose of determining the eligibility of the trustee to act under subsection (a) of Section 310 of the Trust Indenture Act, or the Act, in accordance with the rules and regulations prescribed by the Commission under section 305(b)(2)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s_001"/>
      <w:bookmarkEnd w:id="25"/>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March 31, 2026.</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475"/>
        <w:gridCol w:w="2814"/>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pPr>
            <w:r>
              <w:rPr/>
              <w:t> </w:t>
            </w:r>
          </w:p>
        </w:tc>
        <w:tc>
          <w:tcPr>
            <w:tcW w:w="28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pPr>
            <w:r>
              <w:rPr/>
              <w:t> </w:t>
            </w:r>
          </w:p>
        </w:tc>
        <w:tc>
          <w:tcPr>
            <w:tcW w:w="28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 AND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dated indicated.</w:t>
      </w:r>
    </w:p>
    <w:p>
      <w:pPr>
        <w:pStyle w:val="TextBody"/>
        <w:bidi w:val="0"/>
        <w:spacing w:before="0" w:after="0"/>
        <w:ind w:left="0" w:right="0" w:hanging="0"/>
        <w:jc w:val="left"/>
        <w:rPr>
          <w:caps w:val="false"/>
          <w:smallCaps w:val="false"/>
        </w:rPr>
      </w:pPr>
      <w:r>
        <w:rPr>
          <w:caps w:val="false"/>
          <w:smallCaps w:val="false"/>
        </w:rPr>
        <w:t> </w:t>
      </w:r>
    </w:p>
    <w:tbl>
      <w:tblPr>
        <w:tblW w:w="7125" w:type="dxa"/>
        <w:jc w:val="left"/>
        <w:tblInd w:w="0" w:type="dxa"/>
        <w:tblLayout w:type="fixed"/>
        <w:tblCellMar>
          <w:top w:w="0" w:type="dxa"/>
          <w:left w:w="0" w:type="dxa"/>
          <w:bottom w:w="28" w:type="dxa"/>
          <w:right w:w="0" w:type="dxa"/>
        </w:tblCellMar>
      </w:tblPr>
      <w:tblGrid>
        <w:gridCol w:w="1940"/>
        <w:gridCol w:w="60"/>
        <w:gridCol w:w="3740"/>
        <w:gridCol w:w="60"/>
        <w:gridCol w:w="1325"/>
      </w:tblGrid>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7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Gerard Barron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Chairman</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Gerard Barron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Greig</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Greig</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Hall</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Hall</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Hess</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Hess</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Stephen Jurvetson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Jurvetson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Andrei Karkar</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Andrei Karkar</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Sheila Khama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Sheila Khama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Christian Madsbjerg</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Madsbjerg</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Brendan May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Brendan May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Alex Spiro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Spiro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9884d1_ex4-5.htm"/>
      <w:bookmarkStart w:id="27" w:name="kstm269884d1_ex45"/>
      <w:bookmarkEnd w:id="26"/>
      <w:bookmarkEnd w:id="27"/>
      <w:r>
        <w:rPr/>
        <w:t> </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TABLE(1)</w:t>
      </w:r>
    </w:p>
    <w:p>
      <w:pPr>
        <w:pStyle w:val="TextBody"/>
        <w:bidi w:val="0"/>
        <w:spacing w:before="0" w:after="0"/>
        <w:ind w:left="0" w:right="0" w:hanging="0"/>
        <w:jc w:val="center"/>
        <w:rPr>
          <w:caps w:val="false"/>
          <w:smallCaps w:val="false"/>
        </w:rPr>
      </w:pPr>
      <w:r>
        <w:rPr>
          <w:caps w:val="false"/>
          <w:smallCaps w:val="false"/>
        </w:rPr>
        <w:t> </w:t>
      </w:r>
    </w:p>
    <w:tbl>
      <w:tblPr>
        <w:tblW w:w="2890" w:type="dxa"/>
        <w:jc w:val="left"/>
        <w:tblInd w:w="0" w:type="dxa"/>
        <w:tblLayout w:type="fixed"/>
        <w:tblCellMar>
          <w:top w:w="0" w:type="dxa"/>
          <w:left w:w="0" w:type="dxa"/>
          <w:bottom w:w="28" w:type="dxa"/>
          <w:right w:w="0" w:type="dxa"/>
        </w:tblCellMar>
      </w:tblPr>
      <w:tblGrid>
        <w:gridCol w:w="1775"/>
        <w:gridCol w:w="60"/>
        <w:gridCol w:w="1055"/>
      </w:tblGrid>
      <w:tr>
        <w:trPr/>
        <w:tc>
          <w:tcPr>
            <w:tcW w:w="177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 Indenture Act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1939, as Amended</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center"/>
              <w:rPr>
                <w:b/>
                <w:sz w:val="20"/>
              </w:rPr>
            </w:pPr>
            <w:r>
              <w:rPr>
                <w:b/>
                <w:sz w:val="20"/>
              </w:rPr>
              <w:t>Section of</w:t>
              <w:br/>
              <w:t>Indenture</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310(a).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7.09</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310(b).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7.08</w:t>
            </w:r>
          </w:p>
        </w:tc>
      </w:tr>
      <w:tr>
        <w:trPr/>
        <w:tc>
          <w:tcPr>
            <w:tcW w:w="17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7.10</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310(c).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Inapplicable</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311(a).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7.13(a)</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311(b).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7.13(b)</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311(c).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Inapplicable</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312(a).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5.02(a)</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312(b).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5.02(b)</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312(c).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5.02(c)</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313(a).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5.04(a)</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313(b).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5.04(a)</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313(c).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5.04(a)</w:t>
            </w:r>
          </w:p>
        </w:tc>
      </w:tr>
      <w:tr>
        <w:trPr/>
        <w:tc>
          <w:tcPr>
            <w:tcW w:w="17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5.04(b)</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313(d).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5.04(b)</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314(a).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5.03</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314(b).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Inapplicable</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314(c).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13.06</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314(d).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Inapplicable</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314(e).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13.06</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314(f).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Inapplicable</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315(a).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7.01(a)</w:t>
            </w:r>
          </w:p>
        </w:tc>
      </w:tr>
      <w:tr>
        <w:trPr/>
        <w:tc>
          <w:tcPr>
            <w:tcW w:w="17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7.02</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315(b).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6.07</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315(c).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7.01</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315(d).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7.01(b)</w:t>
            </w:r>
          </w:p>
        </w:tc>
      </w:tr>
      <w:tr>
        <w:trPr/>
        <w:tc>
          <w:tcPr>
            <w:tcW w:w="17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7.01(c)</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315(e).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6.07</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316(a).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6.06</w:t>
            </w:r>
          </w:p>
        </w:tc>
      </w:tr>
      <w:tr>
        <w:trPr/>
        <w:tc>
          <w:tcPr>
            <w:tcW w:w="17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8.04</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316(b).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6.04</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316(c).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8.01</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317(a).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6.02</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317(b).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4.03</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 xml:space="preserve">318(a).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13.08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sz w:val="20"/>
              </w:rPr>
            </w:pPr>
            <w:r>
              <w:rPr>
                <w:sz w:val="20"/>
              </w:rPr>
              <w:t>(1)</w:t>
            </w:r>
          </w:p>
        </w:tc>
        <w:tc>
          <w:tcPr>
            <w:tcW w:w="9959" w:type="dxa"/>
            <w:tcBorders/>
            <w:vAlign w:val="center"/>
          </w:tcPr>
          <w:p>
            <w:pPr>
              <w:pStyle w:val="TableContents"/>
              <w:bidi w:val="0"/>
              <w:spacing w:before="0" w:after="283"/>
              <w:jc w:val="both"/>
              <w:rPr>
                <w:sz w:val="20"/>
              </w:rPr>
            </w:pPr>
            <w:r>
              <w:rPr>
                <w:sz w:val="20"/>
              </w:rPr>
              <w:t>This Cross-Reference Table does not constitute part of the Indenture and shall not have any bearing on the interpretation of any of its terms or provisions.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jc w:val="left"/>
              <w:rPr/>
            </w:pPr>
            <w:r>
              <w:rPr/>
              <w:t>ARTICLE I. DEFINITIONS</w:t>
            </w:r>
          </w:p>
        </w:tc>
        <w:tc>
          <w:tcPr>
            <w:tcW w:w="275" w:type="dxa"/>
            <w:tcBorders/>
            <w:vAlign w:val="center"/>
          </w:tcPr>
          <w:p>
            <w:pPr>
              <w:pStyle w:val="TableContents"/>
              <w:bidi w:val="0"/>
              <w:spacing w:before="0" w:after="283"/>
              <w:jc w:val="right"/>
              <w:rPr/>
            </w:pPr>
            <w:r>
              <w:rPr/>
              <w:t>1</w:t>
            </w:r>
          </w:p>
        </w:tc>
      </w:tr>
      <w:tr>
        <w:trPr/>
        <w:tc>
          <w:tcPr>
            <w:tcW w:w="9930" w:type="dxa"/>
            <w:tcBorders/>
            <w:vAlign w:val="center"/>
          </w:tcPr>
          <w:p>
            <w:pPr>
              <w:pStyle w:val="TableContents"/>
              <w:bidi w:val="0"/>
              <w:spacing w:before="0" w:after="283"/>
              <w:jc w:val="left"/>
              <w:rPr/>
            </w:pPr>
            <w:r>
              <w:rPr/>
              <w:t>SECTION 1.1       Definitions of Terms</w:t>
            </w:r>
          </w:p>
        </w:tc>
        <w:tc>
          <w:tcPr>
            <w:tcW w:w="275" w:type="dxa"/>
            <w:tcBorders/>
            <w:vAlign w:val="center"/>
          </w:tcPr>
          <w:p>
            <w:pPr>
              <w:pStyle w:val="TableContents"/>
              <w:bidi w:val="0"/>
              <w:spacing w:before="0" w:after="283"/>
              <w:jc w:val="right"/>
              <w:rPr/>
            </w:pPr>
            <w:r>
              <w:rPr/>
              <w:t>1</w:t>
            </w:r>
          </w:p>
        </w:tc>
      </w:tr>
      <w:tr>
        <w:trPr/>
        <w:tc>
          <w:tcPr>
            <w:tcW w:w="9930" w:type="dxa"/>
            <w:tcBorders/>
            <w:vAlign w:val="center"/>
          </w:tcPr>
          <w:p>
            <w:pPr>
              <w:pStyle w:val="TableContents"/>
              <w:bidi w:val="0"/>
              <w:spacing w:before="0" w:after="283"/>
              <w:jc w:val="left"/>
              <w:rPr/>
            </w:pPr>
            <w:r>
              <w:rPr/>
              <w:t>ARTICLE II. ISSUE, DESCRIPTION, TERMS, EXECUTION,  REGISTRATION AND EXCHANGE OF SECURITIES</w:t>
            </w:r>
          </w:p>
        </w:tc>
        <w:tc>
          <w:tcPr>
            <w:tcW w:w="275" w:type="dxa"/>
            <w:tcBorders/>
            <w:vAlign w:val="center"/>
          </w:tcPr>
          <w:p>
            <w:pPr>
              <w:pStyle w:val="TableContents"/>
              <w:bidi w:val="0"/>
              <w:spacing w:before="0" w:after="283"/>
              <w:jc w:val="right"/>
              <w:rPr/>
            </w:pPr>
            <w:r>
              <w:rPr/>
              <w:t>3</w:t>
            </w:r>
          </w:p>
        </w:tc>
      </w:tr>
      <w:tr>
        <w:trPr/>
        <w:tc>
          <w:tcPr>
            <w:tcW w:w="9930" w:type="dxa"/>
            <w:tcBorders/>
            <w:vAlign w:val="center"/>
          </w:tcPr>
          <w:p>
            <w:pPr>
              <w:pStyle w:val="TableContents"/>
              <w:bidi w:val="0"/>
              <w:spacing w:before="0" w:after="283"/>
              <w:jc w:val="left"/>
              <w:rPr/>
            </w:pPr>
            <w:r>
              <w:rPr/>
              <w:t>SECTION 2.1       Designation and Terms of Securities</w:t>
            </w:r>
          </w:p>
        </w:tc>
        <w:tc>
          <w:tcPr>
            <w:tcW w:w="275" w:type="dxa"/>
            <w:tcBorders/>
            <w:vAlign w:val="center"/>
          </w:tcPr>
          <w:p>
            <w:pPr>
              <w:pStyle w:val="TableContents"/>
              <w:bidi w:val="0"/>
              <w:spacing w:before="0" w:after="283"/>
              <w:jc w:val="right"/>
              <w:rPr/>
            </w:pPr>
            <w:r>
              <w:rPr/>
              <w:t>3</w:t>
            </w:r>
          </w:p>
        </w:tc>
      </w:tr>
      <w:tr>
        <w:trPr/>
        <w:tc>
          <w:tcPr>
            <w:tcW w:w="9930" w:type="dxa"/>
            <w:tcBorders/>
            <w:vAlign w:val="center"/>
          </w:tcPr>
          <w:p>
            <w:pPr>
              <w:pStyle w:val="TableContents"/>
              <w:bidi w:val="0"/>
              <w:spacing w:before="0" w:after="283"/>
              <w:jc w:val="left"/>
              <w:rPr/>
            </w:pPr>
            <w:r>
              <w:rPr/>
              <w:t>SECTION 2.2       Form of Securities and Trustee’s Certificate</w:t>
            </w:r>
          </w:p>
        </w:tc>
        <w:tc>
          <w:tcPr>
            <w:tcW w:w="275" w:type="dxa"/>
            <w:tcBorders/>
            <w:vAlign w:val="center"/>
          </w:tcPr>
          <w:p>
            <w:pPr>
              <w:pStyle w:val="TableContents"/>
              <w:bidi w:val="0"/>
              <w:spacing w:before="0" w:after="283"/>
              <w:jc w:val="right"/>
              <w:rPr/>
            </w:pPr>
            <w:r>
              <w:rPr/>
              <w:t>5</w:t>
            </w:r>
          </w:p>
        </w:tc>
      </w:tr>
      <w:tr>
        <w:trPr/>
        <w:tc>
          <w:tcPr>
            <w:tcW w:w="9930" w:type="dxa"/>
            <w:tcBorders/>
            <w:vAlign w:val="center"/>
          </w:tcPr>
          <w:p>
            <w:pPr>
              <w:pStyle w:val="TableContents"/>
              <w:bidi w:val="0"/>
              <w:spacing w:before="0" w:after="283"/>
              <w:jc w:val="left"/>
              <w:rPr/>
            </w:pPr>
            <w:r>
              <w:rPr/>
              <w:t>SECTION 2.3       Denominations: Provisions for Payment</w:t>
            </w:r>
          </w:p>
        </w:tc>
        <w:tc>
          <w:tcPr>
            <w:tcW w:w="275" w:type="dxa"/>
            <w:tcBorders/>
            <w:vAlign w:val="center"/>
          </w:tcPr>
          <w:p>
            <w:pPr>
              <w:pStyle w:val="TableContents"/>
              <w:bidi w:val="0"/>
              <w:spacing w:before="0" w:after="283"/>
              <w:jc w:val="right"/>
              <w:rPr/>
            </w:pPr>
            <w:r>
              <w:rPr/>
              <w:t>5</w:t>
            </w:r>
          </w:p>
        </w:tc>
      </w:tr>
      <w:tr>
        <w:trPr/>
        <w:tc>
          <w:tcPr>
            <w:tcW w:w="9930" w:type="dxa"/>
            <w:tcBorders/>
            <w:vAlign w:val="center"/>
          </w:tcPr>
          <w:p>
            <w:pPr>
              <w:pStyle w:val="TableContents"/>
              <w:bidi w:val="0"/>
              <w:spacing w:before="0" w:after="283"/>
              <w:jc w:val="left"/>
              <w:rPr/>
            </w:pPr>
            <w:r>
              <w:rPr/>
              <w:t>SECTION 2.4       Execution and Authentications</w:t>
            </w:r>
          </w:p>
        </w:tc>
        <w:tc>
          <w:tcPr>
            <w:tcW w:w="275" w:type="dxa"/>
            <w:tcBorders/>
            <w:vAlign w:val="center"/>
          </w:tcPr>
          <w:p>
            <w:pPr>
              <w:pStyle w:val="TableContents"/>
              <w:bidi w:val="0"/>
              <w:spacing w:before="0" w:after="283"/>
              <w:jc w:val="right"/>
              <w:rPr/>
            </w:pPr>
            <w:r>
              <w:rPr/>
              <w:t>6</w:t>
            </w:r>
          </w:p>
        </w:tc>
      </w:tr>
      <w:tr>
        <w:trPr/>
        <w:tc>
          <w:tcPr>
            <w:tcW w:w="9930" w:type="dxa"/>
            <w:tcBorders/>
            <w:vAlign w:val="center"/>
          </w:tcPr>
          <w:p>
            <w:pPr>
              <w:pStyle w:val="TableContents"/>
              <w:bidi w:val="0"/>
              <w:spacing w:before="0" w:after="283"/>
              <w:jc w:val="left"/>
              <w:rPr/>
            </w:pPr>
            <w:r>
              <w:rPr/>
              <w:t>SECTION 2.5       Registration of Transfer and Exchange</w:t>
            </w:r>
          </w:p>
        </w:tc>
        <w:tc>
          <w:tcPr>
            <w:tcW w:w="275" w:type="dxa"/>
            <w:tcBorders/>
            <w:vAlign w:val="center"/>
          </w:tcPr>
          <w:p>
            <w:pPr>
              <w:pStyle w:val="TableContents"/>
              <w:bidi w:val="0"/>
              <w:spacing w:before="0" w:after="283"/>
              <w:jc w:val="right"/>
              <w:rPr/>
            </w:pPr>
            <w:r>
              <w:rPr/>
              <w:t>6</w:t>
            </w:r>
          </w:p>
        </w:tc>
      </w:tr>
      <w:tr>
        <w:trPr/>
        <w:tc>
          <w:tcPr>
            <w:tcW w:w="9930" w:type="dxa"/>
            <w:tcBorders/>
            <w:vAlign w:val="center"/>
          </w:tcPr>
          <w:p>
            <w:pPr>
              <w:pStyle w:val="TableContents"/>
              <w:bidi w:val="0"/>
              <w:spacing w:before="0" w:after="283"/>
              <w:jc w:val="left"/>
              <w:rPr/>
            </w:pPr>
            <w:r>
              <w:rPr/>
              <w:t>SECTION 2.6       Temporary Securities</w:t>
            </w:r>
          </w:p>
        </w:tc>
        <w:tc>
          <w:tcPr>
            <w:tcW w:w="275" w:type="dxa"/>
            <w:tcBorders/>
            <w:vAlign w:val="center"/>
          </w:tcPr>
          <w:p>
            <w:pPr>
              <w:pStyle w:val="TableContents"/>
              <w:bidi w:val="0"/>
              <w:spacing w:before="0" w:after="283"/>
              <w:jc w:val="right"/>
              <w:rPr/>
            </w:pPr>
            <w:r>
              <w:rPr/>
              <w:t>7</w:t>
            </w:r>
          </w:p>
        </w:tc>
      </w:tr>
      <w:tr>
        <w:trPr/>
        <w:tc>
          <w:tcPr>
            <w:tcW w:w="9930" w:type="dxa"/>
            <w:tcBorders/>
            <w:vAlign w:val="center"/>
          </w:tcPr>
          <w:p>
            <w:pPr>
              <w:pStyle w:val="TableContents"/>
              <w:bidi w:val="0"/>
              <w:spacing w:before="0" w:after="283"/>
              <w:jc w:val="left"/>
              <w:rPr/>
            </w:pPr>
            <w:r>
              <w:rPr/>
              <w:t>SECTION 2.7       Mutilated, Destroyed, Lost or Stolen Securities</w:t>
            </w:r>
          </w:p>
        </w:tc>
        <w:tc>
          <w:tcPr>
            <w:tcW w:w="275" w:type="dxa"/>
            <w:tcBorders/>
            <w:vAlign w:val="center"/>
          </w:tcPr>
          <w:p>
            <w:pPr>
              <w:pStyle w:val="TableContents"/>
              <w:bidi w:val="0"/>
              <w:spacing w:before="0" w:after="283"/>
              <w:jc w:val="right"/>
              <w:rPr/>
            </w:pPr>
            <w:r>
              <w:rPr/>
              <w:t>7</w:t>
            </w:r>
          </w:p>
        </w:tc>
      </w:tr>
      <w:tr>
        <w:trPr/>
        <w:tc>
          <w:tcPr>
            <w:tcW w:w="9930" w:type="dxa"/>
            <w:tcBorders/>
            <w:vAlign w:val="center"/>
          </w:tcPr>
          <w:p>
            <w:pPr>
              <w:pStyle w:val="TableContents"/>
              <w:bidi w:val="0"/>
              <w:spacing w:before="0" w:after="283"/>
              <w:jc w:val="left"/>
              <w:rPr/>
            </w:pPr>
            <w:r>
              <w:rPr/>
              <w:t>SECTION 2.8       Cancellation</w:t>
            </w:r>
          </w:p>
        </w:tc>
        <w:tc>
          <w:tcPr>
            <w:tcW w:w="275" w:type="dxa"/>
            <w:tcBorders/>
            <w:vAlign w:val="center"/>
          </w:tcPr>
          <w:p>
            <w:pPr>
              <w:pStyle w:val="TableContents"/>
              <w:bidi w:val="0"/>
              <w:spacing w:before="0" w:after="283"/>
              <w:jc w:val="right"/>
              <w:rPr/>
            </w:pPr>
            <w:r>
              <w:rPr/>
              <w:t>8</w:t>
            </w:r>
          </w:p>
        </w:tc>
      </w:tr>
      <w:tr>
        <w:trPr/>
        <w:tc>
          <w:tcPr>
            <w:tcW w:w="9930" w:type="dxa"/>
            <w:tcBorders/>
            <w:vAlign w:val="center"/>
          </w:tcPr>
          <w:p>
            <w:pPr>
              <w:pStyle w:val="TableContents"/>
              <w:bidi w:val="0"/>
              <w:spacing w:before="0" w:after="283"/>
              <w:jc w:val="left"/>
              <w:rPr/>
            </w:pPr>
            <w:r>
              <w:rPr/>
              <w:t>SECTION 2.9       Benefits of Indenture</w:t>
            </w:r>
          </w:p>
        </w:tc>
        <w:tc>
          <w:tcPr>
            <w:tcW w:w="275" w:type="dxa"/>
            <w:tcBorders/>
            <w:vAlign w:val="center"/>
          </w:tcPr>
          <w:p>
            <w:pPr>
              <w:pStyle w:val="TableContents"/>
              <w:bidi w:val="0"/>
              <w:spacing w:before="0" w:after="283"/>
              <w:jc w:val="right"/>
              <w:rPr/>
            </w:pPr>
            <w:r>
              <w:rPr/>
              <w:t>8</w:t>
            </w:r>
          </w:p>
        </w:tc>
      </w:tr>
      <w:tr>
        <w:trPr/>
        <w:tc>
          <w:tcPr>
            <w:tcW w:w="9930" w:type="dxa"/>
            <w:tcBorders/>
            <w:vAlign w:val="center"/>
          </w:tcPr>
          <w:p>
            <w:pPr>
              <w:pStyle w:val="TableContents"/>
              <w:bidi w:val="0"/>
              <w:spacing w:before="0" w:after="283"/>
              <w:jc w:val="left"/>
              <w:rPr/>
            </w:pPr>
            <w:r>
              <w:rPr/>
              <w:t>SECTION 2.10     Authenticating Agent</w:t>
            </w:r>
          </w:p>
        </w:tc>
        <w:tc>
          <w:tcPr>
            <w:tcW w:w="275" w:type="dxa"/>
            <w:tcBorders/>
            <w:vAlign w:val="center"/>
          </w:tcPr>
          <w:p>
            <w:pPr>
              <w:pStyle w:val="TableContents"/>
              <w:bidi w:val="0"/>
              <w:spacing w:before="0" w:after="283"/>
              <w:jc w:val="right"/>
              <w:rPr/>
            </w:pPr>
            <w:r>
              <w:rPr/>
              <w:t>8</w:t>
            </w:r>
          </w:p>
        </w:tc>
      </w:tr>
      <w:tr>
        <w:trPr/>
        <w:tc>
          <w:tcPr>
            <w:tcW w:w="9930" w:type="dxa"/>
            <w:tcBorders/>
            <w:vAlign w:val="center"/>
          </w:tcPr>
          <w:p>
            <w:pPr>
              <w:pStyle w:val="TableContents"/>
              <w:bidi w:val="0"/>
              <w:spacing w:before="0" w:after="283"/>
              <w:jc w:val="left"/>
              <w:rPr/>
            </w:pPr>
            <w:r>
              <w:rPr/>
              <w:t>SECTION 2.11     Global Securities</w:t>
            </w:r>
          </w:p>
        </w:tc>
        <w:tc>
          <w:tcPr>
            <w:tcW w:w="275" w:type="dxa"/>
            <w:tcBorders/>
            <w:vAlign w:val="center"/>
          </w:tcPr>
          <w:p>
            <w:pPr>
              <w:pStyle w:val="TableContents"/>
              <w:bidi w:val="0"/>
              <w:spacing w:before="0" w:after="283"/>
              <w:jc w:val="right"/>
              <w:rPr/>
            </w:pPr>
            <w:r>
              <w:rPr/>
              <w:t>8</w:t>
            </w:r>
          </w:p>
        </w:tc>
      </w:tr>
      <w:tr>
        <w:trPr/>
        <w:tc>
          <w:tcPr>
            <w:tcW w:w="9930" w:type="dxa"/>
            <w:tcBorders/>
            <w:vAlign w:val="center"/>
          </w:tcPr>
          <w:p>
            <w:pPr>
              <w:pStyle w:val="TableContents"/>
              <w:bidi w:val="0"/>
              <w:spacing w:before="0" w:after="283"/>
              <w:jc w:val="left"/>
              <w:rPr/>
            </w:pPr>
            <w:r>
              <w:rPr/>
              <w:t>ARTICLE III. REDEMPTION OF SECURITIES AND SINKING FUND PROVISIONS</w:t>
            </w:r>
          </w:p>
        </w:tc>
        <w:tc>
          <w:tcPr>
            <w:tcW w:w="275" w:type="dxa"/>
            <w:tcBorders/>
            <w:vAlign w:val="center"/>
          </w:tcPr>
          <w:p>
            <w:pPr>
              <w:pStyle w:val="TableContents"/>
              <w:bidi w:val="0"/>
              <w:spacing w:before="0" w:after="283"/>
              <w:jc w:val="right"/>
              <w:rPr/>
            </w:pPr>
            <w:r>
              <w:rPr/>
              <w:t>9</w:t>
            </w:r>
          </w:p>
        </w:tc>
      </w:tr>
      <w:tr>
        <w:trPr/>
        <w:tc>
          <w:tcPr>
            <w:tcW w:w="9930" w:type="dxa"/>
            <w:tcBorders/>
            <w:vAlign w:val="center"/>
          </w:tcPr>
          <w:p>
            <w:pPr>
              <w:pStyle w:val="TableContents"/>
              <w:bidi w:val="0"/>
              <w:spacing w:before="0" w:after="283"/>
              <w:jc w:val="left"/>
              <w:rPr/>
            </w:pPr>
            <w:r>
              <w:rPr/>
              <w:t>SECTION 3.1       Redemption</w:t>
            </w:r>
          </w:p>
        </w:tc>
        <w:tc>
          <w:tcPr>
            <w:tcW w:w="275" w:type="dxa"/>
            <w:tcBorders/>
            <w:vAlign w:val="center"/>
          </w:tcPr>
          <w:p>
            <w:pPr>
              <w:pStyle w:val="TableContents"/>
              <w:bidi w:val="0"/>
              <w:spacing w:before="0" w:after="283"/>
              <w:jc w:val="right"/>
              <w:rPr/>
            </w:pPr>
            <w:r>
              <w:rPr/>
              <w:t>9</w:t>
            </w:r>
          </w:p>
        </w:tc>
      </w:tr>
      <w:tr>
        <w:trPr/>
        <w:tc>
          <w:tcPr>
            <w:tcW w:w="9930" w:type="dxa"/>
            <w:tcBorders/>
            <w:vAlign w:val="center"/>
          </w:tcPr>
          <w:p>
            <w:pPr>
              <w:pStyle w:val="TableContents"/>
              <w:bidi w:val="0"/>
              <w:spacing w:before="0" w:after="283"/>
              <w:jc w:val="left"/>
              <w:rPr/>
            </w:pPr>
            <w:r>
              <w:rPr/>
              <w:t>SECTION 3.2       Notice of Redemption</w:t>
            </w:r>
          </w:p>
        </w:tc>
        <w:tc>
          <w:tcPr>
            <w:tcW w:w="275" w:type="dxa"/>
            <w:tcBorders/>
            <w:vAlign w:val="center"/>
          </w:tcPr>
          <w:p>
            <w:pPr>
              <w:pStyle w:val="TableContents"/>
              <w:bidi w:val="0"/>
              <w:spacing w:before="0" w:after="283"/>
              <w:jc w:val="right"/>
              <w:rPr/>
            </w:pPr>
            <w:r>
              <w:rPr/>
              <w:t>9</w:t>
            </w:r>
          </w:p>
        </w:tc>
      </w:tr>
      <w:tr>
        <w:trPr/>
        <w:tc>
          <w:tcPr>
            <w:tcW w:w="9930" w:type="dxa"/>
            <w:tcBorders/>
            <w:vAlign w:val="center"/>
          </w:tcPr>
          <w:p>
            <w:pPr>
              <w:pStyle w:val="TableContents"/>
              <w:bidi w:val="0"/>
              <w:spacing w:before="0" w:after="283"/>
              <w:jc w:val="left"/>
              <w:rPr/>
            </w:pPr>
            <w:r>
              <w:rPr/>
              <w:t>SECTION 3.3       Payment Upon Redemption</w:t>
            </w:r>
          </w:p>
        </w:tc>
        <w:tc>
          <w:tcPr>
            <w:tcW w:w="275" w:type="dxa"/>
            <w:tcBorders/>
            <w:vAlign w:val="center"/>
          </w:tcPr>
          <w:p>
            <w:pPr>
              <w:pStyle w:val="TableContents"/>
              <w:bidi w:val="0"/>
              <w:spacing w:before="0" w:after="283"/>
              <w:jc w:val="right"/>
              <w:rPr/>
            </w:pPr>
            <w:r>
              <w:rPr/>
              <w:t>10</w:t>
            </w:r>
          </w:p>
        </w:tc>
      </w:tr>
      <w:tr>
        <w:trPr/>
        <w:tc>
          <w:tcPr>
            <w:tcW w:w="9930" w:type="dxa"/>
            <w:tcBorders/>
            <w:vAlign w:val="center"/>
          </w:tcPr>
          <w:p>
            <w:pPr>
              <w:pStyle w:val="TableContents"/>
              <w:bidi w:val="0"/>
              <w:spacing w:before="0" w:after="283"/>
              <w:jc w:val="left"/>
              <w:rPr/>
            </w:pPr>
            <w:r>
              <w:rPr/>
              <w:t>SECTION 3.4       Sinking Fund</w:t>
            </w:r>
          </w:p>
        </w:tc>
        <w:tc>
          <w:tcPr>
            <w:tcW w:w="275" w:type="dxa"/>
            <w:tcBorders/>
            <w:vAlign w:val="center"/>
          </w:tcPr>
          <w:p>
            <w:pPr>
              <w:pStyle w:val="TableContents"/>
              <w:bidi w:val="0"/>
              <w:spacing w:before="0" w:after="283"/>
              <w:jc w:val="right"/>
              <w:rPr/>
            </w:pPr>
            <w:r>
              <w:rPr/>
              <w:t>10</w:t>
            </w:r>
          </w:p>
        </w:tc>
      </w:tr>
      <w:tr>
        <w:trPr/>
        <w:tc>
          <w:tcPr>
            <w:tcW w:w="9930" w:type="dxa"/>
            <w:tcBorders/>
            <w:vAlign w:val="center"/>
          </w:tcPr>
          <w:p>
            <w:pPr>
              <w:pStyle w:val="TableContents"/>
              <w:bidi w:val="0"/>
              <w:spacing w:before="0" w:after="283"/>
              <w:jc w:val="left"/>
              <w:rPr/>
            </w:pPr>
            <w:r>
              <w:rPr/>
              <w:t>SECTION 3.5       Satisfaction of Sinking Fund Payments with Securities</w:t>
            </w:r>
          </w:p>
        </w:tc>
        <w:tc>
          <w:tcPr>
            <w:tcW w:w="275" w:type="dxa"/>
            <w:tcBorders/>
            <w:vAlign w:val="center"/>
          </w:tcPr>
          <w:p>
            <w:pPr>
              <w:pStyle w:val="TableContents"/>
              <w:bidi w:val="0"/>
              <w:spacing w:before="0" w:after="283"/>
              <w:jc w:val="right"/>
              <w:rPr/>
            </w:pPr>
            <w:r>
              <w:rPr/>
              <w:t>10</w:t>
            </w:r>
          </w:p>
        </w:tc>
      </w:tr>
      <w:tr>
        <w:trPr/>
        <w:tc>
          <w:tcPr>
            <w:tcW w:w="9930" w:type="dxa"/>
            <w:tcBorders/>
            <w:vAlign w:val="center"/>
          </w:tcPr>
          <w:p>
            <w:pPr>
              <w:pStyle w:val="TableContents"/>
              <w:bidi w:val="0"/>
              <w:spacing w:before="0" w:after="283"/>
              <w:jc w:val="left"/>
              <w:rPr/>
            </w:pPr>
            <w:r>
              <w:rPr/>
              <w:t>SECTION 3.6       Redemption of Securities for Sinking Fund</w:t>
            </w:r>
          </w:p>
        </w:tc>
        <w:tc>
          <w:tcPr>
            <w:tcW w:w="275" w:type="dxa"/>
            <w:tcBorders/>
            <w:vAlign w:val="center"/>
          </w:tcPr>
          <w:p>
            <w:pPr>
              <w:pStyle w:val="TableContents"/>
              <w:bidi w:val="0"/>
              <w:spacing w:before="0" w:after="283"/>
              <w:jc w:val="right"/>
              <w:rPr/>
            </w:pPr>
            <w:r>
              <w:rPr/>
              <w:t>10</w:t>
            </w:r>
          </w:p>
        </w:tc>
      </w:tr>
      <w:tr>
        <w:trPr/>
        <w:tc>
          <w:tcPr>
            <w:tcW w:w="9930" w:type="dxa"/>
            <w:tcBorders/>
            <w:vAlign w:val="center"/>
          </w:tcPr>
          <w:p>
            <w:pPr>
              <w:pStyle w:val="TableContents"/>
              <w:bidi w:val="0"/>
              <w:spacing w:before="0" w:after="283"/>
              <w:jc w:val="left"/>
              <w:rPr/>
            </w:pPr>
            <w:r>
              <w:rPr/>
              <w:t>ARTICLE IV. COVENANTS</w:t>
            </w:r>
          </w:p>
        </w:tc>
        <w:tc>
          <w:tcPr>
            <w:tcW w:w="275" w:type="dxa"/>
            <w:tcBorders/>
            <w:vAlign w:val="center"/>
          </w:tcPr>
          <w:p>
            <w:pPr>
              <w:pStyle w:val="TableContents"/>
              <w:bidi w:val="0"/>
              <w:spacing w:before="0" w:after="283"/>
              <w:jc w:val="right"/>
              <w:rPr/>
            </w:pPr>
            <w:r>
              <w:rPr/>
              <w:t>11</w:t>
            </w:r>
          </w:p>
        </w:tc>
      </w:tr>
      <w:tr>
        <w:trPr/>
        <w:tc>
          <w:tcPr>
            <w:tcW w:w="9930" w:type="dxa"/>
            <w:tcBorders/>
            <w:vAlign w:val="center"/>
          </w:tcPr>
          <w:p>
            <w:pPr>
              <w:pStyle w:val="TableContents"/>
              <w:bidi w:val="0"/>
              <w:spacing w:before="0" w:after="283"/>
              <w:jc w:val="left"/>
              <w:rPr/>
            </w:pPr>
            <w:r>
              <w:rPr/>
              <w:t>SECTION 4.1       Payment of Principal, Premium and Interest</w:t>
            </w:r>
          </w:p>
        </w:tc>
        <w:tc>
          <w:tcPr>
            <w:tcW w:w="275" w:type="dxa"/>
            <w:tcBorders/>
            <w:vAlign w:val="center"/>
          </w:tcPr>
          <w:p>
            <w:pPr>
              <w:pStyle w:val="TableContents"/>
              <w:bidi w:val="0"/>
              <w:spacing w:before="0" w:after="283"/>
              <w:jc w:val="right"/>
              <w:rPr/>
            </w:pPr>
            <w:r>
              <w:rPr/>
              <w:t>11</w:t>
            </w:r>
          </w:p>
        </w:tc>
      </w:tr>
      <w:tr>
        <w:trPr/>
        <w:tc>
          <w:tcPr>
            <w:tcW w:w="9930" w:type="dxa"/>
            <w:tcBorders/>
            <w:vAlign w:val="center"/>
          </w:tcPr>
          <w:p>
            <w:pPr>
              <w:pStyle w:val="TableContents"/>
              <w:bidi w:val="0"/>
              <w:spacing w:before="0" w:after="283"/>
              <w:jc w:val="left"/>
              <w:rPr/>
            </w:pPr>
            <w:r>
              <w:rPr/>
              <w:t>SECTION 4.2       Maintenance of Office or Agency</w:t>
            </w:r>
          </w:p>
        </w:tc>
        <w:tc>
          <w:tcPr>
            <w:tcW w:w="275" w:type="dxa"/>
            <w:tcBorders/>
            <w:vAlign w:val="center"/>
          </w:tcPr>
          <w:p>
            <w:pPr>
              <w:pStyle w:val="TableContents"/>
              <w:bidi w:val="0"/>
              <w:spacing w:before="0" w:after="283"/>
              <w:jc w:val="right"/>
              <w:rPr/>
            </w:pPr>
            <w:r>
              <w:rPr/>
              <w:t>11</w:t>
            </w:r>
          </w:p>
        </w:tc>
      </w:tr>
      <w:tr>
        <w:trPr/>
        <w:tc>
          <w:tcPr>
            <w:tcW w:w="9930" w:type="dxa"/>
            <w:tcBorders/>
            <w:vAlign w:val="center"/>
          </w:tcPr>
          <w:p>
            <w:pPr>
              <w:pStyle w:val="TableContents"/>
              <w:bidi w:val="0"/>
              <w:spacing w:before="0" w:after="283"/>
              <w:jc w:val="left"/>
              <w:rPr/>
            </w:pPr>
            <w:r>
              <w:rPr/>
              <w:t>SECTION 4.3       Paying Agents</w:t>
            </w:r>
          </w:p>
        </w:tc>
        <w:tc>
          <w:tcPr>
            <w:tcW w:w="275" w:type="dxa"/>
            <w:tcBorders/>
            <w:vAlign w:val="center"/>
          </w:tcPr>
          <w:p>
            <w:pPr>
              <w:pStyle w:val="TableContents"/>
              <w:bidi w:val="0"/>
              <w:spacing w:before="0" w:after="283"/>
              <w:jc w:val="right"/>
              <w:rPr/>
            </w:pPr>
            <w:r>
              <w:rPr/>
              <w:t>11</w:t>
            </w:r>
          </w:p>
        </w:tc>
      </w:tr>
      <w:tr>
        <w:trPr/>
        <w:tc>
          <w:tcPr>
            <w:tcW w:w="9930" w:type="dxa"/>
            <w:tcBorders/>
            <w:vAlign w:val="center"/>
          </w:tcPr>
          <w:p>
            <w:pPr>
              <w:pStyle w:val="TableContents"/>
              <w:bidi w:val="0"/>
              <w:spacing w:before="0" w:after="283"/>
              <w:jc w:val="left"/>
              <w:rPr/>
            </w:pPr>
            <w:r>
              <w:rPr/>
              <w:t>SECTION 4.4       Appointment to Fill Vacancy in Office of Trustee</w:t>
            </w:r>
          </w:p>
        </w:tc>
        <w:tc>
          <w:tcPr>
            <w:tcW w:w="275" w:type="dxa"/>
            <w:tcBorders/>
            <w:vAlign w:val="center"/>
          </w:tcPr>
          <w:p>
            <w:pPr>
              <w:pStyle w:val="TableContents"/>
              <w:bidi w:val="0"/>
              <w:spacing w:before="0" w:after="283"/>
              <w:jc w:val="right"/>
              <w:rPr/>
            </w:pPr>
            <w:r>
              <w:rPr/>
              <w:t>12</w:t>
            </w:r>
          </w:p>
        </w:tc>
      </w:tr>
      <w:tr>
        <w:trPr/>
        <w:tc>
          <w:tcPr>
            <w:tcW w:w="9930" w:type="dxa"/>
            <w:tcBorders/>
            <w:vAlign w:val="center"/>
          </w:tcPr>
          <w:p>
            <w:pPr>
              <w:pStyle w:val="TableContents"/>
              <w:bidi w:val="0"/>
              <w:spacing w:before="0" w:after="283"/>
              <w:jc w:val="left"/>
              <w:rPr/>
            </w:pPr>
            <w:r>
              <w:rPr/>
              <w:t>SECTION 4.5       Compliance with Consolidation Provisions</w:t>
            </w:r>
          </w:p>
        </w:tc>
        <w:tc>
          <w:tcPr>
            <w:tcW w:w="275" w:type="dxa"/>
            <w:tcBorders/>
            <w:vAlign w:val="center"/>
          </w:tcPr>
          <w:p>
            <w:pPr>
              <w:pStyle w:val="TableContents"/>
              <w:bidi w:val="0"/>
              <w:spacing w:before="0" w:after="283"/>
              <w:jc w:val="right"/>
              <w:rPr/>
            </w:pPr>
            <w:r>
              <w:rPr/>
              <w:t>12</w:t>
            </w:r>
          </w:p>
        </w:tc>
      </w:tr>
      <w:tr>
        <w:trPr/>
        <w:tc>
          <w:tcPr>
            <w:tcW w:w="9930" w:type="dxa"/>
            <w:tcBorders/>
            <w:vAlign w:val="center"/>
          </w:tcPr>
          <w:p>
            <w:pPr>
              <w:pStyle w:val="TableContents"/>
              <w:bidi w:val="0"/>
              <w:spacing w:before="0" w:after="283"/>
              <w:jc w:val="left"/>
              <w:rPr/>
            </w:pPr>
            <w:r>
              <w:rPr/>
              <w:t>ARTICLE V. SECURITYHOLDERS’ LISTS AND REPORTS BY THE COMPANY AND THE TRUSTEE</w:t>
            </w:r>
          </w:p>
        </w:tc>
        <w:tc>
          <w:tcPr>
            <w:tcW w:w="275" w:type="dxa"/>
            <w:tcBorders/>
            <w:vAlign w:val="center"/>
          </w:tcPr>
          <w:p>
            <w:pPr>
              <w:pStyle w:val="TableContents"/>
              <w:bidi w:val="0"/>
              <w:spacing w:before="0" w:after="283"/>
              <w:jc w:val="right"/>
              <w:rPr/>
            </w:pPr>
            <w:r>
              <w:rPr/>
              <w:t>12</w:t>
            </w:r>
          </w:p>
        </w:tc>
      </w:tr>
      <w:tr>
        <w:trPr/>
        <w:tc>
          <w:tcPr>
            <w:tcW w:w="9930" w:type="dxa"/>
            <w:tcBorders/>
            <w:vAlign w:val="center"/>
          </w:tcPr>
          <w:p>
            <w:pPr>
              <w:pStyle w:val="TableContents"/>
              <w:bidi w:val="0"/>
              <w:spacing w:before="0" w:after="283"/>
              <w:jc w:val="left"/>
              <w:rPr/>
            </w:pPr>
            <w:r>
              <w:rPr/>
              <w:t>SECTION 5.1       Company to Furnish Trustee Names and Addresses of Securityholders</w:t>
            </w:r>
          </w:p>
        </w:tc>
        <w:tc>
          <w:tcPr>
            <w:tcW w:w="275" w:type="dxa"/>
            <w:tcBorders/>
            <w:vAlign w:val="center"/>
          </w:tcPr>
          <w:p>
            <w:pPr>
              <w:pStyle w:val="TableContents"/>
              <w:bidi w:val="0"/>
              <w:spacing w:before="0" w:after="283"/>
              <w:jc w:val="right"/>
              <w:rPr/>
            </w:pPr>
            <w:r>
              <w:rPr/>
              <w:t>12</w:t>
            </w:r>
          </w:p>
        </w:tc>
      </w:tr>
      <w:tr>
        <w:trPr/>
        <w:tc>
          <w:tcPr>
            <w:tcW w:w="9930" w:type="dxa"/>
            <w:tcBorders/>
            <w:vAlign w:val="center"/>
          </w:tcPr>
          <w:p>
            <w:pPr>
              <w:pStyle w:val="TableContents"/>
              <w:bidi w:val="0"/>
              <w:spacing w:before="0" w:after="283"/>
              <w:jc w:val="left"/>
              <w:rPr/>
            </w:pPr>
            <w:r>
              <w:rPr/>
              <w:t>SECTION 5.2       Preservation of Information; Communications with Securityholders</w:t>
            </w:r>
          </w:p>
        </w:tc>
        <w:tc>
          <w:tcPr>
            <w:tcW w:w="275" w:type="dxa"/>
            <w:tcBorders/>
            <w:vAlign w:val="center"/>
          </w:tcPr>
          <w:p>
            <w:pPr>
              <w:pStyle w:val="TableContents"/>
              <w:bidi w:val="0"/>
              <w:spacing w:before="0" w:after="283"/>
              <w:jc w:val="right"/>
              <w:rPr/>
            </w:pPr>
            <w:r>
              <w:rPr/>
              <w:t>12</w:t>
            </w:r>
          </w:p>
        </w:tc>
      </w:tr>
      <w:tr>
        <w:trPr/>
        <w:tc>
          <w:tcPr>
            <w:tcW w:w="9930" w:type="dxa"/>
            <w:tcBorders/>
            <w:vAlign w:val="center"/>
          </w:tcPr>
          <w:p>
            <w:pPr>
              <w:pStyle w:val="TableContents"/>
              <w:bidi w:val="0"/>
              <w:spacing w:before="0" w:after="283"/>
              <w:jc w:val="left"/>
              <w:rPr/>
            </w:pPr>
            <w:r>
              <w:rPr/>
              <w:t>SECTION 5.3       Reports by the Company</w:t>
            </w:r>
          </w:p>
        </w:tc>
        <w:tc>
          <w:tcPr>
            <w:tcW w:w="275" w:type="dxa"/>
            <w:tcBorders/>
            <w:vAlign w:val="center"/>
          </w:tcPr>
          <w:p>
            <w:pPr>
              <w:pStyle w:val="TableContents"/>
              <w:bidi w:val="0"/>
              <w:spacing w:before="0" w:after="283"/>
              <w:jc w:val="right"/>
              <w:rPr/>
            </w:pPr>
            <w:r>
              <w:rPr/>
              <w:t>12</w:t>
            </w:r>
          </w:p>
        </w:tc>
      </w:tr>
      <w:tr>
        <w:trPr/>
        <w:tc>
          <w:tcPr>
            <w:tcW w:w="9930" w:type="dxa"/>
            <w:tcBorders/>
            <w:vAlign w:val="center"/>
          </w:tcPr>
          <w:p>
            <w:pPr>
              <w:pStyle w:val="TableContents"/>
              <w:bidi w:val="0"/>
              <w:spacing w:before="0" w:after="283"/>
              <w:jc w:val="left"/>
              <w:rPr/>
            </w:pPr>
            <w:r>
              <w:rPr/>
              <w:t>SECTION 5.4       Reports by the Trustee</w:t>
            </w:r>
          </w:p>
        </w:tc>
        <w:tc>
          <w:tcPr>
            <w:tcW w:w="275" w:type="dxa"/>
            <w:tcBorders/>
            <w:vAlign w:val="center"/>
          </w:tcPr>
          <w:p>
            <w:pPr>
              <w:pStyle w:val="TableContents"/>
              <w:bidi w:val="0"/>
              <w:spacing w:before="0" w:after="283"/>
              <w:jc w:val="right"/>
              <w:rPr/>
            </w:pPr>
            <w:r>
              <w:rPr/>
              <w:t>13</w:t>
            </w:r>
          </w:p>
        </w:tc>
      </w:tr>
      <w:tr>
        <w:trPr/>
        <w:tc>
          <w:tcPr>
            <w:tcW w:w="9930" w:type="dxa"/>
            <w:tcBorders/>
            <w:vAlign w:val="center"/>
          </w:tcPr>
          <w:p>
            <w:pPr>
              <w:pStyle w:val="TableContents"/>
              <w:bidi w:val="0"/>
              <w:spacing w:before="0" w:after="283"/>
              <w:jc w:val="left"/>
              <w:rPr/>
            </w:pPr>
            <w:r>
              <w:rPr/>
              <w:t>ARTICLE VI. REMEDIES OF THE TRUSTEE AND SECURITYHOLDERS ON EVENT OF DEFAULT</w:t>
            </w:r>
          </w:p>
        </w:tc>
        <w:tc>
          <w:tcPr>
            <w:tcW w:w="275" w:type="dxa"/>
            <w:tcBorders/>
            <w:vAlign w:val="center"/>
          </w:tcPr>
          <w:p>
            <w:pPr>
              <w:pStyle w:val="TableContents"/>
              <w:bidi w:val="0"/>
              <w:spacing w:before="0" w:after="283"/>
              <w:jc w:val="right"/>
              <w:rPr/>
            </w:pPr>
            <w:r>
              <w:rPr/>
              <w:t>13</w:t>
            </w:r>
          </w:p>
        </w:tc>
      </w:tr>
      <w:tr>
        <w:trPr/>
        <w:tc>
          <w:tcPr>
            <w:tcW w:w="9930" w:type="dxa"/>
            <w:tcBorders/>
            <w:vAlign w:val="center"/>
          </w:tcPr>
          <w:p>
            <w:pPr>
              <w:pStyle w:val="TableContents"/>
              <w:bidi w:val="0"/>
              <w:spacing w:before="0" w:after="283"/>
              <w:jc w:val="left"/>
              <w:rPr/>
            </w:pPr>
            <w:r>
              <w:rPr/>
              <w:t>SECTION 6.1       Events of Default</w:t>
            </w:r>
          </w:p>
        </w:tc>
        <w:tc>
          <w:tcPr>
            <w:tcW w:w="275" w:type="dxa"/>
            <w:tcBorders/>
            <w:vAlign w:val="center"/>
          </w:tcPr>
          <w:p>
            <w:pPr>
              <w:pStyle w:val="TableContents"/>
              <w:bidi w:val="0"/>
              <w:spacing w:before="0" w:after="283"/>
              <w:jc w:val="right"/>
              <w:rPr/>
            </w:pPr>
            <w:r>
              <w:rPr/>
              <w:t>13</w:t>
            </w:r>
          </w:p>
        </w:tc>
      </w:tr>
      <w:tr>
        <w:trPr/>
        <w:tc>
          <w:tcPr>
            <w:tcW w:w="9930" w:type="dxa"/>
            <w:tcBorders/>
            <w:vAlign w:val="center"/>
          </w:tcPr>
          <w:p>
            <w:pPr>
              <w:pStyle w:val="TableContents"/>
              <w:bidi w:val="0"/>
              <w:spacing w:before="0" w:after="283"/>
              <w:jc w:val="left"/>
              <w:rPr/>
            </w:pPr>
            <w:r>
              <w:rPr/>
              <w:t>SECTION 6.2       Collection of Indebtedness and Suits for Enforcement by Trustee</w:t>
            </w:r>
          </w:p>
        </w:tc>
        <w:tc>
          <w:tcPr>
            <w:tcW w:w="275" w:type="dxa"/>
            <w:tcBorders/>
            <w:vAlign w:val="center"/>
          </w:tcPr>
          <w:p>
            <w:pPr>
              <w:pStyle w:val="TableContents"/>
              <w:bidi w:val="0"/>
              <w:spacing w:before="0" w:after="283"/>
              <w:jc w:val="right"/>
              <w:rPr/>
            </w:pPr>
            <w:r>
              <w:rPr/>
              <w:t>14</w:t>
            </w:r>
          </w:p>
        </w:tc>
      </w:tr>
      <w:tr>
        <w:trPr/>
        <w:tc>
          <w:tcPr>
            <w:tcW w:w="9930" w:type="dxa"/>
            <w:tcBorders/>
            <w:vAlign w:val="center"/>
          </w:tcPr>
          <w:p>
            <w:pPr>
              <w:pStyle w:val="TableContents"/>
              <w:bidi w:val="0"/>
              <w:spacing w:before="0" w:after="283"/>
              <w:jc w:val="left"/>
              <w:rPr/>
            </w:pPr>
            <w:r>
              <w:rPr/>
              <w:t>SECTION 6.3       Application of Moneys Collected</w:t>
            </w:r>
          </w:p>
        </w:tc>
        <w:tc>
          <w:tcPr>
            <w:tcW w:w="275" w:type="dxa"/>
            <w:tcBorders/>
            <w:vAlign w:val="center"/>
          </w:tcPr>
          <w:p>
            <w:pPr>
              <w:pStyle w:val="TableContents"/>
              <w:bidi w:val="0"/>
              <w:spacing w:before="0" w:after="283"/>
              <w:jc w:val="right"/>
              <w:rPr/>
            </w:pPr>
            <w:r>
              <w:rPr/>
              <w:t>15</w:t>
            </w:r>
          </w:p>
        </w:tc>
      </w:tr>
      <w:tr>
        <w:trPr/>
        <w:tc>
          <w:tcPr>
            <w:tcW w:w="9930" w:type="dxa"/>
            <w:tcBorders/>
            <w:vAlign w:val="center"/>
          </w:tcPr>
          <w:p>
            <w:pPr>
              <w:pStyle w:val="TableContents"/>
              <w:bidi w:val="0"/>
              <w:spacing w:before="0" w:after="283"/>
              <w:jc w:val="left"/>
              <w:rPr/>
            </w:pPr>
            <w:r>
              <w:rPr/>
              <w:t>SECTION 6.4       Limitation on Suits</w:t>
            </w:r>
          </w:p>
        </w:tc>
        <w:tc>
          <w:tcPr>
            <w:tcW w:w="275" w:type="dxa"/>
            <w:tcBorders/>
            <w:vAlign w:val="center"/>
          </w:tcPr>
          <w:p>
            <w:pPr>
              <w:pStyle w:val="TableContents"/>
              <w:bidi w:val="0"/>
              <w:spacing w:before="0" w:after="283"/>
              <w:jc w:val="right"/>
              <w:rPr/>
            </w:pPr>
            <w:r>
              <w:rPr/>
              <w:t>15</w:t>
            </w:r>
          </w:p>
        </w:tc>
      </w:tr>
      <w:tr>
        <w:trPr/>
        <w:tc>
          <w:tcPr>
            <w:tcW w:w="9930" w:type="dxa"/>
            <w:tcBorders/>
            <w:vAlign w:val="center"/>
          </w:tcPr>
          <w:p>
            <w:pPr>
              <w:pStyle w:val="TableContents"/>
              <w:bidi w:val="0"/>
              <w:spacing w:before="0" w:after="283"/>
              <w:jc w:val="left"/>
              <w:rPr/>
            </w:pPr>
            <w:r>
              <w:rPr/>
              <w:t>SECTION 6.5       Rights and Remedies Cumulative; Delay or Omission Not Waiver</w:t>
            </w:r>
          </w:p>
        </w:tc>
        <w:tc>
          <w:tcPr>
            <w:tcW w:w="275" w:type="dxa"/>
            <w:tcBorders/>
            <w:vAlign w:val="center"/>
          </w:tcPr>
          <w:p>
            <w:pPr>
              <w:pStyle w:val="TableContents"/>
              <w:bidi w:val="0"/>
              <w:spacing w:before="0" w:after="283"/>
              <w:jc w:val="right"/>
              <w:rPr/>
            </w:pPr>
            <w:r>
              <w:rPr/>
              <w:t>15</w:t>
            </w:r>
          </w:p>
        </w:tc>
      </w:tr>
      <w:tr>
        <w:trPr/>
        <w:tc>
          <w:tcPr>
            <w:tcW w:w="9930" w:type="dxa"/>
            <w:tcBorders/>
            <w:vAlign w:val="center"/>
          </w:tcPr>
          <w:p>
            <w:pPr>
              <w:pStyle w:val="TableContents"/>
              <w:bidi w:val="0"/>
              <w:spacing w:before="0" w:after="283"/>
              <w:jc w:val="left"/>
              <w:rPr/>
            </w:pPr>
            <w:r>
              <w:rPr/>
              <w:t>SECTION 6.6       Control by Securityholders</w:t>
            </w:r>
          </w:p>
        </w:tc>
        <w:tc>
          <w:tcPr>
            <w:tcW w:w="275" w:type="dxa"/>
            <w:tcBorders/>
            <w:vAlign w:val="center"/>
          </w:tcPr>
          <w:p>
            <w:pPr>
              <w:pStyle w:val="TableContents"/>
              <w:bidi w:val="0"/>
              <w:spacing w:before="0" w:after="283"/>
              <w:jc w:val="right"/>
              <w:rPr/>
            </w:pPr>
            <w:r>
              <w:rPr/>
              <w:t>16</w:t>
            </w:r>
          </w:p>
        </w:tc>
      </w:tr>
      <w:tr>
        <w:trPr/>
        <w:tc>
          <w:tcPr>
            <w:tcW w:w="9930" w:type="dxa"/>
            <w:tcBorders/>
            <w:vAlign w:val="center"/>
          </w:tcPr>
          <w:p>
            <w:pPr>
              <w:pStyle w:val="TableContents"/>
              <w:bidi w:val="0"/>
              <w:spacing w:before="0" w:after="283"/>
              <w:jc w:val="left"/>
              <w:rPr/>
            </w:pPr>
            <w:r>
              <w:rPr/>
              <w:t>SECTION 6.7       Undertaking to Pay Costs</w:t>
            </w:r>
          </w:p>
        </w:tc>
        <w:tc>
          <w:tcPr>
            <w:tcW w:w="275" w:type="dxa"/>
            <w:tcBorders/>
            <w:vAlign w:val="center"/>
          </w:tcPr>
          <w:p>
            <w:pPr>
              <w:pStyle w:val="TableContents"/>
              <w:bidi w:val="0"/>
              <w:spacing w:before="0" w:after="283"/>
              <w:jc w:val="right"/>
              <w:rPr/>
            </w:pPr>
            <w:r>
              <w:rPr/>
              <w:t>16</w:t>
            </w:r>
          </w:p>
        </w:tc>
      </w:tr>
      <w:tr>
        <w:trPr/>
        <w:tc>
          <w:tcPr>
            <w:tcW w:w="9930" w:type="dxa"/>
            <w:tcBorders/>
            <w:vAlign w:val="center"/>
          </w:tcPr>
          <w:p>
            <w:pPr>
              <w:pStyle w:val="TableContents"/>
              <w:bidi w:val="0"/>
              <w:spacing w:before="0" w:after="283"/>
              <w:jc w:val="left"/>
              <w:rPr/>
            </w:pPr>
            <w:r>
              <w:rPr/>
              <w:t>ARTICLE VII. CONCERNING THE TRUSTEE</w:t>
            </w:r>
          </w:p>
        </w:tc>
        <w:tc>
          <w:tcPr>
            <w:tcW w:w="275" w:type="dxa"/>
            <w:tcBorders/>
            <w:vAlign w:val="center"/>
          </w:tcPr>
          <w:p>
            <w:pPr>
              <w:pStyle w:val="TableContents"/>
              <w:bidi w:val="0"/>
              <w:spacing w:before="0" w:after="283"/>
              <w:jc w:val="right"/>
              <w:rPr/>
            </w:pPr>
            <w:r>
              <w:rPr/>
              <w:t>16</w:t>
            </w:r>
          </w:p>
        </w:tc>
      </w:tr>
      <w:tr>
        <w:trPr/>
        <w:tc>
          <w:tcPr>
            <w:tcW w:w="9930" w:type="dxa"/>
            <w:tcBorders/>
            <w:vAlign w:val="center"/>
          </w:tcPr>
          <w:p>
            <w:pPr>
              <w:pStyle w:val="TableContents"/>
              <w:bidi w:val="0"/>
              <w:spacing w:before="0" w:after="283"/>
              <w:jc w:val="left"/>
              <w:rPr/>
            </w:pPr>
            <w:r>
              <w:rPr/>
              <w:t>SECTION 7.1       Certain Duties and Responsibilities of Trustee</w:t>
            </w:r>
          </w:p>
        </w:tc>
        <w:tc>
          <w:tcPr>
            <w:tcW w:w="275" w:type="dxa"/>
            <w:tcBorders/>
            <w:vAlign w:val="center"/>
          </w:tcPr>
          <w:p>
            <w:pPr>
              <w:pStyle w:val="TableContents"/>
              <w:bidi w:val="0"/>
              <w:spacing w:before="0" w:after="283"/>
              <w:jc w:val="right"/>
              <w:rPr/>
            </w:pPr>
            <w:r>
              <w:rPr/>
              <w:t>16</w:t>
            </w:r>
          </w:p>
        </w:tc>
      </w:tr>
      <w:tr>
        <w:trPr/>
        <w:tc>
          <w:tcPr>
            <w:tcW w:w="9930" w:type="dxa"/>
            <w:tcBorders/>
            <w:vAlign w:val="center"/>
          </w:tcPr>
          <w:p>
            <w:pPr>
              <w:pStyle w:val="TableContents"/>
              <w:bidi w:val="0"/>
              <w:spacing w:before="0" w:after="283"/>
              <w:jc w:val="left"/>
              <w:rPr/>
            </w:pPr>
            <w:r>
              <w:rPr/>
              <w:t>SECTION 7.2       Certain Rights of Trustee</w:t>
            </w:r>
          </w:p>
        </w:tc>
        <w:tc>
          <w:tcPr>
            <w:tcW w:w="275" w:type="dxa"/>
            <w:tcBorders/>
            <w:vAlign w:val="center"/>
          </w:tcPr>
          <w:p>
            <w:pPr>
              <w:pStyle w:val="TableContents"/>
              <w:bidi w:val="0"/>
              <w:spacing w:before="0" w:after="283"/>
              <w:jc w:val="right"/>
              <w:rPr/>
            </w:pPr>
            <w:r>
              <w:rPr/>
              <w:t>17</w:t>
            </w:r>
          </w:p>
        </w:tc>
      </w:tr>
      <w:tr>
        <w:trPr/>
        <w:tc>
          <w:tcPr>
            <w:tcW w:w="9930" w:type="dxa"/>
            <w:tcBorders/>
            <w:vAlign w:val="center"/>
          </w:tcPr>
          <w:p>
            <w:pPr>
              <w:pStyle w:val="TableContents"/>
              <w:bidi w:val="0"/>
              <w:spacing w:before="0" w:after="283"/>
              <w:jc w:val="left"/>
              <w:rPr/>
            </w:pPr>
            <w:r>
              <w:rPr/>
              <w:t>SECTION 7.3       Trustee Not Responsible for Recitals or Issuance of Securities</w:t>
            </w:r>
          </w:p>
        </w:tc>
        <w:tc>
          <w:tcPr>
            <w:tcW w:w="275" w:type="dxa"/>
            <w:tcBorders/>
            <w:vAlign w:val="center"/>
          </w:tcPr>
          <w:p>
            <w:pPr>
              <w:pStyle w:val="TableContents"/>
              <w:bidi w:val="0"/>
              <w:spacing w:before="0" w:after="283"/>
              <w:jc w:val="right"/>
              <w:rPr/>
            </w:pPr>
            <w:r>
              <w:rPr/>
              <w:t>18</w:t>
            </w:r>
          </w:p>
        </w:tc>
      </w:tr>
      <w:tr>
        <w:trPr/>
        <w:tc>
          <w:tcPr>
            <w:tcW w:w="9930" w:type="dxa"/>
            <w:tcBorders/>
            <w:vAlign w:val="center"/>
          </w:tcPr>
          <w:p>
            <w:pPr>
              <w:pStyle w:val="TableContents"/>
              <w:bidi w:val="0"/>
              <w:spacing w:before="0" w:after="283"/>
              <w:jc w:val="left"/>
              <w:rPr/>
            </w:pPr>
            <w:r>
              <w:rPr/>
              <w:t>SECTION 7.4       May Hold Securities</w:t>
            </w:r>
          </w:p>
        </w:tc>
        <w:tc>
          <w:tcPr>
            <w:tcW w:w="275" w:type="dxa"/>
            <w:tcBorders/>
            <w:vAlign w:val="center"/>
          </w:tcPr>
          <w:p>
            <w:pPr>
              <w:pStyle w:val="TableContents"/>
              <w:bidi w:val="0"/>
              <w:spacing w:before="0" w:after="283"/>
              <w:jc w:val="right"/>
              <w:rPr/>
            </w:pPr>
            <w:r>
              <w:rPr/>
              <w:t>18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jc w:val="left"/>
              <w:rPr/>
            </w:pPr>
            <w:r>
              <w:rPr/>
              <w:t>SECTION 7.5       Moneys Held in Trust</w:t>
            </w:r>
          </w:p>
        </w:tc>
        <w:tc>
          <w:tcPr>
            <w:tcW w:w="275" w:type="dxa"/>
            <w:tcBorders/>
            <w:vAlign w:val="center"/>
          </w:tcPr>
          <w:p>
            <w:pPr>
              <w:pStyle w:val="TableContents"/>
              <w:bidi w:val="0"/>
              <w:spacing w:before="0" w:after="283"/>
              <w:jc w:val="right"/>
              <w:rPr/>
            </w:pPr>
            <w:r>
              <w:rPr/>
              <w:t>18</w:t>
            </w:r>
          </w:p>
        </w:tc>
      </w:tr>
      <w:tr>
        <w:trPr/>
        <w:tc>
          <w:tcPr>
            <w:tcW w:w="9930" w:type="dxa"/>
            <w:tcBorders/>
            <w:vAlign w:val="center"/>
          </w:tcPr>
          <w:p>
            <w:pPr>
              <w:pStyle w:val="TableContents"/>
              <w:bidi w:val="0"/>
              <w:spacing w:before="0" w:after="283"/>
              <w:jc w:val="left"/>
              <w:rPr/>
            </w:pPr>
            <w:r>
              <w:rPr/>
              <w:t>SECTION 7.6       Compensation and Reimbursement</w:t>
            </w:r>
          </w:p>
        </w:tc>
        <w:tc>
          <w:tcPr>
            <w:tcW w:w="275" w:type="dxa"/>
            <w:tcBorders/>
            <w:vAlign w:val="center"/>
          </w:tcPr>
          <w:p>
            <w:pPr>
              <w:pStyle w:val="TableContents"/>
              <w:bidi w:val="0"/>
              <w:spacing w:before="0" w:after="283"/>
              <w:jc w:val="right"/>
              <w:rPr/>
            </w:pPr>
            <w:r>
              <w:rPr/>
              <w:t>18</w:t>
            </w:r>
          </w:p>
        </w:tc>
      </w:tr>
      <w:tr>
        <w:trPr/>
        <w:tc>
          <w:tcPr>
            <w:tcW w:w="9930" w:type="dxa"/>
            <w:tcBorders/>
            <w:vAlign w:val="center"/>
          </w:tcPr>
          <w:p>
            <w:pPr>
              <w:pStyle w:val="TableContents"/>
              <w:bidi w:val="0"/>
              <w:spacing w:before="0" w:after="283"/>
              <w:jc w:val="left"/>
              <w:rPr/>
            </w:pPr>
            <w:r>
              <w:rPr/>
              <w:t>SECTION 7.7       Reliance on Officers’ Certificate</w:t>
            </w:r>
          </w:p>
        </w:tc>
        <w:tc>
          <w:tcPr>
            <w:tcW w:w="275" w:type="dxa"/>
            <w:tcBorders/>
            <w:vAlign w:val="center"/>
          </w:tcPr>
          <w:p>
            <w:pPr>
              <w:pStyle w:val="TableContents"/>
              <w:bidi w:val="0"/>
              <w:spacing w:before="0" w:after="283"/>
              <w:jc w:val="right"/>
              <w:rPr/>
            </w:pPr>
            <w:r>
              <w:rPr/>
              <w:t>19</w:t>
            </w:r>
          </w:p>
        </w:tc>
      </w:tr>
      <w:tr>
        <w:trPr/>
        <w:tc>
          <w:tcPr>
            <w:tcW w:w="9930" w:type="dxa"/>
            <w:tcBorders/>
            <w:vAlign w:val="center"/>
          </w:tcPr>
          <w:p>
            <w:pPr>
              <w:pStyle w:val="TableContents"/>
              <w:bidi w:val="0"/>
              <w:spacing w:before="0" w:after="283"/>
              <w:jc w:val="left"/>
              <w:rPr/>
            </w:pPr>
            <w:r>
              <w:rPr/>
              <w:t>SECTION 7.8       Disqualification; Conflicting  Interests</w:t>
            </w:r>
          </w:p>
        </w:tc>
        <w:tc>
          <w:tcPr>
            <w:tcW w:w="275" w:type="dxa"/>
            <w:tcBorders/>
            <w:vAlign w:val="center"/>
          </w:tcPr>
          <w:p>
            <w:pPr>
              <w:pStyle w:val="TableContents"/>
              <w:bidi w:val="0"/>
              <w:spacing w:before="0" w:after="283"/>
              <w:jc w:val="right"/>
              <w:rPr/>
            </w:pPr>
            <w:r>
              <w:rPr/>
              <w:t>19</w:t>
            </w:r>
          </w:p>
        </w:tc>
      </w:tr>
      <w:tr>
        <w:trPr/>
        <w:tc>
          <w:tcPr>
            <w:tcW w:w="9930" w:type="dxa"/>
            <w:tcBorders/>
            <w:vAlign w:val="center"/>
          </w:tcPr>
          <w:p>
            <w:pPr>
              <w:pStyle w:val="TableContents"/>
              <w:bidi w:val="0"/>
              <w:spacing w:before="0" w:after="283"/>
              <w:jc w:val="left"/>
              <w:rPr/>
            </w:pPr>
            <w:r>
              <w:rPr/>
              <w:t>SECTION 7.9       Corporate Trustee Required; Eligibility</w:t>
            </w:r>
          </w:p>
        </w:tc>
        <w:tc>
          <w:tcPr>
            <w:tcW w:w="275" w:type="dxa"/>
            <w:tcBorders/>
            <w:vAlign w:val="center"/>
          </w:tcPr>
          <w:p>
            <w:pPr>
              <w:pStyle w:val="TableContents"/>
              <w:bidi w:val="0"/>
              <w:spacing w:before="0" w:after="283"/>
              <w:jc w:val="right"/>
              <w:rPr/>
            </w:pPr>
            <w:r>
              <w:rPr/>
              <w:t>19</w:t>
            </w:r>
          </w:p>
        </w:tc>
      </w:tr>
      <w:tr>
        <w:trPr/>
        <w:tc>
          <w:tcPr>
            <w:tcW w:w="9930" w:type="dxa"/>
            <w:tcBorders/>
            <w:vAlign w:val="center"/>
          </w:tcPr>
          <w:p>
            <w:pPr>
              <w:pStyle w:val="TableContents"/>
              <w:bidi w:val="0"/>
              <w:spacing w:before="0" w:after="283"/>
              <w:jc w:val="left"/>
              <w:rPr/>
            </w:pPr>
            <w:r>
              <w:rPr/>
              <w:t>SECTION 7.10     Resignation and Removal; Appointment of Successor</w:t>
            </w:r>
          </w:p>
        </w:tc>
        <w:tc>
          <w:tcPr>
            <w:tcW w:w="275" w:type="dxa"/>
            <w:tcBorders/>
            <w:vAlign w:val="center"/>
          </w:tcPr>
          <w:p>
            <w:pPr>
              <w:pStyle w:val="TableContents"/>
              <w:bidi w:val="0"/>
              <w:spacing w:before="0" w:after="283"/>
              <w:jc w:val="right"/>
              <w:rPr/>
            </w:pPr>
            <w:r>
              <w:rPr/>
              <w:t>19</w:t>
            </w:r>
          </w:p>
        </w:tc>
      </w:tr>
      <w:tr>
        <w:trPr/>
        <w:tc>
          <w:tcPr>
            <w:tcW w:w="9930" w:type="dxa"/>
            <w:tcBorders/>
            <w:vAlign w:val="center"/>
          </w:tcPr>
          <w:p>
            <w:pPr>
              <w:pStyle w:val="TableContents"/>
              <w:bidi w:val="0"/>
              <w:spacing w:before="0" w:after="283"/>
              <w:jc w:val="left"/>
              <w:rPr/>
            </w:pPr>
            <w:r>
              <w:rPr/>
              <w:t>SECTION 7.11     Acceptance of Appointment By Successor</w:t>
            </w:r>
          </w:p>
        </w:tc>
        <w:tc>
          <w:tcPr>
            <w:tcW w:w="275" w:type="dxa"/>
            <w:tcBorders/>
            <w:vAlign w:val="center"/>
          </w:tcPr>
          <w:p>
            <w:pPr>
              <w:pStyle w:val="TableContents"/>
              <w:bidi w:val="0"/>
              <w:spacing w:before="0" w:after="283"/>
              <w:jc w:val="right"/>
              <w:rPr/>
            </w:pPr>
            <w:r>
              <w:rPr/>
              <w:t>20</w:t>
            </w:r>
          </w:p>
        </w:tc>
      </w:tr>
      <w:tr>
        <w:trPr/>
        <w:tc>
          <w:tcPr>
            <w:tcW w:w="9930" w:type="dxa"/>
            <w:tcBorders/>
            <w:vAlign w:val="center"/>
          </w:tcPr>
          <w:p>
            <w:pPr>
              <w:pStyle w:val="TableContents"/>
              <w:bidi w:val="0"/>
              <w:spacing w:before="0" w:after="283"/>
              <w:jc w:val="left"/>
              <w:rPr/>
            </w:pPr>
            <w:r>
              <w:rPr/>
              <w:t>SECTION 7.12     Merger, Conversion</w:t>
            </w:r>
          </w:p>
        </w:tc>
        <w:tc>
          <w:tcPr>
            <w:tcW w:w="275" w:type="dxa"/>
            <w:tcBorders/>
            <w:vAlign w:val="center"/>
          </w:tcPr>
          <w:p>
            <w:pPr>
              <w:pStyle w:val="TableContents"/>
              <w:bidi w:val="0"/>
              <w:spacing w:before="0" w:after="283"/>
              <w:jc w:val="right"/>
              <w:rPr/>
            </w:pPr>
            <w:r>
              <w:rPr/>
              <w:t>21</w:t>
            </w:r>
          </w:p>
        </w:tc>
      </w:tr>
      <w:tr>
        <w:trPr/>
        <w:tc>
          <w:tcPr>
            <w:tcW w:w="9930" w:type="dxa"/>
            <w:tcBorders/>
            <w:vAlign w:val="center"/>
          </w:tcPr>
          <w:p>
            <w:pPr>
              <w:pStyle w:val="TableContents"/>
              <w:bidi w:val="0"/>
              <w:spacing w:before="0" w:after="283"/>
              <w:jc w:val="left"/>
              <w:rPr/>
            </w:pPr>
            <w:r>
              <w:rPr/>
              <w:t>SECTION 7.13     Preferential Collection of Claims Against the Company</w:t>
            </w:r>
          </w:p>
        </w:tc>
        <w:tc>
          <w:tcPr>
            <w:tcW w:w="275" w:type="dxa"/>
            <w:tcBorders/>
            <w:vAlign w:val="center"/>
          </w:tcPr>
          <w:p>
            <w:pPr>
              <w:pStyle w:val="TableContents"/>
              <w:bidi w:val="0"/>
              <w:spacing w:before="0" w:after="283"/>
              <w:jc w:val="right"/>
              <w:rPr/>
            </w:pPr>
            <w:r>
              <w:rPr/>
              <w:t>21</w:t>
            </w:r>
          </w:p>
        </w:tc>
      </w:tr>
      <w:tr>
        <w:trPr/>
        <w:tc>
          <w:tcPr>
            <w:tcW w:w="9930" w:type="dxa"/>
            <w:tcBorders/>
            <w:vAlign w:val="center"/>
          </w:tcPr>
          <w:p>
            <w:pPr>
              <w:pStyle w:val="TableContents"/>
              <w:bidi w:val="0"/>
              <w:spacing w:before="0" w:after="283"/>
              <w:jc w:val="left"/>
              <w:rPr/>
            </w:pPr>
            <w:r>
              <w:rPr/>
              <w:t>ARTICLE VIII. CONCERNING THE SECURITYHOLDERS</w:t>
            </w:r>
          </w:p>
        </w:tc>
        <w:tc>
          <w:tcPr>
            <w:tcW w:w="275" w:type="dxa"/>
            <w:tcBorders/>
            <w:vAlign w:val="center"/>
          </w:tcPr>
          <w:p>
            <w:pPr>
              <w:pStyle w:val="TableContents"/>
              <w:bidi w:val="0"/>
              <w:spacing w:before="0" w:after="283"/>
              <w:jc w:val="right"/>
              <w:rPr/>
            </w:pPr>
            <w:r>
              <w:rPr/>
              <w:t>21</w:t>
            </w:r>
          </w:p>
        </w:tc>
      </w:tr>
      <w:tr>
        <w:trPr/>
        <w:tc>
          <w:tcPr>
            <w:tcW w:w="9930" w:type="dxa"/>
            <w:tcBorders/>
            <w:vAlign w:val="center"/>
          </w:tcPr>
          <w:p>
            <w:pPr>
              <w:pStyle w:val="TableContents"/>
              <w:bidi w:val="0"/>
              <w:spacing w:before="0" w:after="283"/>
              <w:jc w:val="left"/>
              <w:rPr/>
            </w:pPr>
            <w:r>
              <w:rPr/>
              <w:t>SECTION 8.1       Evidence of Action by Securityholders</w:t>
            </w:r>
          </w:p>
        </w:tc>
        <w:tc>
          <w:tcPr>
            <w:tcW w:w="275" w:type="dxa"/>
            <w:tcBorders/>
            <w:vAlign w:val="center"/>
          </w:tcPr>
          <w:p>
            <w:pPr>
              <w:pStyle w:val="TableContents"/>
              <w:bidi w:val="0"/>
              <w:spacing w:before="0" w:after="283"/>
              <w:jc w:val="right"/>
              <w:rPr/>
            </w:pPr>
            <w:r>
              <w:rPr/>
              <w:t>21</w:t>
            </w:r>
          </w:p>
        </w:tc>
      </w:tr>
      <w:tr>
        <w:trPr/>
        <w:tc>
          <w:tcPr>
            <w:tcW w:w="9930" w:type="dxa"/>
            <w:tcBorders/>
            <w:vAlign w:val="center"/>
          </w:tcPr>
          <w:p>
            <w:pPr>
              <w:pStyle w:val="TableContents"/>
              <w:bidi w:val="0"/>
              <w:spacing w:before="0" w:after="283"/>
              <w:jc w:val="left"/>
              <w:rPr/>
            </w:pPr>
            <w:r>
              <w:rPr/>
              <w:t>SECTION 8.2       Proof of Execution by Securityholders</w:t>
            </w:r>
          </w:p>
        </w:tc>
        <w:tc>
          <w:tcPr>
            <w:tcW w:w="275" w:type="dxa"/>
            <w:tcBorders/>
            <w:vAlign w:val="center"/>
          </w:tcPr>
          <w:p>
            <w:pPr>
              <w:pStyle w:val="TableContents"/>
              <w:bidi w:val="0"/>
              <w:spacing w:before="0" w:after="283"/>
              <w:jc w:val="right"/>
              <w:rPr/>
            </w:pPr>
            <w:r>
              <w:rPr/>
              <w:t>21</w:t>
            </w:r>
          </w:p>
        </w:tc>
      </w:tr>
      <w:tr>
        <w:trPr/>
        <w:tc>
          <w:tcPr>
            <w:tcW w:w="9930" w:type="dxa"/>
            <w:tcBorders/>
            <w:vAlign w:val="center"/>
          </w:tcPr>
          <w:p>
            <w:pPr>
              <w:pStyle w:val="TableContents"/>
              <w:bidi w:val="0"/>
              <w:spacing w:before="0" w:after="283"/>
              <w:jc w:val="left"/>
              <w:rPr/>
            </w:pPr>
            <w:r>
              <w:rPr/>
              <w:t>SECTION 8.3       Who May be Deemed Owners</w:t>
            </w:r>
          </w:p>
        </w:tc>
        <w:tc>
          <w:tcPr>
            <w:tcW w:w="275" w:type="dxa"/>
            <w:tcBorders/>
            <w:vAlign w:val="center"/>
          </w:tcPr>
          <w:p>
            <w:pPr>
              <w:pStyle w:val="TableContents"/>
              <w:bidi w:val="0"/>
              <w:spacing w:before="0" w:after="283"/>
              <w:jc w:val="right"/>
              <w:rPr/>
            </w:pPr>
            <w:r>
              <w:rPr/>
              <w:t>21</w:t>
            </w:r>
          </w:p>
        </w:tc>
      </w:tr>
      <w:tr>
        <w:trPr/>
        <w:tc>
          <w:tcPr>
            <w:tcW w:w="9930" w:type="dxa"/>
            <w:tcBorders/>
            <w:vAlign w:val="center"/>
          </w:tcPr>
          <w:p>
            <w:pPr>
              <w:pStyle w:val="TableContents"/>
              <w:bidi w:val="0"/>
              <w:spacing w:before="0" w:after="283"/>
              <w:jc w:val="left"/>
              <w:rPr/>
            </w:pPr>
            <w:r>
              <w:rPr/>
              <w:t>SECTION 8.4       Certain Securities Owned by Company Disregarded</w:t>
            </w:r>
          </w:p>
        </w:tc>
        <w:tc>
          <w:tcPr>
            <w:tcW w:w="275" w:type="dxa"/>
            <w:tcBorders/>
            <w:vAlign w:val="center"/>
          </w:tcPr>
          <w:p>
            <w:pPr>
              <w:pStyle w:val="TableContents"/>
              <w:bidi w:val="0"/>
              <w:spacing w:before="0" w:after="283"/>
              <w:jc w:val="right"/>
              <w:rPr/>
            </w:pPr>
            <w:r>
              <w:rPr/>
              <w:t>22</w:t>
            </w:r>
          </w:p>
        </w:tc>
      </w:tr>
      <w:tr>
        <w:trPr/>
        <w:tc>
          <w:tcPr>
            <w:tcW w:w="9930" w:type="dxa"/>
            <w:tcBorders/>
            <w:vAlign w:val="center"/>
          </w:tcPr>
          <w:p>
            <w:pPr>
              <w:pStyle w:val="TableContents"/>
              <w:bidi w:val="0"/>
              <w:spacing w:before="0" w:after="283"/>
              <w:jc w:val="left"/>
              <w:rPr/>
            </w:pPr>
            <w:r>
              <w:rPr/>
              <w:t>SECTION 8.5       Actions Binding on Future Securityholders</w:t>
            </w:r>
          </w:p>
        </w:tc>
        <w:tc>
          <w:tcPr>
            <w:tcW w:w="275" w:type="dxa"/>
            <w:tcBorders/>
            <w:vAlign w:val="center"/>
          </w:tcPr>
          <w:p>
            <w:pPr>
              <w:pStyle w:val="TableContents"/>
              <w:bidi w:val="0"/>
              <w:spacing w:before="0" w:after="283"/>
              <w:jc w:val="right"/>
              <w:rPr/>
            </w:pPr>
            <w:r>
              <w:rPr/>
              <w:t>22</w:t>
            </w:r>
          </w:p>
        </w:tc>
      </w:tr>
      <w:tr>
        <w:trPr/>
        <w:tc>
          <w:tcPr>
            <w:tcW w:w="9930" w:type="dxa"/>
            <w:tcBorders/>
            <w:vAlign w:val="center"/>
          </w:tcPr>
          <w:p>
            <w:pPr>
              <w:pStyle w:val="TableContents"/>
              <w:bidi w:val="0"/>
              <w:spacing w:before="0" w:after="283"/>
              <w:jc w:val="left"/>
              <w:rPr/>
            </w:pPr>
            <w:r>
              <w:rPr/>
              <w:t>SECTION 8.6       Purposes for Which Meetings May Be Called</w:t>
            </w:r>
          </w:p>
        </w:tc>
        <w:tc>
          <w:tcPr>
            <w:tcW w:w="275" w:type="dxa"/>
            <w:tcBorders/>
            <w:vAlign w:val="center"/>
          </w:tcPr>
          <w:p>
            <w:pPr>
              <w:pStyle w:val="TableContents"/>
              <w:bidi w:val="0"/>
              <w:spacing w:before="0" w:after="283"/>
              <w:jc w:val="right"/>
              <w:rPr/>
            </w:pPr>
            <w:r>
              <w:rPr/>
              <w:t>22</w:t>
            </w:r>
          </w:p>
        </w:tc>
      </w:tr>
      <w:tr>
        <w:trPr/>
        <w:tc>
          <w:tcPr>
            <w:tcW w:w="9930" w:type="dxa"/>
            <w:tcBorders/>
            <w:vAlign w:val="center"/>
          </w:tcPr>
          <w:p>
            <w:pPr>
              <w:pStyle w:val="TableContents"/>
              <w:bidi w:val="0"/>
              <w:spacing w:before="0" w:after="283"/>
              <w:jc w:val="left"/>
              <w:rPr/>
            </w:pPr>
            <w:r>
              <w:rPr/>
              <w:t>SECTION 8.7       Call Notice and Place of Meetings</w:t>
            </w:r>
          </w:p>
        </w:tc>
        <w:tc>
          <w:tcPr>
            <w:tcW w:w="275" w:type="dxa"/>
            <w:tcBorders/>
            <w:vAlign w:val="center"/>
          </w:tcPr>
          <w:p>
            <w:pPr>
              <w:pStyle w:val="TableContents"/>
              <w:bidi w:val="0"/>
              <w:spacing w:before="0" w:after="283"/>
              <w:jc w:val="right"/>
              <w:rPr/>
            </w:pPr>
            <w:r>
              <w:rPr/>
              <w:t>22</w:t>
            </w:r>
          </w:p>
        </w:tc>
      </w:tr>
      <w:tr>
        <w:trPr/>
        <w:tc>
          <w:tcPr>
            <w:tcW w:w="9930" w:type="dxa"/>
            <w:tcBorders/>
            <w:vAlign w:val="center"/>
          </w:tcPr>
          <w:p>
            <w:pPr>
              <w:pStyle w:val="TableContents"/>
              <w:bidi w:val="0"/>
              <w:spacing w:before="0" w:after="283"/>
              <w:jc w:val="left"/>
              <w:rPr/>
            </w:pPr>
            <w:r>
              <w:rPr/>
              <w:t>SECTION 8.8       Persons Entitled To Vote at Meetings</w:t>
            </w:r>
          </w:p>
        </w:tc>
        <w:tc>
          <w:tcPr>
            <w:tcW w:w="275" w:type="dxa"/>
            <w:tcBorders/>
            <w:vAlign w:val="center"/>
          </w:tcPr>
          <w:p>
            <w:pPr>
              <w:pStyle w:val="TableContents"/>
              <w:bidi w:val="0"/>
              <w:spacing w:before="0" w:after="283"/>
              <w:jc w:val="right"/>
              <w:rPr/>
            </w:pPr>
            <w:r>
              <w:rPr/>
              <w:t>23</w:t>
            </w:r>
          </w:p>
        </w:tc>
      </w:tr>
      <w:tr>
        <w:trPr/>
        <w:tc>
          <w:tcPr>
            <w:tcW w:w="9930" w:type="dxa"/>
            <w:tcBorders/>
            <w:vAlign w:val="center"/>
          </w:tcPr>
          <w:p>
            <w:pPr>
              <w:pStyle w:val="TableContents"/>
              <w:bidi w:val="0"/>
              <w:spacing w:before="0" w:after="283"/>
              <w:jc w:val="left"/>
              <w:rPr/>
            </w:pPr>
            <w:r>
              <w:rPr/>
              <w:t>SECTION 8.9       Quorum; Action</w:t>
            </w:r>
          </w:p>
        </w:tc>
        <w:tc>
          <w:tcPr>
            <w:tcW w:w="275" w:type="dxa"/>
            <w:tcBorders/>
            <w:vAlign w:val="center"/>
          </w:tcPr>
          <w:p>
            <w:pPr>
              <w:pStyle w:val="TableContents"/>
              <w:bidi w:val="0"/>
              <w:spacing w:before="0" w:after="283"/>
              <w:jc w:val="right"/>
              <w:rPr/>
            </w:pPr>
            <w:r>
              <w:rPr/>
              <w:t>23</w:t>
            </w:r>
          </w:p>
        </w:tc>
      </w:tr>
      <w:tr>
        <w:trPr/>
        <w:tc>
          <w:tcPr>
            <w:tcW w:w="9930" w:type="dxa"/>
            <w:tcBorders/>
            <w:vAlign w:val="center"/>
          </w:tcPr>
          <w:p>
            <w:pPr>
              <w:pStyle w:val="TableContents"/>
              <w:bidi w:val="0"/>
              <w:spacing w:before="0" w:after="283"/>
              <w:jc w:val="left"/>
              <w:rPr/>
            </w:pPr>
            <w:r>
              <w:rPr/>
              <w:t>SECTION 8.10     Determination of Voting Rights; Conduct and Adjournment of Meetings</w:t>
            </w:r>
          </w:p>
        </w:tc>
        <w:tc>
          <w:tcPr>
            <w:tcW w:w="275" w:type="dxa"/>
            <w:tcBorders/>
            <w:vAlign w:val="center"/>
          </w:tcPr>
          <w:p>
            <w:pPr>
              <w:pStyle w:val="TableContents"/>
              <w:bidi w:val="0"/>
              <w:spacing w:before="0" w:after="283"/>
              <w:jc w:val="right"/>
              <w:rPr/>
            </w:pPr>
            <w:r>
              <w:rPr/>
              <w:t>23</w:t>
            </w:r>
          </w:p>
        </w:tc>
      </w:tr>
      <w:tr>
        <w:trPr/>
        <w:tc>
          <w:tcPr>
            <w:tcW w:w="9930" w:type="dxa"/>
            <w:tcBorders/>
            <w:vAlign w:val="center"/>
          </w:tcPr>
          <w:p>
            <w:pPr>
              <w:pStyle w:val="TableContents"/>
              <w:bidi w:val="0"/>
              <w:spacing w:before="0" w:after="283"/>
              <w:jc w:val="left"/>
              <w:rPr/>
            </w:pPr>
            <w:r>
              <w:rPr/>
              <w:t>SECTION 8.11     Counting Votes and Recording  Action of Meetings</w:t>
            </w:r>
          </w:p>
        </w:tc>
        <w:tc>
          <w:tcPr>
            <w:tcW w:w="275" w:type="dxa"/>
            <w:tcBorders/>
            <w:vAlign w:val="center"/>
          </w:tcPr>
          <w:p>
            <w:pPr>
              <w:pStyle w:val="TableContents"/>
              <w:bidi w:val="0"/>
              <w:spacing w:before="0" w:after="283"/>
              <w:jc w:val="right"/>
              <w:rPr/>
            </w:pPr>
            <w:r>
              <w:rPr/>
              <w:t>23</w:t>
            </w:r>
          </w:p>
        </w:tc>
      </w:tr>
      <w:tr>
        <w:trPr/>
        <w:tc>
          <w:tcPr>
            <w:tcW w:w="9930" w:type="dxa"/>
            <w:tcBorders/>
            <w:vAlign w:val="center"/>
          </w:tcPr>
          <w:p>
            <w:pPr>
              <w:pStyle w:val="TableContents"/>
              <w:bidi w:val="0"/>
              <w:spacing w:before="0" w:after="283"/>
              <w:jc w:val="left"/>
              <w:rPr/>
            </w:pPr>
            <w:r>
              <w:rPr/>
              <w:t>ARTICLE IX. SUPPLEMENTAL INDENTURES</w:t>
            </w:r>
          </w:p>
        </w:tc>
        <w:tc>
          <w:tcPr>
            <w:tcW w:w="275" w:type="dxa"/>
            <w:tcBorders/>
            <w:vAlign w:val="center"/>
          </w:tcPr>
          <w:p>
            <w:pPr>
              <w:pStyle w:val="TableContents"/>
              <w:bidi w:val="0"/>
              <w:spacing w:before="0" w:after="283"/>
              <w:jc w:val="right"/>
              <w:rPr/>
            </w:pPr>
            <w:r>
              <w:rPr/>
              <w:t>24</w:t>
            </w:r>
          </w:p>
        </w:tc>
      </w:tr>
      <w:tr>
        <w:trPr/>
        <w:tc>
          <w:tcPr>
            <w:tcW w:w="9930" w:type="dxa"/>
            <w:tcBorders/>
            <w:vAlign w:val="center"/>
          </w:tcPr>
          <w:p>
            <w:pPr>
              <w:pStyle w:val="TableContents"/>
              <w:bidi w:val="0"/>
              <w:spacing w:before="0" w:after="283"/>
              <w:jc w:val="left"/>
              <w:rPr/>
            </w:pPr>
            <w:r>
              <w:rPr/>
              <w:t>SECTION 9.1       Supplemental Indentures Without the Consent of Securityholders</w:t>
            </w:r>
          </w:p>
        </w:tc>
        <w:tc>
          <w:tcPr>
            <w:tcW w:w="275" w:type="dxa"/>
            <w:tcBorders/>
            <w:vAlign w:val="center"/>
          </w:tcPr>
          <w:p>
            <w:pPr>
              <w:pStyle w:val="TableContents"/>
              <w:bidi w:val="0"/>
              <w:spacing w:before="0" w:after="283"/>
              <w:jc w:val="right"/>
              <w:rPr/>
            </w:pPr>
            <w:r>
              <w:rPr/>
              <w:t>24</w:t>
            </w:r>
          </w:p>
        </w:tc>
      </w:tr>
      <w:tr>
        <w:trPr/>
        <w:tc>
          <w:tcPr>
            <w:tcW w:w="9930" w:type="dxa"/>
            <w:tcBorders/>
            <w:vAlign w:val="center"/>
          </w:tcPr>
          <w:p>
            <w:pPr>
              <w:pStyle w:val="TableContents"/>
              <w:bidi w:val="0"/>
              <w:spacing w:before="0" w:after="283"/>
              <w:jc w:val="left"/>
              <w:rPr/>
            </w:pPr>
            <w:r>
              <w:rPr/>
              <w:t>SECTION 9.2       Supplemental Indentures With Consent of Securityholders</w:t>
            </w:r>
          </w:p>
        </w:tc>
        <w:tc>
          <w:tcPr>
            <w:tcW w:w="275" w:type="dxa"/>
            <w:tcBorders/>
            <w:vAlign w:val="center"/>
          </w:tcPr>
          <w:p>
            <w:pPr>
              <w:pStyle w:val="TableContents"/>
              <w:bidi w:val="0"/>
              <w:spacing w:before="0" w:after="283"/>
              <w:jc w:val="right"/>
              <w:rPr/>
            </w:pPr>
            <w:r>
              <w:rPr/>
              <w:t>24</w:t>
            </w:r>
          </w:p>
        </w:tc>
      </w:tr>
      <w:tr>
        <w:trPr/>
        <w:tc>
          <w:tcPr>
            <w:tcW w:w="9930" w:type="dxa"/>
            <w:tcBorders/>
            <w:vAlign w:val="center"/>
          </w:tcPr>
          <w:p>
            <w:pPr>
              <w:pStyle w:val="TableContents"/>
              <w:bidi w:val="0"/>
              <w:spacing w:before="0" w:after="283"/>
              <w:jc w:val="left"/>
              <w:rPr/>
            </w:pPr>
            <w:r>
              <w:rPr/>
              <w:t>SECTION 9.3       Effect of Supplemental Indentures</w:t>
            </w:r>
          </w:p>
        </w:tc>
        <w:tc>
          <w:tcPr>
            <w:tcW w:w="275" w:type="dxa"/>
            <w:tcBorders/>
            <w:vAlign w:val="center"/>
          </w:tcPr>
          <w:p>
            <w:pPr>
              <w:pStyle w:val="TableContents"/>
              <w:bidi w:val="0"/>
              <w:spacing w:before="0" w:after="283"/>
              <w:jc w:val="right"/>
              <w:rPr/>
            </w:pPr>
            <w:r>
              <w:rPr/>
              <w:t>25</w:t>
            </w:r>
          </w:p>
        </w:tc>
      </w:tr>
      <w:tr>
        <w:trPr/>
        <w:tc>
          <w:tcPr>
            <w:tcW w:w="9930" w:type="dxa"/>
            <w:tcBorders/>
            <w:vAlign w:val="center"/>
          </w:tcPr>
          <w:p>
            <w:pPr>
              <w:pStyle w:val="TableContents"/>
              <w:bidi w:val="0"/>
              <w:spacing w:before="0" w:after="283"/>
              <w:jc w:val="left"/>
              <w:rPr/>
            </w:pPr>
            <w:r>
              <w:rPr/>
              <w:t>SECTION 9.4       Securities Affected by Supplemental Indentures</w:t>
            </w:r>
          </w:p>
        </w:tc>
        <w:tc>
          <w:tcPr>
            <w:tcW w:w="275" w:type="dxa"/>
            <w:tcBorders/>
            <w:vAlign w:val="center"/>
          </w:tcPr>
          <w:p>
            <w:pPr>
              <w:pStyle w:val="TableContents"/>
              <w:bidi w:val="0"/>
              <w:spacing w:before="0" w:after="283"/>
              <w:jc w:val="right"/>
              <w:rPr/>
            </w:pPr>
            <w:r>
              <w:rPr/>
              <w:t>25</w:t>
            </w:r>
          </w:p>
        </w:tc>
      </w:tr>
      <w:tr>
        <w:trPr/>
        <w:tc>
          <w:tcPr>
            <w:tcW w:w="9930" w:type="dxa"/>
            <w:tcBorders/>
            <w:vAlign w:val="center"/>
          </w:tcPr>
          <w:p>
            <w:pPr>
              <w:pStyle w:val="TableContents"/>
              <w:bidi w:val="0"/>
              <w:spacing w:before="0" w:after="283"/>
              <w:jc w:val="left"/>
              <w:rPr/>
            </w:pPr>
            <w:r>
              <w:rPr/>
              <w:t>SECTION 9.5       Execution of Supplemental Indentures</w:t>
            </w:r>
          </w:p>
        </w:tc>
        <w:tc>
          <w:tcPr>
            <w:tcW w:w="275" w:type="dxa"/>
            <w:tcBorders/>
            <w:vAlign w:val="center"/>
          </w:tcPr>
          <w:p>
            <w:pPr>
              <w:pStyle w:val="TableContents"/>
              <w:bidi w:val="0"/>
              <w:spacing w:before="0" w:after="283"/>
              <w:jc w:val="right"/>
              <w:rPr/>
            </w:pPr>
            <w:r>
              <w:rPr/>
              <w:t>25</w:t>
            </w:r>
          </w:p>
        </w:tc>
      </w:tr>
      <w:tr>
        <w:trPr/>
        <w:tc>
          <w:tcPr>
            <w:tcW w:w="9930" w:type="dxa"/>
            <w:tcBorders/>
            <w:vAlign w:val="center"/>
          </w:tcPr>
          <w:p>
            <w:pPr>
              <w:pStyle w:val="TableContents"/>
              <w:bidi w:val="0"/>
              <w:spacing w:before="0" w:after="283"/>
              <w:jc w:val="left"/>
              <w:rPr/>
            </w:pPr>
            <w:r>
              <w:rPr/>
              <w:t>ARTICLE X. SUCCESSOR ENTITY</w:t>
            </w:r>
          </w:p>
        </w:tc>
        <w:tc>
          <w:tcPr>
            <w:tcW w:w="275" w:type="dxa"/>
            <w:tcBorders/>
            <w:vAlign w:val="center"/>
          </w:tcPr>
          <w:p>
            <w:pPr>
              <w:pStyle w:val="TableContents"/>
              <w:bidi w:val="0"/>
              <w:spacing w:before="0" w:after="283"/>
              <w:jc w:val="right"/>
              <w:rPr/>
            </w:pPr>
            <w:r>
              <w:rPr/>
              <w:t>25</w:t>
            </w:r>
          </w:p>
        </w:tc>
      </w:tr>
      <w:tr>
        <w:trPr/>
        <w:tc>
          <w:tcPr>
            <w:tcW w:w="9930" w:type="dxa"/>
            <w:tcBorders/>
            <w:vAlign w:val="center"/>
          </w:tcPr>
          <w:p>
            <w:pPr>
              <w:pStyle w:val="TableContents"/>
              <w:bidi w:val="0"/>
              <w:spacing w:before="0" w:after="283"/>
              <w:jc w:val="left"/>
              <w:rPr/>
            </w:pPr>
            <w:r>
              <w:rPr/>
              <w:t>SECTION 10.1     Company May Consolidate, Etc.</w:t>
            </w:r>
          </w:p>
        </w:tc>
        <w:tc>
          <w:tcPr>
            <w:tcW w:w="275" w:type="dxa"/>
            <w:tcBorders/>
            <w:vAlign w:val="center"/>
          </w:tcPr>
          <w:p>
            <w:pPr>
              <w:pStyle w:val="TableContents"/>
              <w:bidi w:val="0"/>
              <w:spacing w:before="0" w:after="283"/>
              <w:jc w:val="right"/>
              <w:rPr/>
            </w:pPr>
            <w:r>
              <w:rPr/>
              <w:t>25</w:t>
            </w:r>
          </w:p>
        </w:tc>
      </w:tr>
      <w:tr>
        <w:trPr/>
        <w:tc>
          <w:tcPr>
            <w:tcW w:w="9930" w:type="dxa"/>
            <w:tcBorders/>
            <w:vAlign w:val="center"/>
          </w:tcPr>
          <w:p>
            <w:pPr>
              <w:pStyle w:val="TableContents"/>
              <w:bidi w:val="0"/>
              <w:spacing w:before="0" w:after="283"/>
              <w:jc w:val="left"/>
              <w:rPr/>
            </w:pPr>
            <w:r>
              <w:rPr/>
              <w:t>SECTION 10.2     Successor Entity Substituted</w:t>
            </w:r>
          </w:p>
        </w:tc>
        <w:tc>
          <w:tcPr>
            <w:tcW w:w="275" w:type="dxa"/>
            <w:tcBorders/>
            <w:vAlign w:val="center"/>
          </w:tcPr>
          <w:p>
            <w:pPr>
              <w:pStyle w:val="TableContents"/>
              <w:bidi w:val="0"/>
              <w:spacing w:before="0" w:after="283"/>
              <w:jc w:val="right"/>
              <w:rPr/>
            </w:pPr>
            <w:r>
              <w:rPr/>
              <w:t>26</w:t>
            </w:r>
          </w:p>
        </w:tc>
      </w:tr>
      <w:tr>
        <w:trPr/>
        <w:tc>
          <w:tcPr>
            <w:tcW w:w="9930" w:type="dxa"/>
            <w:tcBorders/>
            <w:vAlign w:val="center"/>
          </w:tcPr>
          <w:p>
            <w:pPr>
              <w:pStyle w:val="TableContents"/>
              <w:bidi w:val="0"/>
              <w:spacing w:before="0" w:after="283"/>
              <w:jc w:val="left"/>
              <w:rPr/>
            </w:pPr>
            <w:r>
              <w:rPr/>
              <w:t>SECTION 10.3     Evidence of Consolidation, Etc.</w:t>
            </w:r>
          </w:p>
        </w:tc>
        <w:tc>
          <w:tcPr>
            <w:tcW w:w="275" w:type="dxa"/>
            <w:tcBorders/>
            <w:vAlign w:val="center"/>
          </w:tcPr>
          <w:p>
            <w:pPr>
              <w:pStyle w:val="TableContents"/>
              <w:bidi w:val="0"/>
              <w:spacing w:before="0" w:after="283"/>
              <w:jc w:val="right"/>
              <w:rPr/>
            </w:pPr>
            <w:r>
              <w:rPr/>
              <w:t>26</w:t>
            </w:r>
          </w:p>
        </w:tc>
      </w:tr>
      <w:tr>
        <w:trPr/>
        <w:tc>
          <w:tcPr>
            <w:tcW w:w="9930" w:type="dxa"/>
            <w:tcBorders/>
            <w:vAlign w:val="center"/>
          </w:tcPr>
          <w:p>
            <w:pPr>
              <w:pStyle w:val="TableContents"/>
              <w:bidi w:val="0"/>
              <w:spacing w:before="0" w:after="283"/>
              <w:jc w:val="left"/>
              <w:rPr/>
            </w:pPr>
            <w:r>
              <w:rPr/>
              <w:t>ARTICLE XI. SATISFACTION AND DISCHARGE</w:t>
            </w:r>
          </w:p>
        </w:tc>
        <w:tc>
          <w:tcPr>
            <w:tcW w:w="275" w:type="dxa"/>
            <w:tcBorders/>
            <w:vAlign w:val="center"/>
          </w:tcPr>
          <w:p>
            <w:pPr>
              <w:pStyle w:val="TableContents"/>
              <w:bidi w:val="0"/>
              <w:spacing w:before="0" w:after="283"/>
              <w:jc w:val="right"/>
              <w:rPr/>
            </w:pPr>
            <w:r>
              <w:rPr/>
              <w:t>26</w:t>
            </w:r>
          </w:p>
        </w:tc>
      </w:tr>
      <w:tr>
        <w:trPr/>
        <w:tc>
          <w:tcPr>
            <w:tcW w:w="9930" w:type="dxa"/>
            <w:tcBorders/>
            <w:vAlign w:val="center"/>
          </w:tcPr>
          <w:p>
            <w:pPr>
              <w:pStyle w:val="TableContents"/>
              <w:bidi w:val="0"/>
              <w:spacing w:before="0" w:after="283"/>
              <w:jc w:val="left"/>
              <w:rPr/>
            </w:pPr>
            <w:r>
              <w:rPr/>
              <w:t>SECTION 11.1     Satisfaction and Discharge of Indenture</w:t>
            </w:r>
          </w:p>
        </w:tc>
        <w:tc>
          <w:tcPr>
            <w:tcW w:w="275" w:type="dxa"/>
            <w:tcBorders/>
            <w:vAlign w:val="center"/>
          </w:tcPr>
          <w:p>
            <w:pPr>
              <w:pStyle w:val="TableContents"/>
              <w:bidi w:val="0"/>
              <w:spacing w:before="0" w:after="283"/>
              <w:jc w:val="right"/>
              <w:rPr/>
            </w:pPr>
            <w:r>
              <w:rPr/>
              <w:t>26</w:t>
            </w:r>
          </w:p>
        </w:tc>
      </w:tr>
      <w:tr>
        <w:trPr/>
        <w:tc>
          <w:tcPr>
            <w:tcW w:w="9930" w:type="dxa"/>
            <w:tcBorders/>
            <w:vAlign w:val="center"/>
          </w:tcPr>
          <w:p>
            <w:pPr>
              <w:pStyle w:val="TableContents"/>
              <w:bidi w:val="0"/>
              <w:spacing w:before="0" w:after="283"/>
              <w:jc w:val="left"/>
              <w:rPr/>
            </w:pPr>
            <w:r>
              <w:rPr/>
              <w:t>SECTION 11.2     Discharge of Obligations</w:t>
            </w:r>
          </w:p>
        </w:tc>
        <w:tc>
          <w:tcPr>
            <w:tcW w:w="275" w:type="dxa"/>
            <w:tcBorders/>
            <w:vAlign w:val="center"/>
          </w:tcPr>
          <w:p>
            <w:pPr>
              <w:pStyle w:val="TableContents"/>
              <w:bidi w:val="0"/>
              <w:spacing w:before="0" w:after="283"/>
              <w:jc w:val="right"/>
              <w:rPr/>
            </w:pPr>
            <w:r>
              <w:rPr/>
              <w:t>26</w:t>
            </w:r>
          </w:p>
        </w:tc>
      </w:tr>
      <w:tr>
        <w:trPr/>
        <w:tc>
          <w:tcPr>
            <w:tcW w:w="9930" w:type="dxa"/>
            <w:tcBorders/>
            <w:vAlign w:val="center"/>
          </w:tcPr>
          <w:p>
            <w:pPr>
              <w:pStyle w:val="TableContents"/>
              <w:bidi w:val="0"/>
              <w:spacing w:before="0" w:after="283"/>
              <w:jc w:val="left"/>
              <w:rPr/>
            </w:pPr>
            <w:r>
              <w:rPr/>
              <w:t>SECTION 11.3     Deposited Moneys to be Held in Trust</w:t>
            </w:r>
          </w:p>
        </w:tc>
        <w:tc>
          <w:tcPr>
            <w:tcW w:w="275" w:type="dxa"/>
            <w:tcBorders/>
            <w:vAlign w:val="center"/>
          </w:tcPr>
          <w:p>
            <w:pPr>
              <w:pStyle w:val="TableContents"/>
              <w:bidi w:val="0"/>
              <w:spacing w:before="0" w:after="283"/>
              <w:jc w:val="right"/>
              <w:rPr/>
            </w:pPr>
            <w:r>
              <w:rPr/>
              <w:t>27</w:t>
            </w:r>
          </w:p>
        </w:tc>
      </w:tr>
      <w:tr>
        <w:trPr/>
        <w:tc>
          <w:tcPr>
            <w:tcW w:w="9930" w:type="dxa"/>
            <w:tcBorders/>
            <w:vAlign w:val="center"/>
          </w:tcPr>
          <w:p>
            <w:pPr>
              <w:pStyle w:val="TableContents"/>
              <w:bidi w:val="0"/>
              <w:spacing w:before="0" w:after="283"/>
              <w:jc w:val="left"/>
              <w:rPr/>
            </w:pPr>
            <w:r>
              <w:rPr/>
              <w:t>SECTION 11.4     Payment of Moneys Held by Paying Agents</w:t>
            </w:r>
          </w:p>
        </w:tc>
        <w:tc>
          <w:tcPr>
            <w:tcW w:w="275" w:type="dxa"/>
            <w:tcBorders/>
            <w:vAlign w:val="center"/>
          </w:tcPr>
          <w:p>
            <w:pPr>
              <w:pStyle w:val="TableContents"/>
              <w:bidi w:val="0"/>
              <w:spacing w:before="0" w:after="283"/>
              <w:jc w:val="right"/>
              <w:rPr/>
            </w:pPr>
            <w:r>
              <w:rPr/>
              <w:t>27</w:t>
            </w:r>
          </w:p>
        </w:tc>
      </w:tr>
      <w:tr>
        <w:trPr/>
        <w:tc>
          <w:tcPr>
            <w:tcW w:w="9930" w:type="dxa"/>
            <w:tcBorders/>
            <w:vAlign w:val="center"/>
          </w:tcPr>
          <w:p>
            <w:pPr>
              <w:pStyle w:val="TableContents"/>
              <w:bidi w:val="0"/>
              <w:spacing w:before="0" w:after="283"/>
              <w:jc w:val="left"/>
              <w:rPr/>
            </w:pPr>
            <w:r>
              <w:rPr/>
              <w:t>SECTION 11.5     Repayment to Company</w:t>
            </w:r>
          </w:p>
        </w:tc>
        <w:tc>
          <w:tcPr>
            <w:tcW w:w="275" w:type="dxa"/>
            <w:tcBorders/>
            <w:vAlign w:val="center"/>
          </w:tcPr>
          <w:p>
            <w:pPr>
              <w:pStyle w:val="TableContents"/>
              <w:bidi w:val="0"/>
              <w:spacing w:before="0" w:after="283"/>
              <w:jc w:val="right"/>
              <w:rPr/>
            </w:pPr>
            <w:r>
              <w:rPr/>
              <w:t>27</w:t>
            </w:r>
          </w:p>
        </w:tc>
      </w:tr>
      <w:tr>
        <w:trPr/>
        <w:tc>
          <w:tcPr>
            <w:tcW w:w="9930" w:type="dxa"/>
            <w:tcBorders/>
            <w:vAlign w:val="center"/>
          </w:tcPr>
          <w:p>
            <w:pPr>
              <w:pStyle w:val="TableContents"/>
              <w:bidi w:val="0"/>
              <w:spacing w:before="0" w:after="283"/>
              <w:jc w:val="left"/>
              <w:rPr/>
            </w:pPr>
            <w:r>
              <w:rPr/>
              <w:t>ARTICLE XII. IMMUNITY OF INCORPORATORS, SHAREHOLDERS, OFFICERS AND DIRECTORS</w:t>
            </w:r>
          </w:p>
        </w:tc>
        <w:tc>
          <w:tcPr>
            <w:tcW w:w="275" w:type="dxa"/>
            <w:tcBorders/>
            <w:vAlign w:val="center"/>
          </w:tcPr>
          <w:p>
            <w:pPr>
              <w:pStyle w:val="TableContents"/>
              <w:bidi w:val="0"/>
              <w:spacing w:before="0" w:after="283"/>
              <w:jc w:val="right"/>
              <w:rPr/>
            </w:pPr>
            <w:r>
              <w:rPr/>
              <w:t>27</w:t>
            </w:r>
          </w:p>
        </w:tc>
      </w:tr>
      <w:tr>
        <w:trPr/>
        <w:tc>
          <w:tcPr>
            <w:tcW w:w="9930" w:type="dxa"/>
            <w:tcBorders/>
            <w:vAlign w:val="center"/>
          </w:tcPr>
          <w:p>
            <w:pPr>
              <w:pStyle w:val="TableContents"/>
              <w:bidi w:val="0"/>
              <w:spacing w:before="0" w:after="283"/>
              <w:jc w:val="left"/>
              <w:rPr/>
            </w:pPr>
            <w:r>
              <w:rPr/>
              <w:t>SECTION 12.1     No Recourse</w:t>
            </w:r>
          </w:p>
        </w:tc>
        <w:tc>
          <w:tcPr>
            <w:tcW w:w="275" w:type="dxa"/>
            <w:tcBorders/>
            <w:vAlign w:val="center"/>
          </w:tcPr>
          <w:p>
            <w:pPr>
              <w:pStyle w:val="TableContents"/>
              <w:bidi w:val="0"/>
              <w:spacing w:before="0" w:after="283"/>
              <w:jc w:val="right"/>
              <w:rPr/>
            </w:pPr>
            <w:r>
              <w:rPr/>
              <w:t>27</w:t>
            </w:r>
          </w:p>
        </w:tc>
      </w:tr>
      <w:tr>
        <w:trPr/>
        <w:tc>
          <w:tcPr>
            <w:tcW w:w="9930" w:type="dxa"/>
            <w:tcBorders/>
            <w:vAlign w:val="center"/>
          </w:tcPr>
          <w:p>
            <w:pPr>
              <w:pStyle w:val="TableContents"/>
              <w:bidi w:val="0"/>
              <w:spacing w:before="0" w:after="283"/>
              <w:jc w:val="left"/>
              <w:rPr/>
            </w:pPr>
            <w:r>
              <w:rPr/>
              <w:t>ARTICLE XIII. MISCELLANEOUS PROVISIONS</w:t>
            </w:r>
          </w:p>
        </w:tc>
        <w:tc>
          <w:tcPr>
            <w:tcW w:w="275" w:type="dxa"/>
            <w:tcBorders/>
            <w:vAlign w:val="center"/>
          </w:tcPr>
          <w:p>
            <w:pPr>
              <w:pStyle w:val="TableContents"/>
              <w:bidi w:val="0"/>
              <w:spacing w:before="0" w:after="283"/>
              <w:jc w:val="right"/>
              <w:rPr/>
            </w:pPr>
            <w:r>
              <w:rPr/>
              <w:t>27</w:t>
            </w:r>
          </w:p>
        </w:tc>
      </w:tr>
      <w:tr>
        <w:trPr/>
        <w:tc>
          <w:tcPr>
            <w:tcW w:w="9930" w:type="dxa"/>
            <w:tcBorders/>
            <w:vAlign w:val="center"/>
          </w:tcPr>
          <w:p>
            <w:pPr>
              <w:pStyle w:val="TableContents"/>
              <w:bidi w:val="0"/>
              <w:spacing w:before="0" w:after="283"/>
              <w:jc w:val="left"/>
              <w:rPr/>
            </w:pPr>
            <w:r>
              <w:rPr/>
              <w:t>SECTION 13.1     Effect on Successors and Assigns</w:t>
            </w:r>
          </w:p>
        </w:tc>
        <w:tc>
          <w:tcPr>
            <w:tcW w:w="275" w:type="dxa"/>
            <w:tcBorders/>
            <w:vAlign w:val="center"/>
          </w:tcPr>
          <w:p>
            <w:pPr>
              <w:pStyle w:val="TableContents"/>
              <w:bidi w:val="0"/>
              <w:spacing w:before="0" w:after="283"/>
              <w:jc w:val="right"/>
              <w:rPr/>
            </w:pPr>
            <w:r>
              <w:rPr/>
              <w:t>27</w:t>
            </w:r>
          </w:p>
        </w:tc>
      </w:tr>
      <w:tr>
        <w:trPr/>
        <w:tc>
          <w:tcPr>
            <w:tcW w:w="9930" w:type="dxa"/>
            <w:tcBorders/>
            <w:vAlign w:val="center"/>
          </w:tcPr>
          <w:p>
            <w:pPr>
              <w:pStyle w:val="TableContents"/>
              <w:bidi w:val="0"/>
              <w:spacing w:before="0" w:after="283"/>
              <w:jc w:val="left"/>
              <w:rPr/>
            </w:pPr>
            <w:r>
              <w:rPr/>
              <w:t>SECTION 13.2     Actions by Successor</w:t>
            </w:r>
          </w:p>
        </w:tc>
        <w:tc>
          <w:tcPr>
            <w:tcW w:w="275" w:type="dxa"/>
            <w:tcBorders/>
            <w:vAlign w:val="center"/>
          </w:tcPr>
          <w:p>
            <w:pPr>
              <w:pStyle w:val="TableContents"/>
              <w:bidi w:val="0"/>
              <w:spacing w:before="0" w:after="283"/>
              <w:jc w:val="right"/>
              <w:rPr/>
            </w:pPr>
            <w:r>
              <w:rPr/>
              <w:t>27</w:t>
            </w:r>
          </w:p>
        </w:tc>
      </w:tr>
      <w:tr>
        <w:trPr/>
        <w:tc>
          <w:tcPr>
            <w:tcW w:w="9930" w:type="dxa"/>
            <w:tcBorders/>
            <w:vAlign w:val="center"/>
          </w:tcPr>
          <w:p>
            <w:pPr>
              <w:pStyle w:val="TableContents"/>
              <w:bidi w:val="0"/>
              <w:spacing w:before="0" w:after="283"/>
              <w:jc w:val="left"/>
              <w:rPr/>
            </w:pPr>
            <w:r>
              <w:rPr/>
              <w:t>SECTION 13.3     Surrender of Company Powers</w:t>
            </w:r>
          </w:p>
        </w:tc>
        <w:tc>
          <w:tcPr>
            <w:tcW w:w="275" w:type="dxa"/>
            <w:tcBorders/>
            <w:vAlign w:val="center"/>
          </w:tcPr>
          <w:p>
            <w:pPr>
              <w:pStyle w:val="TableContents"/>
              <w:bidi w:val="0"/>
              <w:spacing w:before="0" w:after="283"/>
              <w:jc w:val="right"/>
              <w:rPr/>
            </w:pPr>
            <w:r>
              <w:rPr/>
              <w:t>28</w:t>
            </w:r>
          </w:p>
        </w:tc>
      </w:tr>
      <w:tr>
        <w:trPr/>
        <w:tc>
          <w:tcPr>
            <w:tcW w:w="9930" w:type="dxa"/>
            <w:tcBorders/>
            <w:vAlign w:val="center"/>
          </w:tcPr>
          <w:p>
            <w:pPr>
              <w:pStyle w:val="TableContents"/>
              <w:bidi w:val="0"/>
              <w:spacing w:before="0" w:after="283"/>
              <w:jc w:val="left"/>
              <w:rPr/>
            </w:pPr>
            <w:r>
              <w:rPr/>
              <w:t>SECTION 13.4     Notices</w:t>
            </w:r>
          </w:p>
        </w:tc>
        <w:tc>
          <w:tcPr>
            <w:tcW w:w="275" w:type="dxa"/>
            <w:tcBorders/>
            <w:vAlign w:val="center"/>
          </w:tcPr>
          <w:p>
            <w:pPr>
              <w:pStyle w:val="TableContents"/>
              <w:bidi w:val="0"/>
              <w:spacing w:before="0" w:after="283"/>
              <w:jc w:val="right"/>
              <w:rPr/>
            </w:pPr>
            <w:r>
              <w:rPr/>
              <w:t>28</w:t>
            </w:r>
          </w:p>
        </w:tc>
      </w:tr>
      <w:tr>
        <w:trPr/>
        <w:tc>
          <w:tcPr>
            <w:tcW w:w="9930" w:type="dxa"/>
            <w:tcBorders/>
            <w:vAlign w:val="center"/>
          </w:tcPr>
          <w:p>
            <w:pPr>
              <w:pStyle w:val="TableContents"/>
              <w:bidi w:val="0"/>
              <w:spacing w:before="0" w:after="283"/>
              <w:jc w:val="left"/>
              <w:rPr/>
            </w:pPr>
            <w:r>
              <w:rPr/>
              <w:t>SECTION 13.5     Governing Law</w:t>
            </w:r>
          </w:p>
        </w:tc>
        <w:tc>
          <w:tcPr>
            <w:tcW w:w="275" w:type="dxa"/>
            <w:tcBorders/>
            <w:vAlign w:val="center"/>
          </w:tcPr>
          <w:p>
            <w:pPr>
              <w:pStyle w:val="TableContents"/>
              <w:bidi w:val="0"/>
              <w:spacing w:before="0" w:after="283"/>
              <w:jc w:val="right"/>
              <w:rPr/>
            </w:pPr>
            <w:r>
              <w:rPr/>
              <w:t>28</w:t>
            </w:r>
          </w:p>
        </w:tc>
      </w:tr>
      <w:tr>
        <w:trPr/>
        <w:tc>
          <w:tcPr>
            <w:tcW w:w="9930" w:type="dxa"/>
            <w:tcBorders/>
            <w:vAlign w:val="center"/>
          </w:tcPr>
          <w:p>
            <w:pPr>
              <w:pStyle w:val="TableContents"/>
              <w:bidi w:val="0"/>
              <w:spacing w:before="0" w:after="283"/>
              <w:jc w:val="left"/>
              <w:rPr/>
            </w:pPr>
            <w:r>
              <w:rPr/>
              <w:t>SECTION 13.6     Treatment of Securities as Debt</w:t>
            </w:r>
          </w:p>
        </w:tc>
        <w:tc>
          <w:tcPr>
            <w:tcW w:w="275" w:type="dxa"/>
            <w:tcBorders/>
            <w:vAlign w:val="center"/>
          </w:tcPr>
          <w:p>
            <w:pPr>
              <w:pStyle w:val="TableContents"/>
              <w:bidi w:val="0"/>
              <w:spacing w:before="0" w:after="283"/>
              <w:jc w:val="right"/>
              <w:rPr/>
            </w:pPr>
            <w:r>
              <w:rPr/>
              <w:t>28</w:t>
            </w:r>
          </w:p>
        </w:tc>
      </w:tr>
      <w:tr>
        <w:trPr/>
        <w:tc>
          <w:tcPr>
            <w:tcW w:w="9930" w:type="dxa"/>
            <w:tcBorders/>
            <w:vAlign w:val="center"/>
          </w:tcPr>
          <w:p>
            <w:pPr>
              <w:pStyle w:val="TableContents"/>
              <w:bidi w:val="0"/>
              <w:spacing w:before="0" w:after="283"/>
              <w:jc w:val="left"/>
              <w:rPr/>
            </w:pPr>
            <w:r>
              <w:rPr/>
              <w:t>SECTION 13.7     Compliance Certificates and Opinions</w:t>
            </w:r>
          </w:p>
        </w:tc>
        <w:tc>
          <w:tcPr>
            <w:tcW w:w="275" w:type="dxa"/>
            <w:tcBorders/>
            <w:vAlign w:val="center"/>
          </w:tcPr>
          <w:p>
            <w:pPr>
              <w:pStyle w:val="TableContents"/>
              <w:bidi w:val="0"/>
              <w:spacing w:before="0" w:after="283"/>
              <w:jc w:val="right"/>
              <w:rPr/>
            </w:pPr>
            <w:r>
              <w:rPr/>
              <w:t>28</w:t>
            </w:r>
          </w:p>
        </w:tc>
      </w:tr>
      <w:tr>
        <w:trPr/>
        <w:tc>
          <w:tcPr>
            <w:tcW w:w="9930" w:type="dxa"/>
            <w:tcBorders/>
            <w:vAlign w:val="center"/>
          </w:tcPr>
          <w:p>
            <w:pPr>
              <w:pStyle w:val="TableContents"/>
              <w:bidi w:val="0"/>
              <w:spacing w:before="0" w:after="283"/>
              <w:jc w:val="left"/>
              <w:rPr/>
            </w:pPr>
            <w:r>
              <w:rPr/>
              <w:t>SECTION 13.8     Payments on Business Days</w:t>
            </w:r>
          </w:p>
        </w:tc>
        <w:tc>
          <w:tcPr>
            <w:tcW w:w="275" w:type="dxa"/>
            <w:tcBorders/>
            <w:vAlign w:val="center"/>
          </w:tcPr>
          <w:p>
            <w:pPr>
              <w:pStyle w:val="TableContents"/>
              <w:bidi w:val="0"/>
              <w:spacing w:before="0" w:after="283"/>
              <w:jc w:val="right"/>
              <w:rPr/>
            </w:pPr>
            <w:r>
              <w:rPr/>
              <w:t>28</w:t>
            </w:r>
          </w:p>
        </w:tc>
      </w:tr>
      <w:tr>
        <w:trPr/>
        <w:tc>
          <w:tcPr>
            <w:tcW w:w="9930" w:type="dxa"/>
            <w:tcBorders/>
            <w:vAlign w:val="center"/>
          </w:tcPr>
          <w:p>
            <w:pPr>
              <w:pStyle w:val="TableContents"/>
              <w:bidi w:val="0"/>
              <w:spacing w:before="0" w:after="283"/>
              <w:jc w:val="left"/>
              <w:rPr/>
            </w:pPr>
            <w:r>
              <w:rPr/>
              <w:t>SECTION 13.9     Conflict with Trust Indenture Act</w:t>
            </w:r>
          </w:p>
        </w:tc>
        <w:tc>
          <w:tcPr>
            <w:tcW w:w="275" w:type="dxa"/>
            <w:tcBorders/>
            <w:vAlign w:val="center"/>
          </w:tcPr>
          <w:p>
            <w:pPr>
              <w:pStyle w:val="TableContents"/>
              <w:bidi w:val="0"/>
              <w:spacing w:before="0" w:after="283"/>
              <w:jc w:val="right"/>
              <w:rPr/>
            </w:pPr>
            <w:r>
              <w:rPr/>
              <w:t>28</w:t>
            </w:r>
          </w:p>
        </w:tc>
      </w:tr>
      <w:tr>
        <w:trPr/>
        <w:tc>
          <w:tcPr>
            <w:tcW w:w="9930" w:type="dxa"/>
            <w:tcBorders/>
            <w:vAlign w:val="center"/>
          </w:tcPr>
          <w:p>
            <w:pPr>
              <w:pStyle w:val="TableContents"/>
              <w:bidi w:val="0"/>
              <w:spacing w:before="0" w:after="283"/>
              <w:jc w:val="left"/>
              <w:rPr/>
            </w:pPr>
            <w:r>
              <w:rPr/>
              <w:t>SECTION 13.10   Counterparts</w:t>
            </w:r>
          </w:p>
        </w:tc>
        <w:tc>
          <w:tcPr>
            <w:tcW w:w="275" w:type="dxa"/>
            <w:tcBorders/>
            <w:vAlign w:val="center"/>
          </w:tcPr>
          <w:p>
            <w:pPr>
              <w:pStyle w:val="TableContents"/>
              <w:bidi w:val="0"/>
              <w:spacing w:before="0" w:after="283"/>
              <w:jc w:val="right"/>
              <w:rPr/>
            </w:pPr>
            <w:r>
              <w:rPr/>
              <w:t>29</w:t>
            </w:r>
          </w:p>
        </w:tc>
      </w:tr>
      <w:tr>
        <w:trPr/>
        <w:tc>
          <w:tcPr>
            <w:tcW w:w="9930" w:type="dxa"/>
            <w:tcBorders/>
            <w:vAlign w:val="center"/>
          </w:tcPr>
          <w:p>
            <w:pPr>
              <w:pStyle w:val="TableContents"/>
              <w:bidi w:val="0"/>
              <w:spacing w:before="0" w:after="283"/>
              <w:jc w:val="left"/>
              <w:rPr/>
            </w:pPr>
            <w:r>
              <w:rPr/>
              <w:t>SECTION 13.11   Separability</w:t>
            </w:r>
          </w:p>
        </w:tc>
        <w:tc>
          <w:tcPr>
            <w:tcW w:w="275" w:type="dxa"/>
            <w:tcBorders/>
            <w:vAlign w:val="center"/>
          </w:tcPr>
          <w:p>
            <w:pPr>
              <w:pStyle w:val="TableContents"/>
              <w:bidi w:val="0"/>
              <w:spacing w:before="0" w:after="283"/>
              <w:jc w:val="right"/>
              <w:rPr/>
            </w:pPr>
            <w:r>
              <w:rPr/>
              <w:t>29</w:t>
            </w:r>
          </w:p>
        </w:tc>
      </w:tr>
      <w:tr>
        <w:trPr/>
        <w:tc>
          <w:tcPr>
            <w:tcW w:w="9930" w:type="dxa"/>
            <w:tcBorders/>
            <w:vAlign w:val="center"/>
          </w:tcPr>
          <w:p>
            <w:pPr>
              <w:pStyle w:val="TableContents"/>
              <w:bidi w:val="0"/>
              <w:spacing w:before="0" w:after="283"/>
              <w:jc w:val="left"/>
              <w:rPr/>
            </w:pPr>
            <w:r>
              <w:rPr/>
              <w:t>SECTION 13.12   Assignment</w:t>
            </w:r>
          </w:p>
        </w:tc>
        <w:tc>
          <w:tcPr>
            <w:tcW w:w="275" w:type="dxa"/>
            <w:tcBorders/>
            <w:vAlign w:val="center"/>
          </w:tcPr>
          <w:p>
            <w:pPr>
              <w:pStyle w:val="TableContents"/>
              <w:bidi w:val="0"/>
              <w:spacing w:before="0" w:after="283"/>
              <w:jc w:val="right"/>
              <w:rPr/>
            </w:pPr>
            <w:r>
              <w:rPr/>
              <w:t>29</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283"/>
              <w:jc w:val="left"/>
              <w:rPr/>
            </w:pPr>
            <w:r>
              <w:rPr/>
              <w:t>This Table of Contents does not constitute part of the Indenture and shall not have any bearing on the interpretation of any of its terms and provisions.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 by and between TMC the metals company Inc., a corporation existing under the laws of British Columbia, Canada (the “Company”), and [ ], as trustee (the “Trustee”):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to provide the terms and conditions upon which the Securities are to be authenticated, issued and delivered, the Company has duly authorized the execution of this Indenture; and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agreement of the Company, in accordance with its terms, have been done.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 of Terms</w:t>
      </w:r>
      <w:r>
        <w:rPr>
          <w:rFonts w:ascii="Times New Roman;Times;Serif" w:hAnsi="Times New Roman;Times;Serif"/>
          <w:b w:val="false"/>
          <w:i w:val="false"/>
          <w:caps w:val="false"/>
          <w:smallCaps w:val="false"/>
          <w:sz w:val="20"/>
        </w:rPr>
        <w:t>. 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Authenticating Agent” means an authenticating agent with respect to all or any of the series of Securities appointed with respect to all or any series of the Securities by the Trustee pursuant to Section 2.10.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Bankruptcy Law” means Title 11, U.S. Code, or any similar federal or state law for the relief of debtors.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means the Board of Directors of the Company or any duly authorized committee of such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Resolution” means a copy of a resolution certified by the Secretary or an Assistant Secretary of the Company to have been duly adopted by the Board of Directors and to be in full force and effect on the date of such certification.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Certificate” means a certificate signed by the principal executive officer, the principal financial officer or the principal accounting officer of the Company. The Certificate need not comply with the provisions of Section 13.07.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means the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Custodian” means any receiver, trustee, assignee, liquidator, or similar official under any Bankruptcy Law. “Default” means an event which is, or after notice or lapse of time, or both, would constitute an Event of Default.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means, with respect to Securities of a particular series, any event specified in Section 6.01, continued for the period of time, if any, therein designated.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herein,” “hereof’ and “hereunder,” and other words of similar import, refer to this Indenture as a whole and not to any particular Article, Section or other subdivision.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means this instrument as originally executed or as it may from time to time be supplemented or amended by one or more indentures supplemental hereto entered into in accordance with the terms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Opinion of Counsel” means a written opinion of counsel, who may be counsel to the Company (and may include directors or employees of the Company) and which opinion is acceptable to the Trustee which acceptance shall not be unreasonably withheld.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Outstanding”, when used with reference to Securities of any series, means, subject to the provisions of Section 8.04, as of any particular time, all Securities of that series theretofore authenticated and delivered by the Trustee under this Indenture, except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limited liability company, partnership, joint-venture, association, joint-stock company, trust, estate, unincorporated organization or government or any agency or political subdivision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means the debt Securities authenticated and delivered under this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Security Register” has the meaning specified in Section 2.05.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Security Registrar” has the meaning specified in Section 2.05.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Securityholder,” “holder of Securities,” “registered holder,” or other similar term, means the Person or Persons in whose name or names a particular Security shall be registered in the Security Register.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br/>
        <w:t>ISSUE, DESCRIPTION, TERMS, EXECUTION,</w:t>
        <w:br/>
        <w:t>REGISTRATION AND EXCHANGE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Designation and Terms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Security of the series (which shall distinguish the Securities of the series from all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currency or units based on or relating to currencies in which debt securities of such series are denominated and the currency or units in which principal or interest or both will or may be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date or dates on which the principal of the Securities of the series is payable and the place(s) of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rate or rates at which the Securities of the series shall bear interest or the manner of calculation of such rate or rates,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right, if any, to extend the interest payment periods or to defer the payment of interest and the duration of such extension;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period or periods within which, the price or prices at which and the terms and conditions upon which, Securities of the series may be redeemed, in whole or in part, at the option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whether or not the debt securities will be secured or unsecured, and the terms of any secured debt;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form of the Securities of the series including the form of the Certificate of Authentication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other than denominations of one thousand U.S. dollars ($1,000) or any integral multiple thereof, the denominations in which the Securities of the series shall be issuable;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whether the Securities are issuable as a Global Security and, in such case, the identity of the Depositary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whether the Securities will be convertible into common shares or other securities of the Company and, if so, the terms and conditions upon which such Securities will be so convertible, including the conversion price and the conversion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if other than the principal amount thereof, the portion of the principal amount of Securities of the series which shall be payable upon declaration of acceleration of the maturity thereof pursuant to Section 6.01;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any additional or different Events of Default or restrictive covenants provided for with respect to the Securities of the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any such Board Resolution or in any indentures supplemental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Form of Securities and Trustee’s Certificate</w:t>
      </w:r>
      <w:r>
        <w:rPr>
          <w:rFonts w:ascii="Times New Roman;Times;Serif" w:hAnsi="Times New Roman;Times;Serif"/>
          <w:b w:val="false"/>
          <w:i w:val="false"/>
          <w:caps w:val="false"/>
          <w:smallCaps w:val="false"/>
          <w:sz w:val="20"/>
        </w:rPr>
        <w:t>. 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Denominations: Provisions for Payment</w:t>
      </w:r>
      <w:r>
        <w:rPr>
          <w:rFonts w:ascii="Times New Roman;Times;Serif" w:hAnsi="Times New Roman;Times;Serif"/>
          <w:b w:val="false"/>
          <w:i w:val="false"/>
          <w:caps w:val="false"/>
          <w:smallCaps w:val="false"/>
          <w:sz w:val="20"/>
        </w:rPr>
        <w:t>. 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Execution and Authentications</w:t>
      </w:r>
      <w:r>
        <w:rPr>
          <w:rFonts w:ascii="Times New Roman;Times;Serif" w:hAnsi="Times New Roman;Times;Serif"/>
          <w:b w:val="false"/>
          <w:i w:val="false"/>
          <w:caps w:val="false"/>
          <w:smallCaps w:val="false"/>
          <w:sz w:val="20"/>
        </w:rPr>
        <w:t>. 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securities exchange rule or usage. Each Security shall be dated the date of its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Registration of 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Temporary Securities</w:t>
      </w:r>
      <w:r>
        <w:rPr>
          <w:rFonts w:ascii="Times New Roman;Times;Serif" w:hAnsi="Times New Roman;Times;Serif"/>
          <w:b w:val="false"/>
          <w:i w:val="false"/>
          <w:caps w:val="false"/>
          <w:smallCaps w:val="false"/>
          <w:sz w:val="20"/>
        </w:rPr>
        <w:t>. 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Mutilated, Destroyed, Lost or Stolen Securities</w:t>
      </w:r>
      <w:r>
        <w:rPr>
          <w:rFonts w:ascii="Times New Roman;Times;Serif" w:hAnsi="Times New Roman;Times;Serif"/>
          <w:b w:val="false"/>
          <w:i w:val="false"/>
          <w:caps w:val="false"/>
          <w:smallCaps w:val="false"/>
          <w:sz w:val="20"/>
        </w:rPr>
        <w:t>. 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Benefits of Indenture</w:t>
      </w:r>
      <w:r>
        <w:rPr>
          <w:rFonts w:ascii="Times New Roman;Times;Serif" w:hAnsi="Times New Roman;Times;Serif"/>
          <w:b w:val="false"/>
          <w:i w:val="false"/>
          <w:caps w:val="false"/>
          <w:smallCaps w:val="false"/>
          <w:sz w:val="20"/>
        </w:rPr>
        <w:t>. 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Authenticating Agent</w:t>
      </w:r>
      <w:r>
        <w:rPr>
          <w:rFonts w:ascii="Times New Roman;Times;Serif" w:hAnsi="Times New Roman;Times;Serif"/>
          <w:b w:val="false"/>
          <w:i w:val="false"/>
          <w:caps w:val="false"/>
          <w:smallCaps w:val="false"/>
          <w:sz w:val="20"/>
        </w:rPr>
        <w:t>. 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br/>
        <w:t>REDEMPTION OF SECURITIES AND SINKING FUND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Payment Upon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Sinking Fund</w:t>
      </w:r>
      <w:r>
        <w:rPr>
          <w:rFonts w:ascii="Times New Roman;Times;Serif" w:hAnsi="Times New Roman;Times;Serif"/>
          <w:b w:val="false"/>
          <w:i w:val="false"/>
          <w:caps w:val="false"/>
          <w:smallCaps w:val="false"/>
          <w:sz w:val="20"/>
        </w:rPr>
        <w:t>. 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Satisfaction of Sinking Fund Payments with Securities</w:t>
      </w:r>
      <w:r>
        <w:rPr>
          <w:rFonts w:ascii="Times New Roman;Times;Serif" w:hAnsi="Times New Roman;Times;Serif"/>
          <w:b w:val="false"/>
          <w:i w:val="false"/>
          <w:caps w:val="false"/>
          <w:smallCaps w:val="false"/>
          <w:sz w:val="20"/>
        </w:rPr>
        <w:t>. 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Redemption of Securities for Sinking Fund</w:t>
      </w:r>
      <w:r>
        <w:rPr>
          <w:rFonts w:ascii="Times New Roman;Times;Serif" w:hAnsi="Times New Roman;Times;Serif"/>
          <w:b w:val="false"/>
          <w:i w:val="false"/>
          <w:caps w:val="false"/>
          <w:smallCaps w:val="false"/>
          <w:sz w:val="20"/>
        </w:rPr>
        <w:t>. 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Payment of Principal, Premium and Interest</w:t>
      </w:r>
      <w:r>
        <w:rPr>
          <w:rFonts w:ascii="Times New Roman;Times;Serif" w:hAnsi="Times New Roman;Times;Serif"/>
          <w:b w:val="false"/>
          <w:i w:val="false"/>
          <w:caps w:val="false"/>
          <w:smallCaps w:val="false"/>
          <w:sz w:val="20"/>
        </w:rPr>
        <w:t>. The Company will duly and punctually pay or cause to be paid the principal of (and premium, if any) and interest on the Securities of that series at the time and place and in the manner provided herein and established with respect to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Paying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it will perform all other duties of paying agent as set forth in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Appointment to Fill Vacancy in Office of Trustee</w:t>
      </w:r>
      <w:r>
        <w:rPr>
          <w:rFonts w:ascii="Times New Roman;Times;Serif" w:hAnsi="Times New Roman;Times;Serif"/>
          <w:b w:val="false"/>
          <w:i w:val="false"/>
          <w:caps w:val="false"/>
          <w:smallCaps w:val="false"/>
          <w:sz w:val="20"/>
        </w:rPr>
        <w:t>. 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Compliance with Consolidation Provisions</w:t>
      </w:r>
      <w:r>
        <w:rPr>
          <w:rFonts w:ascii="Times New Roman;Times;Serif" w:hAnsi="Times New Roman;Times;Serif"/>
          <w:b w:val="false"/>
          <w:i w:val="false"/>
          <w:caps w:val="false"/>
          <w:smallCaps w:val="false"/>
          <w:sz w:val="20"/>
        </w:rPr>
        <w:t>. 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br/>
        <w:t>SECURITYHOLDERS’ LISTS AND REPORTS BY THE COMPANY AND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Company to Furnish Trustee Names and Addresses of Securityholders</w:t>
      </w:r>
      <w:r>
        <w:rPr>
          <w:rFonts w:ascii="Times New Roman;Times;Serif" w:hAnsi="Times New Roman;Times;Serif"/>
          <w:b w:val="false"/>
          <w:i w:val="false"/>
          <w:caps w:val="false"/>
          <w:smallCaps w:val="false"/>
          <w:sz w:val="20"/>
        </w:rPr>
        <w:t>. 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Preservation of Information; Communications with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destroy any list furnished to it as provided in Section 5.01 upon receipt of a new list so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Securityholders may communicate as provided in Section 312(b) of the Trust Indenture Act with other Securityholders with respect to their rights under this Indenture or under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Reports by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Reports by the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copy of each such report shall, at the time of such transmission to Securityholders, be filed by the Trustee with the Company, with each securities exchange upon which any Securities are listed (if so listed) and, if required by Section 313 of the Trust Indenture Act, also with the Commission. The Company agrees to notify the Trustee when any Securities become listed on any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br/>
        <w:t>REMEDIES OF THE TRUSTEE AND SECURITYHOLDERS ON EVENT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used herein with respect to Securities of a particular series, “Event of Default” means any one or more of the following events that has occurred and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Application of Moneys Collected</w:t>
      </w:r>
      <w:r>
        <w:rPr>
          <w:rFonts w:ascii="Times New Roman;Times;Serif" w:hAnsi="Times New Roman;Times;Serif"/>
          <w:b w:val="false"/>
          <w:i w:val="false"/>
          <w:caps w:val="false"/>
          <w:smallCaps w:val="false"/>
          <w:sz w:val="20"/>
        </w:rPr>
        <w:t>. 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costs and expenses of collection and of all amounts payable to the Trustee under Section 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Rights and Remedies Cumulative; Delay or Omission Not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Control by Securityholders</w:t>
      </w:r>
      <w:r>
        <w:rPr>
          <w:rFonts w:ascii="Times New Roman;Times;Serif" w:hAnsi="Times New Roman;Times;Serif"/>
          <w:b w:val="false"/>
          <w:i w:val="false"/>
          <w:caps w:val="false"/>
          <w:smallCaps w:val="false"/>
          <w:sz w:val="20"/>
        </w:rPr>
        <w:t>. 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Undertaking to Pay Costs</w:t>
      </w:r>
      <w:r>
        <w:rPr>
          <w:rFonts w:ascii="Times New Roman;Times;Serif" w:hAnsi="Times New Roman;Times;Serif"/>
          <w:b w:val="false"/>
          <w:i w:val="false"/>
          <w:caps w:val="false"/>
          <w:smallCaps w:val="false"/>
          <w:sz w:val="20"/>
        </w:rPr>
        <w:t>. 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br/>
        <w:t>CONCERNING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Duties and Responsibilities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not be liable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Rights of Trustee</w:t>
      </w:r>
      <w:r>
        <w:rPr>
          <w:rFonts w:ascii="Times New Roman;Times;Serif" w:hAnsi="Times New Roman;Times;Serif"/>
          <w:b w:val="false"/>
          <w:i w:val="false"/>
          <w:caps w:val="false"/>
          <w:smallCaps w:val="false"/>
          <w:sz w:val="20"/>
        </w:rPr>
        <w:t>. Except as otherwise provided in Section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and the written advice of such counsel or any Opinion of Counsel shall be full and complete authorization and protection in respect of any action taken or suffered or omitted hereunder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Trustee Not Responsible for Recitals or Issuance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recitals contained herein and in the Securities shall be taken as the statements of the Company, and the Trustee assumes no responsibility for the correctness of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makes no representations as to the validity or sufficiency of this Indenture or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May Hold Securities</w:t>
      </w:r>
      <w:r>
        <w:rPr>
          <w:rFonts w:ascii="Times New Roman;Times;Serif" w:hAnsi="Times New Roman;Times;Serif"/>
          <w:b w:val="false"/>
          <w:i w:val="false"/>
          <w:caps w:val="false"/>
          <w:smallCaps w:val="false"/>
          <w:sz w:val="20"/>
        </w:rPr>
        <w:t>. 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Moneys Held in Trust</w:t>
      </w:r>
      <w:r>
        <w:rPr>
          <w:rFonts w:ascii="Times New Roman;Times;Serif" w:hAnsi="Times New Roman;Times;Serif"/>
          <w:b w:val="false"/>
          <w:i w:val="false"/>
          <w:caps w:val="false"/>
          <w:smallCaps w:val="false"/>
          <w:sz w:val="20"/>
        </w:rPr>
        <w:t>. 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Reliance on Officers’ Certificate</w:t>
      </w:r>
      <w:r>
        <w:rPr>
          <w:rFonts w:ascii="Times New Roman;Times;Serif" w:hAnsi="Times New Roman;Times;Serif"/>
          <w:b w:val="false"/>
          <w:i w:val="false"/>
          <w:caps w:val="false"/>
          <w:smallCaps w:val="false"/>
          <w:sz w:val="20"/>
        </w:rPr>
        <w:t>. 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Disqualification; Conflicting Interests</w:t>
      </w:r>
      <w:r>
        <w:rPr>
          <w:rFonts w:ascii="Times New Roman;Times;Serif" w:hAnsi="Times New Roman;Times;Serif"/>
          <w:b w:val="false"/>
          <w:i w:val="false"/>
          <w:caps w:val="false"/>
          <w:smallCaps w:val="false"/>
          <w:sz w:val="20"/>
        </w:rPr>
        <w:t>. 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Corporate Trustee Required; Eligibility</w:t>
      </w:r>
      <w:r>
        <w:rPr>
          <w:rFonts w:ascii="Times New Roman;Times;Serif" w:hAnsi="Times New Roman;Times;Serif"/>
          <w:b w:val="false"/>
          <w:i w:val="false"/>
          <w:caps w:val="false"/>
          <w:smallCaps w:val="false"/>
          <w:sz w:val="20"/>
        </w:rPr>
        <w:t>. 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one of the following shall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cease to be eligible in accordance with the provisions of Section 7.09 and shall fail to resign after written request therefor by the Company or by any such Securityholder;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successor trustee shall accept its appointment unless at the time of such acceptance such successor trustee shall be qualified and eligible under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Merger, Conversion</w:t>
      </w:r>
      <w:r>
        <w:rPr>
          <w:rFonts w:ascii="Times New Roman;Times;Serif" w:hAnsi="Times New Roman;Times;Serif"/>
          <w:b w:val="false"/>
          <w:i w:val="false"/>
          <w:caps w:val="false"/>
          <w:smallCaps w:val="false"/>
          <w:sz w:val="20"/>
        </w:rPr>
        <w:t>.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Preferential Collection of Claims Against the Company</w:t>
      </w:r>
      <w:r>
        <w:rPr>
          <w:rFonts w:ascii="Times New Roman;Times;Serif" w:hAnsi="Times New Roman;Times;Serif"/>
          <w:b w:val="false"/>
          <w:i w:val="false"/>
          <w:caps w:val="false"/>
          <w:smallCaps w:val="false"/>
          <w:sz w:val="20"/>
        </w:rPr>
        <w:t>.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br/>
        <w:t>CONCERNING THE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Evidence of Action by Securityholders</w:t>
      </w:r>
      <w:r>
        <w:rPr>
          <w:rFonts w:ascii="Times New Roman;Times;Serif" w:hAnsi="Times New Roman;Times;Serif"/>
          <w:b w:val="false"/>
          <w:i w:val="false"/>
          <w:caps w:val="false"/>
          <w:smallCaps w:val="false"/>
          <w:sz w:val="20"/>
        </w:rPr>
        <w:t>. 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Proof of Execution by Securityholders</w:t>
      </w:r>
      <w:r>
        <w:rPr>
          <w:rFonts w:ascii="Times New Roman;Times;Serif" w:hAnsi="Times New Roman;Times;Serif"/>
          <w:b w:val="false"/>
          <w:i w:val="false"/>
          <w:caps w:val="false"/>
          <w:smallCaps w:val="false"/>
          <w:sz w:val="20"/>
        </w:rPr>
        <w:t>. 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fact and date of the execution by any such Person of any instrument may be proved in any reasonable manner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ownership of Securities shall be proved by the Security Register of such Securities or by a certificate of the Security Registrar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require such additional proof of any matter referred to in this Section as it shall deem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Who May be Deemed Owners</w:t>
      </w:r>
      <w:r>
        <w:rPr>
          <w:rFonts w:ascii="Times New Roman;Times;Serif" w:hAnsi="Times New Roman;Times;Serif"/>
          <w:b w:val="false"/>
          <w:i w:val="false"/>
          <w:caps w:val="false"/>
          <w:smallCaps w:val="false"/>
          <w:sz w:val="20"/>
        </w:rPr>
        <w:t>. 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Securities Owned by Company Disregarded</w:t>
      </w:r>
      <w:r>
        <w:rPr>
          <w:rFonts w:ascii="Times New Roman;Times;Serif" w:hAnsi="Times New Roman;Times;Serif"/>
          <w:b w:val="false"/>
          <w:i w:val="false"/>
          <w:caps w:val="false"/>
          <w:smallCaps w:val="false"/>
          <w:sz w:val="20"/>
        </w:rPr>
        <w:t>. 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Actions Binding on Future Securityholders</w:t>
      </w:r>
      <w:r>
        <w:rPr>
          <w:rFonts w:ascii="Times New Roman;Times;Serif" w:hAnsi="Times New Roman;Times;Serif"/>
          <w:b w:val="false"/>
          <w:i w:val="false"/>
          <w:caps w:val="false"/>
          <w:smallCaps w:val="false"/>
          <w:sz w:val="20"/>
        </w:rPr>
        <w:t>. 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Purposes for Which Meetings May Be Called</w:t>
      </w:r>
      <w:r>
        <w:rPr>
          <w:rFonts w:ascii="Times New Roman;Times;Serif" w:hAnsi="Times New Roman;Times;Serif"/>
          <w:b w:val="false"/>
          <w:i w:val="false"/>
          <w:caps w:val="false"/>
          <w:smallCaps w:val="false"/>
          <w:sz w:val="20"/>
        </w:rPr>
        <w:t>. 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this Article VIII, the Trustee may, during the pendency of a Default or an Event of Default, call a meeting of holders of any series of Securities in accordance with its standard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Call Notice and Place of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Persons Entitled To Vote at Meetings</w:t>
      </w:r>
      <w:r>
        <w:rPr>
          <w:rFonts w:ascii="Times New Roman;Times;Serif" w:hAnsi="Times New Roman;Times;Serif"/>
          <w:b w:val="false"/>
          <w:i w:val="false"/>
          <w:caps w:val="false"/>
          <w:smallCaps w:val="false"/>
          <w:sz w:val="20"/>
        </w:rPr>
        <w:t>. 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Quorum; Action</w:t>
      </w:r>
      <w:r>
        <w:rPr>
          <w:rFonts w:ascii="Times New Roman;Times;Serif" w:hAnsi="Times New Roman;Times;Serif"/>
          <w:b w:val="false"/>
          <w:i w:val="false"/>
          <w:caps w:val="false"/>
          <w:smallCaps w:val="false"/>
          <w:sz w:val="20"/>
        </w:rPr>
        <w:t>. 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resolution passed or decisions taken at any meeting of holders of Securities duly held in accordance with this Section shall be binding on all the holders of Securities of such series, whether or not present or represented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Determination of Voting Rights; Conduct and Adjournment of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Counting Votes and Recording Action of Meetings</w:t>
      </w:r>
      <w:r>
        <w:rPr>
          <w:rFonts w:ascii="Times New Roman;Times;Serif" w:hAnsi="Times New Roman;Times;Serif"/>
          <w:b w:val="false"/>
          <w:i w:val="false"/>
          <w:caps w:val="false"/>
          <w:smallCaps w:val="false"/>
          <w:sz w:val="20"/>
        </w:rPr>
        <w:t>. 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br/>
        <w:t>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Supplemental Indentures Without the Consent of Securityholders</w:t>
      </w:r>
      <w:r>
        <w:rPr>
          <w:rFonts w:ascii="Times New Roman;Times;Serif" w:hAnsi="Times New Roman;Times;Serif"/>
          <w:b w:val="false"/>
          <w:i w:val="false"/>
          <w:caps w:val="false"/>
          <w:smallCaps w:val="false"/>
          <w:sz w:val="20"/>
        </w:rPr>
        <w:t>. 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make any change that does not adversely affect the rights of any Securityholder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comply with the requirements of the Commission in order to effect or maintain the qualification of this Indenture under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Supplemental Indentures With Consent of Securityholders</w:t>
      </w:r>
      <w:r>
        <w:rPr>
          <w:rFonts w:ascii="Times New Roman;Times;Serif" w:hAnsi="Times New Roman;Times;Serif"/>
          <w:b w:val="false"/>
          <w:i w:val="false"/>
          <w:caps w:val="false"/>
          <w:smallCaps w:val="false"/>
          <w:sz w:val="20"/>
        </w:rPr>
        <w:t>. 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Effect of Supplemental Indentures</w:t>
      </w:r>
      <w:r>
        <w:rPr>
          <w:rFonts w:ascii="Times New Roman;Times;Serif" w:hAnsi="Times New Roman;Times;Serif"/>
          <w:b w:val="false"/>
          <w:i w:val="false"/>
          <w:caps w:val="false"/>
          <w:smallCaps w:val="false"/>
          <w:sz w:val="20"/>
        </w:rPr>
        <w:t>. 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Securities Affected by Supplemental Indentures</w:t>
      </w:r>
      <w:r>
        <w:rPr>
          <w:rFonts w:ascii="Times New Roman;Times;Serif" w:hAnsi="Times New Roman;Times;Serif"/>
          <w:b w:val="false"/>
          <w:i w:val="false"/>
          <w:caps w:val="false"/>
          <w:smallCaps w:val="false"/>
          <w:sz w:val="20"/>
        </w:rPr>
        <w:t>. 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Execution of Supplemental Indentures</w:t>
      </w:r>
      <w:r>
        <w:rPr>
          <w:rFonts w:ascii="Times New Roman;Times;Serif" w:hAnsi="Times New Roman;Times;Serif"/>
          <w:b w:val="false"/>
          <w:i w:val="false"/>
          <w:caps w:val="false"/>
          <w:smallCaps w:val="false"/>
          <w:sz w:val="20"/>
        </w:rPr>
        <w:t>. 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br/>
        <w:t>SUCCESSOR ENTITY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Company May Consolidate, Etc</w:t>
      </w:r>
      <w:r>
        <w:rPr>
          <w:rFonts w:ascii="Times New Roman;Times;Serif" w:hAnsi="Times New Roman;Times;Serif"/>
          <w:b w:val="false"/>
          <w:i w:val="false"/>
          <w:caps w:val="false"/>
          <w:smallCaps w:val="false"/>
          <w:sz w:val="20"/>
        </w:rPr>
        <w:t>. 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Successor Entity Substituted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Evidence of Consolidation, Etc. to Trustee</w:t>
      </w:r>
      <w:r>
        <w:rPr>
          <w:rFonts w:ascii="Times New Roman;Times;Serif" w:hAnsi="Times New Roman;Times;Serif"/>
          <w:b w:val="false"/>
          <w:i w:val="false"/>
          <w:caps w:val="false"/>
          <w:smallCaps w:val="false"/>
          <w:sz w:val="20"/>
        </w:rPr>
        <w:t>. The Trustee, subject to the provisions of Section 7.01, may receive an Opinion of Counsel as conclusive evidence that any such consolidation, merger, sale, conveyance, transfer or other disposition, and any such assumption, comply with the provisions of this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br/>
        <w:t>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Satisfaction and Discharge of Indenture</w:t>
      </w:r>
      <w:r>
        <w:rPr>
          <w:rFonts w:ascii="Times New Roman;Times;Serif" w:hAnsi="Times New Roman;Times;Serif"/>
          <w:b w:val="false"/>
          <w:i w:val="false"/>
          <w:caps w:val="false"/>
          <w:smallCaps w:val="false"/>
          <w:sz w:val="20"/>
        </w:rPr>
        <w:t>. 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Discharge of Obligations</w:t>
      </w:r>
      <w:r>
        <w:rPr>
          <w:rFonts w:ascii="Times New Roman;Times;Serif" w:hAnsi="Times New Roman;Times;Serif"/>
          <w:b w:val="false"/>
          <w:i w:val="false"/>
          <w:caps w:val="false"/>
          <w:smallCaps w:val="false"/>
          <w:sz w:val="20"/>
        </w:rPr>
        <w:t>. 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Deposited Moneys to be Held in Trust</w:t>
      </w:r>
      <w:r>
        <w:rPr>
          <w:rFonts w:ascii="Times New Roman;Times;Serif" w:hAnsi="Times New Roman;Times;Serif"/>
          <w:b w:val="false"/>
          <w:i w:val="false"/>
          <w:caps w:val="false"/>
          <w:smallCaps w:val="false"/>
          <w:sz w:val="20"/>
        </w:rPr>
        <w:t>. 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Payment of Moneys Held by Paying Agents</w:t>
      </w:r>
      <w:r>
        <w:rPr>
          <w:rFonts w:ascii="Times New Roman;Times;Serif" w:hAnsi="Times New Roman;Times;Serif"/>
          <w:b w:val="false"/>
          <w:i w:val="false"/>
          <w:caps w:val="false"/>
          <w:smallCaps w:val="false"/>
          <w:sz w:val="20"/>
        </w:rPr>
        <w:t>. 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Repayment to Company</w:t>
      </w:r>
      <w:r>
        <w:rPr>
          <w:rFonts w:ascii="Times New Roman;Times;Serif" w:hAnsi="Times New Roman;Times;Serif"/>
          <w:b w:val="false"/>
          <w:i w:val="false"/>
          <w:caps w:val="false"/>
          <w:smallCaps w:val="false"/>
          <w:sz w:val="20"/>
        </w:rPr>
        <w:t>. 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br/>
        <w:t>IMMUNITY OF INCORPORATORS, SHAREHOLDERS,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shareholders,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w:t>
        <w:b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Effect on Successors and Assigns</w:t>
      </w:r>
      <w:r>
        <w:rPr>
          <w:rFonts w:ascii="Times New Roman;Times;Serif" w:hAnsi="Times New Roman;Times;Serif"/>
          <w:b w:val="false"/>
          <w:i w:val="false"/>
          <w:caps w:val="false"/>
          <w:smallCaps w:val="false"/>
          <w:sz w:val="20"/>
        </w:rPr>
        <w:t>. All the covenants, stipulations, promises and agreements in this Indenture contained by or on behalf of the Company shall bind its successors and assigns, whether so expressed or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Actions by Successor</w:t>
      </w:r>
      <w:r>
        <w:rPr>
          <w:rFonts w:ascii="Times New Roman;Times;Serif" w:hAnsi="Times New Roman;Times;Serif"/>
          <w:b w:val="false"/>
          <w:i w:val="false"/>
          <w:caps w:val="false"/>
          <w:smallCaps w:val="false"/>
          <w:sz w:val="20"/>
        </w:rPr>
        <w:t>. 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Surrender of Company Powers</w:t>
      </w:r>
      <w:r>
        <w:rPr>
          <w:rFonts w:ascii="Times New Roman;Times;Serif" w:hAnsi="Times New Roman;Times;Serif"/>
          <w:b w:val="false"/>
          <w:i w:val="false"/>
          <w:caps w:val="false"/>
          <w:smallCaps w:val="false"/>
          <w:sz w:val="20"/>
        </w:rPr>
        <w:t>. 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TMC the metals company Inc., Attn: [ ], 1111 West Hastings&amp;emsp13;&amp;NegativeThickSpace;Street,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Vancouver, British Columbia&amp;emsp13;&amp;NegativeThickSpace;V6E 2J3.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Indenture and each Security shall be deemed to be a contract made under the internal laws of the State of New York, and for all purposes shall be construed in accordance with the laws of said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Treatment of Securities as Debt</w:t>
      </w:r>
      <w:r>
        <w:rPr>
          <w:rFonts w:ascii="Times New Roman;Times;Serif" w:hAnsi="Times New Roman;Times;Serif"/>
          <w:b w:val="false"/>
          <w:i w:val="false"/>
          <w:caps w:val="false"/>
          <w:smallCaps w:val="false"/>
          <w:sz w:val="20"/>
        </w:rPr>
        <w:t>. 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Compliance Certificates and Opinions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Payments on Business Days</w:t>
      </w:r>
      <w:r>
        <w:rPr>
          <w:rFonts w:ascii="Times New Roman;Times;Serif" w:hAnsi="Times New Roman;Times;Serif"/>
          <w:b w:val="false"/>
          <w:i w:val="false"/>
          <w:caps w:val="false"/>
          <w:smallCaps w:val="false"/>
          <w:sz w:val="20"/>
        </w:rPr>
        <w:t>. 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Conflict with Trust Indenture Act</w:t>
      </w:r>
      <w:r>
        <w:rPr>
          <w:rFonts w:ascii="Times New Roman;Times;Serif" w:hAnsi="Times New Roman;Times;Serif"/>
          <w:b w:val="false"/>
          <w:i w:val="false"/>
          <w:caps w:val="false"/>
          <w:smallCaps w:val="false"/>
          <w:sz w:val="20"/>
        </w:rPr>
        <w:t>. If and to the extent that any provision of this Indenture limits, qualifies or conflicts with the duties imposed by Sections 310 to 317, inclusive, of the Trust Indenture Act, such imposed duties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13.10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Indenture may be executed in any number of counterparts, each of which shall be an original, but such counterparts shall together constitute but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Separability</w:t>
      </w:r>
      <w:r>
        <w:rPr>
          <w:rFonts w:ascii="Times New Roman;Times;Serif" w:hAnsi="Times New Roman;Times;Serif"/>
          <w:b w:val="false"/>
          <w:i w:val="false"/>
          <w:caps w:val="false"/>
          <w:smallCaps w:val="false"/>
          <w:sz w:val="20"/>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264" w:type="dxa"/>
        <w:jc w:val="left"/>
        <w:tblInd w:w="0" w:type="dxa"/>
        <w:tblLayout w:type="fixed"/>
        <w:tblCellMar>
          <w:top w:w="0" w:type="dxa"/>
          <w:left w:w="0" w:type="dxa"/>
          <w:bottom w:w="0" w:type="dxa"/>
          <w:right w:w="0" w:type="dxa"/>
        </w:tblCellMar>
      </w:tblPr>
      <w:tblGrid>
        <w:gridCol w:w="80"/>
        <w:gridCol w:w="1087"/>
        <w:gridCol w:w="2097"/>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1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1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9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87" w:type="dxa"/>
            <w:tcBorders/>
            <w:vAlign w:val="center"/>
          </w:tcPr>
          <w:p>
            <w:pPr>
              <w:pStyle w:val="TableContents"/>
              <w:bidi w:val="0"/>
              <w:spacing w:before="0" w:after="283"/>
              <w:jc w:val="left"/>
              <w:rPr>
                <w:caps w:val="false"/>
                <w:smallCaps w:val="false"/>
              </w:rPr>
            </w:pPr>
            <w:r>
              <w:rPr>
                <w:caps w:val="false"/>
                <w:smallCaps w:val="false"/>
              </w:rPr>
              <w:t> </w:t>
            </w:r>
          </w:p>
        </w:tc>
        <w:tc>
          <w:tcPr>
            <w:tcW w:w="20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87" w:type="dxa"/>
            <w:tcBorders/>
            <w:vAlign w:val="center"/>
          </w:tcPr>
          <w:p>
            <w:pPr>
              <w:pStyle w:val="TableContents"/>
              <w:bidi w:val="0"/>
              <w:spacing w:before="0" w:after="283"/>
              <w:jc w:val="left"/>
              <w:rPr>
                <w:caps w:val="false"/>
                <w:smallCaps w:val="false"/>
              </w:rPr>
            </w:pPr>
            <w:r>
              <w:rPr>
                <w:caps w:val="false"/>
                <w:smallCaps w:val="false"/>
              </w:rPr>
              <w:t> </w:t>
            </w:r>
          </w:p>
        </w:tc>
        <w:tc>
          <w:tcPr>
            <w:tcW w:w="20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969" w:type="dxa"/>
        <w:jc w:val="left"/>
        <w:tblInd w:w="0" w:type="dxa"/>
        <w:tblLayout w:type="fixed"/>
        <w:tblCellMar>
          <w:top w:w="0" w:type="dxa"/>
          <w:left w:w="0" w:type="dxa"/>
          <w:bottom w:w="0" w:type="dxa"/>
          <w:right w:w="0" w:type="dxa"/>
        </w:tblCellMar>
      </w:tblPr>
      <w:tblGrid>
        <w:gridCol w:w="80"/>
        <w:gridCol w:w="323"/>
        <w:gridCol w:w="566"/>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3" w:type="dxa"/>
            <w:tcBorders/>
            <w:vAlign w:val="center"/>
          </w:tcPr>
          <w:p>
            <w:pPr>
              <w:pStyle w:val="TableContents"/>
              <w:bidi w:val="0"/>
              <w:spacing w:before="0" w:after="283"/>
              <w:jc w:val="left"/>
              <w:rPr>
                <w:caps w:val="false"/>
                <w:smallCaps w:val="false"/>
              </w:rPr>
            </w:pPr>
            <w:r>
              <w:rPr>
                <w:caps w:val="false"/>
                <w:smallCaps w:val="false"/>
              </w:rPr>
              <w:t> </w:t>
            </w:r>
          </w:p>
        </w:tc>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3" w:type="dxa"/>
            <w:tcBorders/>
            <w:vAlign w:val="center"/>
          </w:tcPr>
          <w:p>
            <w:pPr>
              <w:pStyle w:val="TableContents"/>
              <w:bidi w:val="0"/>
              <w:spacing w:before="0" w:after="283"/>
              <w:jc w:val="left"/>
              <w:rPr>
                <w:caps w:val="false"/>
                <w:smallCaps w:val="false"/>
              </w:rPr>
            </w:pPr>
            <w:r>
              <w:rPr>
                <w:caps w:val="false"/>
                <w:smallCaps w:val="false"/>
              </w:rPr>
              <w:t> </w:t>
            </w:r>
          </w:p>
        </w:tc>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jc w:val="left"/>
        <w:rPr/>
      </w:pPr>
      <w:bookmarkStart w:id="28" w:name="tm269884d1_ex4-6.htm"/>
      <w:bookmarkStart w:id="29" w:name="kstm269884d1_ex46"/>
      <w:bookmarkEnd w:id="28"/>
      <w:bookmarkEnd w:id="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TABLE(1)</w:t>
      </w:r>
    </w:p>
    <w:p>
      <w:pPr>
        <w:pStyle w:val="TextBody"/>
        <w:bidi w:val="0"/>
        <w:spacing w:before="0" w:after="0"/>
        <w:ind w:left="0" w:right="0" w:hanging="0"/>
        <w:jc w:val="center"/>
        <w:rPr>
          <w:caps w:val="false"/>
          <w:smallCaps w:val="false"/>
        </w:rPr>
      </w:pPr>
      <w:r>
        <w:rPr>
          <w:caps w:val="false"/>
          <w:smallCaps w:val="false"/>
        </w:rPr>
        <w:t> </w:t>
      </w:r>
    </w:p>
    <w:tbl>
      <w:tblPr>
        <w:tblW w:w="2890" w:type="dxa"/>
        <w:jc w:val="left"/>
        <w:tblInd w:w="0" w:type="dxa"/>
        <w:tblLayout w:type="fixed"/>
        <w:tblCellMar>
          <w:top w:w="0" w:type="dxa"/>
          <w:left w:w="0" w:type="dxa"/>
          <w:bottom w:w="28" w:type="dxa"/>
          <w:right w:w="0" w:type="dxa"/>
        </w:tblCellMar>
      </w:tblPr>
      <w:tblGrid>
        <w:gridCol w:w="1775"/>
        <w:gridCol w:w="60"/>
        <w:gridCol w:w="1055"/>
      </w:tblGrid>
      <w:tr>
        <w:trPr/>
        <w:tc>
          <w:tcPr>
            <w:tcW w:w="177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 Indenture Act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1939, as Amended</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center"/>
              <w:rPr>
                <w:b/>
                <w:sz w:val="20"/>
              </w:rPr>
            </w:pPr>
            <w:r>
              <w:rPr>
                <w:b/>
                <w:sz w:val="20"/>
              </w:rPr>
              <w:t>Section of</w:t>
              <w:br/>
              <w:t>Indenture</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310(a).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7.09</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310(b).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7.08</w:t>
            </w:r>
          </w:p>
        </w:tc>
      </w:tr>
      <w:tr>
        <w:trPr/>
        <w:tc>
          <w:tcPr>
            <w:tcW w:w="17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7.10</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310(c).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Inapplicable</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311(a).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7.13(a)</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311(b).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7.13(b)</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311(c).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Inapplicable</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312(a).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5.02(a)</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312(b).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5.02(b)</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312(c).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5.02(c)</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313(a).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5.04(a)</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313(b).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5.04(a)</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313(c).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5.04(a)</w:t>
            </w:r>
          </w:p>
        </w:tc>
      </w:tr>
      <w:tr>
        <w:trPr/>
        <w:tc>
          <w:tcPr>
            <w:tcW w:w="17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5.04(b)</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313(d).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5.04(b)</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314(a).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5.03</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314(b).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Inapplicable</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314(c).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13.06</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314(d).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Inapplicable</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314(e).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13.06</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314(f).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Inapplicable</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315(a).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7.01(a)</w:t>
            </w:r>
          </w:p>
        </w:tc>
      </w:tr>
      <w:tr>
        <w:trPr/>
        <w:tc>
          <w:tcPr>
            <w:tcW w:w="17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7.02</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315(b).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6.07</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315(c).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7.01</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315(d).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7.01(b)</w:t>
            </w:r>
          </w:p>
        </w:tc>
      </w:tr>
      <w:tr>
        <w:trPr/>
        <w:tc>
          <w:tcPr>
            <w:tcW w:w="17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7.01(c)</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315(e).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6.07</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316(a).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6.06</w:t>
            </w:r>
          </w:p>
        </w:tc>
      </w:tr>
      <w:tr>
        <w:trPr/>
        <w:tc>
          <w:tcPr>
            <w:tcW w:w="17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8.04</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316(b).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6.04</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316(c).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8.01</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317(a).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6.02</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317(b).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4.03</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318(a).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13.08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sz w:val="20"/>
              </w:rPr>
            </w:pPr>
            <w:r>
              <w:rPr>
                <w:sz w:val="20"/>
              </w:rPr>
              <w:t>(1)</w:t>
            </w:r>
          </w:p>
        </w:tc>
        <w:tc>
          <w:tcPr>
            <w:tcW w:w="9959" w:type="dxa"/>
            <w:tcBorders/>
            <w:vAlign w:val="center"/>
          </w:tcPr>
          <w:p>
            <w:pPr>
              <w:pStyle w:val="TableContents"/>
              <w:bidi w:val="0"/>
              <w:spacing w:before="0" w:after="283"/>
              <w:jc w:val="both"/>
              <w:rPr>
                <w:sz w:val="20"/>
              </w:rPr>
            </w:pPr>
            <w:r>
              <w:rPr>
                <w:sz w:val="20"/>
              </w:rPr>
              <w:t>This Cross-Reference Table does not constitute part of the Indenture and shall not have any bearing on the interpretation of any of its terms or provisions.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pPr>
      <w:r>
        <w:rPr>
          <w:caps w:val="false"/>
          <w:smallCaps w:val="false"/>
        </w:rPr>
        <w:t> </w:t>
      </w:r>
      <w:r>
        <w:rPr/>
        <w:t xml:space="preserve"> </w:t>
      </w:r>
    </w:p>
    <w:tbl>
      <w:tblPr>
        <w:tblW w:w="9624" w:type="dxa"/>
        <w:jc w:val="left"/>
        <w:tblInd w:w="0" w:type="dxa"/>
        <w:tblLayout w:type="fixed"/>
        <w:tblCellMar>
          <w:top w:w="0" w:type="dxa"/>
          <w:left w:w="0" w:type="dxa"/>
          <w:bottom w:w="0" w:type="dxa"/>
          <w:right w:w="0" w:type="dxa"/>
        </w:tblCellMar>
      </w:tblPr>
      <w:tblGrid>
        <w:gridCol w:w="1700"/>
        <w:gridCol w:w="7679"/>
        <w:gridCol w:w="245"/>
      </w:tblGrid>
      <w:tr>
        <w:trPr/>
        <w:tc>
          <w:tcPr>
            <w:tcW w:w="9379" w:type="dxa"/>
            <w:gridSpan w:val="2"/>
            <w:tcBorders/>
            <w:vAlign w:val="center"/>
          </w:tcPr>
          <w:p>
            <w:pPr>
              <w:pStyle w:val="TableContents"/>
              <w:bidi w:val="0"/>
              <w:spacing w:before="0" w:after="283"/>
              <w:jc w:val="left"/>
              <w:rPr/>
            </w:pPr>
            <w:r>
              <w:rPr>
                <w:rFonts w:ascii="Times New Roman;Times;Serif" w:hAnsi="Times New Roman;Times;Serif"/>
                <w:sz w:val="20"/>
              </w:rPr>
              <w:t>ARTICLE I.</w:t>
            </w:r>
            <w:r>
              <w:rPr/>
              <w:t xml:space="preserve"> </w:t>
            </w: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700" w:type="dxa"/>
            <w:tcBorders/>
            <w:vAlign w:val="center"/>
          </w:tcPr>
          <w:p>
            <w:pPr>
              <w:pStyle w:val="TableContents"/>
              <w:bidi w:val="0"/>
              <w:spacing w:before="0" w:after="283"/>
              <w:jc w:val="left"/>
              <w:rPr/>
            </w:pPr>
            <w:r>
              <w:rPr/>
              <w:t> </w:t>
            </w:r>
          </w:p>
        </w:tc>
        <w:tc>
          <w:tcPr>
            <w:tcW w:w="767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 of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700" w:type="dxa"/>
            <w:tcBorders/>
            <w:vAlign w:val="center"/>
          </w:tcPr>
          <w:p>
            <w:pPr>
              <w:pStyle w:val="TableContents"/>
              <w:bidi w:val="0"/>
              <w:spacing w:before="0" w:after="283"/>
              <w:jc w:val="left"/>
              <w:rPr/>
            </w:pPr>
            <w:r>
              <w:rPr/>
              <w:t> </w:t>
            </w:r>
          </w:p>
        </w:tc>
        <w:tc>
          <w:tcPr>
            <w:tcW w:w="767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379" w:type="dxa"/>
            <w:gridSpan w:val="2"/>
            <w:tcBorders/>
            <w:vAlign w:val="center"/>
          </w:tcPr>
          <w:p>
            <w:pPr>
              <w:pStyle w:val="TableContents"/>
              <w:bidi w:val="0"/>
              <w:spacing w:before="0" w:after="283"/>
              <w:jc w:val="left"/>
              <w:rPr/>
            </w:pPr>
            <w:r>
              <w:rPr>
                <w:rFonts w:ascii="Times New Roman;Times;Serif" w:hAnsi="Times New Roman;Times;Serif"/>
                <w:sz w:val="20"/>
              </w:rPr>
              <w:t>ARTICLE II.</w:t>
            </w:r>
            <w:r>
              <w:rPr/>
              <w:t xml:space="preserve"> </w:t>
            </w:r>
            <w:r>
              <w:rPr>
                <w:rFonts w:ascii="Times New Roman;Times;Serif" w:hAnsi="Times New Roman;Times;Serif"/>
                <w:sz w:val="20"/>
              </w:rPr>
              <w:t>ISSUE, DESCRIPTION, TERMS, EXECUTION, REGISTRATION AND EXCHANGE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700" w:type="dxa"/>
            <w:tcBorders/>
            <w:vAlign w:val="center"/>
          </w:tcPr>
          <w:p>
            <w:pPr>
              <w:pStyle w:val="TableContents"/>
              <w:bidi w:val="0"/>
              <w:spacing w:before="0" w:after="283"/>
              <w:jc w:val="left"/>
              <w:rPr/>
            </w:pPr>
            <w:r>
              <w:rPr/>
              <w:t> </w:t>
            </w:r>
          </w:p>
        </w:tc>
        <w:tc>
          <w:tcPr>
            <w:tcW w:w="767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and Terms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Securities and Trustee’s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Denominations: Provisions for 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of Transfer and Exchange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Destroyed, Lost or Stolen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Benefits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700" w:type="dxa"/>
            <w:tcBorders/>
            <w:vAlign w:val="center"/>
          </w:tcPr>
          <w:p>
            <w:pPr>
              <w:pStyle w:val="TableContents"/>
              <w:bidi w:val="0"/>
              <w:spacing w:before="0" w:after="283"/>
              <w:jc w:val="left"/>
              <w:rPr/>
            </w:pPr>
            <w:r>
              <w:rPr/>
              <w:t> </w:t>
            </w:r>
          </w:p>
        </w:tc>
        <w:tc>
          <w:tcPr>
            <w:tcW w:w="767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379" w:type="dxa"/>
            <w:gridSpan w:val="2"/>
            <w:tcBorders/>
            <w:vAlign w:val="center"/>
          </w:tcPr>
          <w:p>
            <w:pPr>
              <w:pStyle w:val="TableContents"/>
              <w:bidi w:val="0"/>
              <w:spacing w:before="0" w:after="283"/>
              <w:jc w:val="left"/>
              <w:rPr/>
            </w:pPr>
            <w:r>
              <w:rPr>
                <w:rFonts w:ascii="Times New Roman;Times;Serif" w:hAnsi="Times New Roman;Times;Serif"/>
                <w:sz w:val="20"/>
              </w:rPr>
              <w:t>ARTICLE III.</w:t>
            </w:r>
            <w:r>
              <w:rPr/>
              <w:t xml:space="preserve"> </w:t>
            </w:r>
            <w:r>
              <w:rPr>
                <w:rFonts w:ascii="Times New Roman;Times;Serif" w:hAnsi="Times New Roman;Times;Serif"/>
                <w:sz w:val="20"/>
              </w:rPr>
              <w:t>REDEMPTION OF SECURITIES AND SINKING FUND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700" w:type="dxa"/>
            <w:tcBorders/>
            <w:vAlign w:val="center"/>
          </w:tcPr>
          <w:p>
            <w:pPr>
              <w:pStyle w:val="TableContents"/>
              <w:bidi w:val="0"/>
              <w:spacing w:before="0" w:after="283"/>
              <w:jc w:val="left"/>
              <w:rPr/>
            </w:pPr>
            <w:r>
              <w:rPr/>
              <w:t> </w:t>
            </w:r>
          </w:p>
        </w:tc>
        <w:tc>
          <w:tcPr>
            <w:tcW w:w="767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Upon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Sinking Fund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of Sinking Fund Payments with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of Securities for Sinking Fund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700" w:type="dxa"/>
            <w:tcBorders/>
            <w:vAlign w:val="center"/>
          </w:tcPr>
          <w:p>
            <w:pPr>
              <w:pStyle w:val="TableContents"/>
              <w:bidi w:val="0"/>
              <w:spacing w:before="0" w:after="283"/>
              <w:jc w:val="left"/>
              <w:rPr/>
            </w:pPr>
            <w:r>
              <w:rPr/>
              <w:t> </w:t>
            </w:r>
          </w:p>
        </w:tc>
        <w:tc>
          <w:tcPr>
            <w:tcW w:w="767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379" w:type="dxa"/>
            <w:gridSpan w:val="2"/>
            <w:tcBorders/>
            <w:vAlign w:val="center"/>
          </w:tcPr>
          <w:p>
            <w:pPr>
              <w:pStyle w:val="TableContents"/>
              <w:bidi w:val="0"/>
              <w:spacing w:before="0" w:after="283"/>
              <w:jc w:val="left"/>
              <w:rPr/>
            </w:pPr>
            <w:r>
              <w:rPr>
                <w:rFonts w:ascii="Times New Roman;Times;Serif" w:hAnsi="Times New Roman;Times;Serif"/>
                <w:sz w:val="20"/>
              </w:rPr>
              <w:t>ARTICLE IV.</w:t>
            </w:r>
            <w:r>
              <w:rPr/>
              <w:t xml:space="preserve"> </w:t>
            </w:r>
            <w:r>
              <w:rPr>
                <w:rFonts w:ascii="Times New Roman;Times;Serif" w:hAnsi="Times New Roman;Times;Serif"/>
                <w:sz w:val="20"/>
              </w:rPr>
              <w:t>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700" w:type="dxa"/>
            <w:tcBorders/>
            <w:vAlign w:val="center"/>
          </w:tcPr>
          <w:p>
            <w:pPr>
              <w:pStyle w:val="TableContents"/>
              <w:bidi w:val="0"/>
              <w:spacing w:before="0" w:after="283"/>
              <w:jc w:val="left"/>
              <w:rPr/>
            </w:pPr>
            <w:r>
              <w:rPr/>
              <w:t> </w:t>
            </w:r>
          </w:p>
        </w:tc>
        <w:tc>
          <w:tcPr>
            <w:tcW w:w="767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Premium and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to Fill Vacancy in Office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Consolidation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700" w:type="dxa"/>
            <w:tcBorders/>
            <w:vAlign w:val="center"/>
          </w:tcPr>
          <w:p>
            <w:pPr>
              <w:pStyle w:val="TableContents"/>
              <w:bidi w:val="0"/>
              <w:spacing w:before="0" w:after="283"/>
              <w:jc w:val="left"/>
              <w:rPr/>
            </w:pPr>
            <w:r>
              <w:rPr/>
              <w:t> </w:t>
            </w:r>
          </w:p>
        </w:tc>
        <w:tc>
          <w:tcPr>
            <w:tcW w:w="767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379" w:type="dxa"/>
            <w:gridSpan w:val="2"/>
            <w:tcBorders/>
            <w:vAlign w:val="center"/>
          </w:tcPr>
          <w:p>
            <w:pPr>
              <w:pStyle w:val="TableContents"/>
              <w:bidi w:val="0"/>
              <w:spacing w:before="0" w:after="283"/>
              <w:jc w:val="left"/>
              <w:rPr/>
            </w:pPr>
            <w:r>
              <w:rPr>
                <w:rFonts w:ascii="Times New Roman;Times;Serif" w:hAnsi="Times New Roman;Times;Serif"/>
                <w:sz w:val="20"/>
              </w:rPr>
              <w:t>ARTICLE V.</w:t>
            </w:r>
            <w:r>
              <w:rPr/>
              <w:t xml:space="preserve"> </w:t>
            </w:r>
            <w:r>
              <w:rPr>
                <w:rFonts w:ascii="Times New Roman;Times;Serif" w:hAnsi="Times New Roman;Times;Serif"/>
                <w:sz w:val="20"/>
              </w:rPr>
              <w:t>SECURITYHOLDERS’ LISTS AND REPORTS BY THE COMPANY AND THE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700" w:type="dxa"/>
            <w:tcBorders/>
            <w:vAlign w:val="center"/>
          </w:tcPr>
          <w:p>
            <w:pPr>
              <w:pStyle w:val="TableContents"/>
              <w:bidi w:val="0"/>
              <w:spacing w:before="0" w:after="283"/>
              <w:jc w:val="left"/>
              <w:rPr/>
            </w:pPr>
            <w:r>
              <w:rPr/>
              <w:t> </w:t>
            </w:r>
          </w:p>
        </w:tc>
        <w:tc>
          <w:tcPr>
            <w:tcW w:w="767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to Furnish Trustee Names and Addresses of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of Information; Communications with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the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700" w:type="dxa"/>
            <w:tcBorders/>
            <w:vAlign w:val="center"/>
          </w:tcPr>
          <w:p>
            <w:pPr>
              <w:pStyle w:val="TableContents"/>
              <w:bidi w:val="0"/>
              <w:spacing w:before="0" w:after="283"/>
              <w:jc w:val="left"/>
              <w:rPr/>
            </w:pPr>
            <w:r>
              <w:rPr/>
              <w:t> </w:t>
            </w:r>
          </w:p>
        </w:tc>
        <w:tc>
          <w:tcPr>
            <w:tcW w:w="767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379" w:type="dxa"/>
            <w:gridSpan w:val="2"/>
            <w:tcBorders/>
            <w:vAlign w:val="center"/>
          </w:tcPr>
          <w:p>
            <w:pPr>
              <w:pStyle w:val="TableContents"/>
              <w:bidi w:val="0"/>
              <w:spacing w:before="0" w:after="283"/>
              <w:jc w:val="left"/>
              <w:rPr/>
            </w:pPr>
            <w:r>
              <w:rPr>
                <w:rFonts w:ascii="Times New Roman;Times;Serif" w:hAnsi="Times New Roman;Times;Serif"/>
                <w:sz w:val="20"/>
              </w:rPr>
              <w:t>ARTICLE VI.</w:t>
            </w:r>
            <w:r>
              <w:rPr/>
              <w:t xml:space="preserve"> </w:t>
            </w:r>
            <w:r>
              <w:rPr>
                <w:rFonts w:ascii="Times New Roman;Times;Serif" w:hAnsi="Times New Roman;Times;Serif"/>
                <w:sz w:val="20"/>
              </w:rPr>
              <w:t>REMEDIES OF THE TRUSTEE AND SECURITYHOLDERS ON EVENT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700" w:type="dxa"/>
            <w:tcBorders/>
            <w:vAlign w:val="center"/>
          </w:tcPr>
          <w:p>
            <w:pPr>
              <w:pStyle w:val="TableContents"/>
              <w:bidi w:val="0"/>
              <w:spacing w:before="0" w:after="283"/>
              <w:jc w:val="left"/>
              <w:rPr/>
            </w:pPr>
            <w:r>
              <w:rPr/>
              <w:t> </w:t>
            </w:r>
          </w:p>
        </w:tc>
        <w:tc>
          <w:tcPr>
            <w:tcW w:w="767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of Indebtedness and Suits for Enforcement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Moneys Collected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6.5</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 Cumulative; Delay or Omission Not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6.6</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6.7</w:t>
            </w:r>
          </w:p>
        </w:tc>
        <w:tc>
          <w:tcPr>
            <w:tcW w:w="7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to Pay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649" w:type="dxa"/>
        <w:jc w:val="left"/>
        <w:tblInd w:w="0" w:type="dxa"/>
        <w:tblLayout w:type="fixed"/>
        <w:tblCellMar>
          <w:top w:w="0" w:type="dxa"/>
          <w:left w:w="0" w:type="dxa"/>
          <w:bottom w:w="0" w:type="dxa"/>
          <w:right w:w="0" w:type="dxa"/>
        </w:tblCellMar>
      </w:tblPr>
      <w:tblGrid>
        <w:gridCol w:w="1564"/>
        <w:gridCol w:w="6810"/>
        <w:gridCol w:w="275"/>
      </w:tblGrid>
      <w:tr>
        <w:trPr/>
        <w:tc>
          <w:tcPr>
            <w:tcW w:w="8374" w:type="dxa"/>
            <w:gridSpan w:val="2"/>
            <w:tcBorders/>
            <w:vAlign w:val="center"/>
          </w:tcPr>
          <w:p>
            <w:pPr>
              <w:pStyle w:val="TableContents"/>
              <w:bidi w:val="0"/>
              <w:spacing w:before="0" w:after="283"/>
              <w:jc w:val="left"/>
              <w:rPr/>
            </w:pPr>
            <w:r>
              <w:rPr>
                <w:rFonts w:ascii="Times New Roman;Times;Serif" w:hAnsi="Times New Roman;Times;Serif"/>
                <w:sz w:val="20"/>
              </w:rPr>
              <w:t>ARTICLE VII.</w:t>
            </w:r>
            <w:r>
              <w:rPr/>
              <w:t xml:space="preserve"> </w:t>
            </w:r>
            <w:r>
              <w:rPr>
                <w:rFonts w:ascii="Times New Roman;Times;Serif" w:hAnsi="Times New Roman;Times;Serif"/>
                <w:sz w:val="20"/>
              </w:rPr>
              <w:t>CONCERNING THE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Duties and Responsibilities of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Rights of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Not Responsible for Recitals or Issuance of Securities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Hold Securities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7.5</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Moneys Held in Trust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7.6</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Reimbursement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7.7</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on Officers’ Certificate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7.8</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Disqualification; Conflicting  Interests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7.9</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Trustee Required; Eligibility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Removal; Appointment of Successor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Appointment By Successor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Conversion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the Company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374" w:type="dxa"/>
            <w:gridSpan w:val="2"/>
            <w:tcBorders/>
            <w:vAlign w:val="center"/>
          </w:tcPr>
          <w:p>
            <w:pPr>
              <w:pStyle w:val="TableContents"/>
              <w:bidi w:val="0"/>
              <w:spacing w:before="0" w:after="283"/>
              <w:jc w:val="left"/>
              <w:rPr/>
            </w:pPr>
            <w:r>
              <w:rPr>
                <w:rFonts w:ascii="Times New Roman;Times;Serif" w:hAnsi="Times New Roman;Times;Serif"/>
                <w:sz w:val="20"/>
              </w:rPr>
              <w:t>ARTICLE VIII.</w:t>
            </w:r>
            <w:r>
              <w:rPr/>
              <w:t xml:space="preserve"> </w:t>
            </w:r>
            <w:r>
              <w:rPr>
                <w:rFonts w:ascii="Times New Roman;Times;Serif" w:hAnsi="Times New Roman;Times;Serif"/>
                <w:sz w:val="20"/>
              </w:rPr>
              <w:t>CONCERNING THE SECURITYHOLDERS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Action by Securityholders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Proof of Execution by Securityholders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Who May be Deemed Owners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8.4</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Securities Owned by Company Disregarded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8.5</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Binding on Future Securityholders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8.6</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Purposes for Which Meetings May Be Called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8.7</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 Notice and Place of Meetings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8.8</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Vote at Meetings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8.9</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 Action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8.10</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Determination of Voting Rights; Conduct and Adjournment of Meetings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8.11</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Counting Votes and Recording  Action of Meetings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374" w:type="dxa"/>
            <w:gridSpan w:val="2"/>
            <w:tcBorders/>
            <w:vAlign w:val="center"/>
          </w:tcPr>
          <w:p>
            <w:pPr>
              <w:pStyle w:val="TableContents"/>
              <w:bidi w:val="0"/>
              <w:spacing w:before="0" w:after="283"/>
              <w:jc w:val="left"/>
              <w:rPr/>
            </w:pPr>
            <w:r>
              <w:rPr>
                <w:rFonts w:ascii="Times New Roman;Times;Serif" w:hAnsi="Times New Roman;Times;Serif"/>
                <w:sz w:val="20"/>
              </w:rPr>
              <w:t>ARTICLE IX.</w:t>
            </w:r>
            <w:r>
              <w:rPr/>
              <w:t xml:space="preserve"> </w:t>
            </w:r>
            <w:r>
              <w:rPr>
                <w:rFonts w:ascii="Times New Roman;Times;Serif" w:hAnsi="Times New Roman;Times;Serif"/>
                <w:sz w:val="20"/>
              </w:rPr>
              <w:t>SUPPLEMENTAL INDENTURES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Without the Consent of Securityholders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 Consent of Securityholders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Affected by Supplemental Indentures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Supplemental Indentures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374" w:type="dxa"/>
            <w:gridSpan w:val="2"/>
            <w:tcBorders/>
            <w:vAlign w:val="center"/>
          </w:tcPr>
          <w:p>
            <w:pPr>
              <w:pStyle w:val="TableContents"/>
              <w:bidi w:val="0"/>
              <w:spacing w:before="0" w:after="283"/>
              <w:jc w:val="left"/>
              <w:rPr/>
            </w:pPr>
            <w:r>
              <w:rPr>
                <w:rFonts w:ascii="Times New Roman;Times;Serif" w:hAnsi="Times New Roman;Times;Serif"/>
                <w:sz w:val="20"/>
              </w:rPr>
              <w:t>ARTICLE X.</w:t>
            </w:r>
            <w:r>
              <w:rPr/>
              <w:t xml:space="preserve"> </w:t>
            </w:r>
            <w:r>
              <w:rPr>
                <w:rFonts w:ascii="Times New Roman;Times;Serif" w:hAnsi="Times New Roman;Times;Serif"/>
                <w:sz w:val="20"/>
              </w:rPr>
              <w:t>SUCCESSOR ENTITY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Consolidate, Etc.</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Entity Substituted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Consolidation, Etc.</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374" w:type="dxa"/>
            <w:gridSpan w:val="2"/>
            <w:tcBorders/>
            <w:vAlign w:val="center"/>
          </w:tcPr>
          <w:p>
            <w:pPr>
              <w:pStyle w:val="TableContents"/>
              <w:bidi w:val="0"/>
              <w:spacing w:before="0" w:after="283"/>
              <w:jc w:val="left"/>
              <w:rPr/>
            </w:pPr>
            <w:r>
              <w:rPr>
                <w:rFonts w:ascii="Times New Roman;Times;Serif" w:hAnsi="Times New Roman;Times;Serif"/>
                <w:sz w:val="20"/>
              </w:rPr>
              <w:t>ARTICLE XI.</w:t>
            </w:r>
            <w:r>
              <w:rPr/>
              <w:t xml:space="preserve"> </w:t>
            </w:r>
            <w:r>
              <w:rPr>
                <w:rFonts w:ascii="Times New Roman;Times;Serif" w:hAnsi="Times New Roman;Times;Serif"/>
                <w:sz w:val="20"/>
              </w:rPr>
              <w:t>SATISFACTION AND DISCHARGE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Indenture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11.2</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Discharge of Obligations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11.3</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Deposited Moneys to be Held in Trust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11.4</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Moneys Held by Paying Agents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11.5</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to Company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374" w:type="dxa"/>
            <w:gridSpan w:val="2"/>
            <w:tcBorders/>
            <w:vAlign w:val="center"/>
          </w:tcPr>
          <w:p>
            <w:pPr>
              <w:pStyle w:val="TableContents"/>
              <w:bidi w:val="0"/>
              <w:spacing w:before="0" w:after="283"/>
              <w:jc w:val="left"/>
              <w:rPr/>
            </w:pPr>
            <w:r>
              <w:rPr>
                <w:rFonts w:ascii="Times New Roman;Times;Serif" w:hAnsi="Times New Roman;Times;Serif"/>
                <w:sz w:val="20"/>
              </w:rPr>
              <w:t>ARTICLE XII.</w:t>
            </w:r>
            <w:r>
              <w:rPr/>
              <w:t xml:space="preserve"> </w:t>
            </w:r>
            <w:r>
              <w:rPr>
                <w:rFonts w:ascii="Times New Roman;Times;Serif" w:hAnsi="Times New Roman;Times;Serif"/>
                <w:sz w:val="20"/>
              </w:rPr>
              <w:t>IMMUNITY OF INCORPORATORS, SHAREHOLDERS, OFFICERS AND DIRECTORS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Recourse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374" w:type="dxa"/>
            <w:gridSpan w:val="2"/>
            <w:tcBorders/>
            <w:vAlign w:val="center"/>
          </w:tcPr>
          <w:p>
            <w:pPr>
              <w:pStyle w:val="TableContents"/>
              <w:bidi w:val="0"/>
              <w:spacing w:before="0" w:after="283"/>
              <w:jc w:val="left"/>
              <w:rPr/>
            </w:pPr>
            <w:r>
              <w:rPr>
                <w:rFonts w:ascii="Times New Roman;Times;Serif" w:hAnsi="Times New Roman;Times;Serif"/>
                <w:sz w:val="20"/>
              </w:rPr>
              <w:t>ARTICLE XIII.</w:t>
            </w:r>
            <w:r>
              <w:rPr/>
              <w:t xml:space="preserve"> </w:t>
            </w:r>
            <w:r>
              <w:rPr>
                <w:rFonts w:ascii="Times New Roman;Times;Serif" w:hAnsi="Times New Roman;Times;Serif"/>
                <w:sz w:val="20"/>
              </w:rPr>
              <w:t>MISCELLANEOUS PROVISIONS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on Successors and Assigns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13.2</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by Successor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13.3</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Surrender of Company Powers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13.4</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13.5</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13.6</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Securities as Debt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13.7</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Certificates and Opinions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13.8</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Business Days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13.9</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Conflict with Trust Indenture Act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13.10</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13.11</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13.12</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374" w:type="dxa"/>
            <w:gridSpan w:val="2"/>
            <w:tcBorders/>
            <w:vAlign w:val="center"/>
          </w:tcPr>
          <w:p>
            <w:pPr>
              <w:pStyle w:val="TableContents"/>
              <w:bidi w:val="0"/>
              <w:spacing w:before="0" w:after="283"/>
              <w:jc w:val="left"/>
              <w:rPr/>
            </w:pPr>
            <w:r>
              <w:rPr>
                <w:rFonts w:ascii="Times New Roman;Times;Serif" w:hAnsi="Times New Roman;Times;Serif"/>
                <w:sz w:val="20"/>
              </w:rPr>
              <w:t>ARTICLE XIV.</w:t>
            </w:r>
            <w:r>
              <w:rPr/>
              <w:t xml:space="preserve"> </w:t>
            </w:r>
            <w:r>
              <w:rPr>
                <w:rFonts w:ascii="Times New Roman;Times;Serif" w:hAnsi="Times New Roman;Times;Serif"/>
                <w:sz w:val="20"/>
              </w:rPr>
              <w:t>SUBORDINATION OF SECURITIES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564" w:type="dxa"/>
            <w:tcBorders/>
            <w:vAlign w:val="center"/>
          </w:tcPr>
          <w:p>
            <w:pPr>
              <w:pStyle w:val="TableContents"/>
              <w:bidi w:val="0"/>
              <w:spacing w:before="0" w:after="283"/>
              <w:jc w:val="left"/>
              <w:rPr/>
            </w:pPr>
            <w:r>
              <w:rPr/>
              <w:t> </w:t>
            </w:r>
          </w:p>
        </w:tc>
        <w:tc>
          <w:tcPr>
            <w:tcW w:w="68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w:t>
            </w:r>
          </w:p>
        </w:tc>
        <w:tc>
          <w:tcPr>
            <w:tcW w:w="6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Subordination Terms</w:t>
            </w:r>
          </w:p>
        </w:tc>
        <w:tc>
          <w:tcPr>
            <w:tcW w:w="275" w:type="dxa"/>
            <w:tcBorders/>
            <w:vAlign w:val="center"/>
          </w:tcPr>
          <w:p>
            <w:pPr>
              <w:pStyle w:val="TableContents"/>
              <w:bidi w:val="0"/>
              <w:spacing w:before="0" w:after="283"/>
              <w:jc w:val="right"/>
              <w:rPr/>
            </w:pPr>
            <w:r>
              <w:rPr/>
              <w:t>30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283"/>
              <w:jc w:val="left"/>
              <w:rPr/>
            </w:pPr>
            <w:r>
              <w:rPr/>
              <w:t>This Table of Contents does not constitute part of the Indenture and shall not have any bearing on the interpretation of any of its terms and provisions.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 by and between TMC the metals company Inc., a corporation existing under the laws of British Columbia, Canada (the “Company”), and [ ], as trustee (the “Trustee”):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to provide the terms and conditions upon which the Securities are to be authenticated, issued and delivered, the Company has duly authorized the execution of this Indenture;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agreement of the Company, in accordance with its terms, have been done.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 of Terms</w:t>
      </w:r>
      <w:r>
        <w:rPr>
          <w:rFonts w:ascii="Times New Roman;Times;Serif" w:hAnsi="Times New Roman;Times;Serif"/>
          <w:b w:val="false"/>
          <w:i w:val="false"/>
          <w:caps w:val="false"/>
          <w:smallCaps w:val="false"/>
          <w:sz w:val="20"/>
        </w:rPr>
        <w:t>. 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Authenticating Agent” means an authenticating agent with respect to all or any of the series of Securities appointed with respect to all or any series of the Securities by the Trustee pursuant to Section 2.10.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Bankruptcy Law” means Title 11, U.S. Code, or any similar federal or state law for the relief of debtors.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means the Board of Directors of the Company or any duly authorized committee of such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Resolution” means a copy of a resolution certified by the Secretary or an Assistant Secretary of the Company to have been duly adopted by the Board of Directors and to be in full force and effect on the date of such certification.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Certificate” means a certificate signed by the principal executive officer, the principal financial officer or the principal accounting officer of the Company. The Certificate need not comply with the provisions of Section 13.07.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means the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Custodian” means any receiver, trustee, assignee, liquidator, or similar official under any Bankruptcy Law. “Default” means an event which is, or after notice or lapse of time, or both, would constitute an Event of Default.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means, with respect to Securities of a particular series, any event specified in Section 6.01, continued for the period of time, if any, therein designated.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herein,” “hereof’ and “hereunder,” and other words of similar import, refer to this Indenture as a whole and not to any particular Article, Section or other subdivision.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means this instrument as originally executed or as it may from time to time be supplemented or amended by one or more indentures supplemental hereto entered into in accordance with the terms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Opinion of Counsel” means a written opinion of counsel, who may be counsel to the Company (and may include directors or employees of the Company) and which opinion is acceptable to the Trustee which acceptance shall not be unreasonably withheld.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Outstanding”, when used with reference to Securities of any series, means, subject to the provisions of Section 8.04, as of any particular time, all Securities of that series theretofore authenticated and delivered by the Trustee under this Indenture, except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limited liability company, partnership, joint-venture, association, joint-stock company, trust, estate, unincorporated organization or government or any agency or political subdivision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means the debt Securities authenticated and delivered under this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Security Register” has the meaning specified in Section 2.05.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Security Registrar” has the meaning specified in Section 2.05.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Securityholder,” “holder of Securities,” “registered holder,” or other similar term, means the Person or Persons in whose name or names a particular Security shall be registered in the Security Register.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br/>
        <w:t>ISSUE, DESCRIPTION, TERMS, EXECUTION,</w:t>
        <w:br/>
        <w:t>REGISTRATION AND EXCHANGE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Designation and Terms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Security of the series (which shall distinguish the Securities of the series from all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currency or units based on or relating to currencies in which debt securities of such series are denominated and the currency or units in which principal or interest or both will or may be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date or dates on which the principal of the Securities of the series is payable and the place(s) of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rate or rates at which the Securities of the series shall bear interest or the manner of calculation of such rate or rates,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right, if any, to extend the interest payment periods or to defer the payment of interest and the duration of such extension;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period or periods within which, the price or prices at which and the terms and conditions upon which, Securities of the series may be redeemed, in whole or in part, at the option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whether or not the debt securities will be secured or unsecured, and the terms of any secured debt;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form of the Securities of the series including the form of the Certificate of Authentication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other than denominations of one thousand U.S. dollars ($1,000) or any integral multiple thereof, the denominations in which the Securities of the series shall be issuable;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whether the Securities are issuable as a Global Security and, in such case, the identity of the Depositary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whether the Securities will be convertible into common shares or other securities of the Company and, if so, the terms and conditions upon which such Securities will be so convertible, including the conversion price and the conversion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if other than the principal amount thereof, the portion of the principal amount of Securities of the series which shall be payable upon declaration of acceleration of the maturity thereof pursuant to Section 6.01;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any additional or different Events of Default or restrictive covenants provided for with respect to the Securities of the series;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the subordination terms of the Securities of the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any such Board Resolution or in any indentures supplemental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Form of Securities and Trustee’s Certificate</w:t>
      </w:r>
      <w:r>
        <w:rPr>
          <w:rFonts w:ascii="Times New Roman;Times;Serif" w:hAnsi="Times New Roman;Times;Serif"/>
          <w:b w:val="false"/>
          <w:i w:val="false"/>
          <w:caps w:val="false"/>
          <w:smallCaps w:val="false"/>
          <w:sz w:val="20"/>
        </w:rPr>
        <w:t>. 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Denominations: Provisions for Payment</w:t>
      </w:r>
      <w:r>
        <w:rPr>
          <w:rFonts w:ascii="Times New Roman;Times;Serif" w:hAnsi="Times New Roman;Times;Serif"/>
          <w:b w:val="false"/>
          <w:i w:val="false"/>
          <w:caps w:val="false"/>
          <w:smallCaps w:val="false"/>
          <w:sz w:val="20"/>
        </w:rPr>
        <w:t>. 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Execution and Authentications</w:t>
      </w:r>
      <w:r>
        <w:rPr>
          <w:rFonts w:ascii="Times New Roman;Times;Serif" w:hAnsi="Times New Roman;Times;Serif"/>
          <w:b w:val="false"/>
          <w:i w:val="false"/>
          <w:caps w:val="false"/>
          <w:smallCaps w:val="false"/>
          <w:sz w:val="20"/>
        </w:rPr>
        <w:t>. 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securities exchange rule or usage. Each Security shall be dated the date of its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Registration of 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Temporary Securities</w:t>
      </w:r>
      <w:r>
        <w:rPr>
          <w:rFonts w:ascii="Times New Roman;Times;Serif" w:hAnsi="Times New Roman;Times;Serif"/>
          <w:b w:val="false"/>
          <w:i w:val="false"/>
          <w:caps w:val="false"/>
          <w:smallCaps w:val="false"/>
          <w:sz w:val="20"/>
        </w:rPr>
        <w:t>. 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Mutilated, Destroyed, Lost or Stolen Securities</w:t>
      </w:r>
      <w:r>
        <w:rPr>
          <w:rFonts w:ascii="Times New Roman;Times;Serif" w:hAnsi="Times New Roman;Times;Serif"/>
          <w:b w:val="false"/>
          <w:i w:val="false"/>
          <w:caps w:val="false"/>
          <w:smallCaps w:val="false"/>
          <w:sz w:val="20"/>
        </w:rPr>
        <w:t>. 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Benefits of Indenture</w:t>
      </w:r>
      <w:r>
        <w:rPr>
          <w:rFonts w:ascii="Times New Roman;Times;Serif" w:hAnsi="Times New Roman;Times;Serif"/>
          <w:b w:val="false"/>
          <w:i w:val="false"/>
          <w:caps w:val="false"/>
          <w:smallCaps w:val="false"/>
          <w:sz w:val="20"/>
        </w:rPr>
        <w:t>. Nothing in this Indenture or in the Securities, express or implied, shall give or be construed to give to any Person, other than the parties hereto and the holders of the Securities (and, with respect to the provisions of Article XIV, the holders of Senior Indebtedness, as defined in any supplement to this Indenture pursuant to Article XIV)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XIV, the holders of Senior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Authenticating Agent</w:t>
      </w:r>
      <w:r>
        <w:rPr>
          <w:rFonts w:ascii="Times New Roman;Times;Serif" w:hAnsi="Times New Roman;Times;Serif"/>
          <w:b w:val="false"/>
          <w:i w:val="false"/>
          <w:caps w:val="false"/>
          <w:smallCaps w:val="false"/>
          <w:sz w:val="20"/>
        </w:rPr>
        <w:t>. 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br/>
        <w:t>REDEMPTION OF SECURITIES AND SINKING FUND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Payment Upon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Sinking Fund</w:t>
      </w:r>
      <w:r>
        <w:rPr>
          <w:rFonts w:ascii="Times New Roman;Times;Serif" w:hAnsi="Times New Roman;Times;Serif"/>
          <w:b w:val="false"/>
          <w:i w:val="false"/>
          <w:caps w:val="false"/>
          <w:smallCaps w:val="false"/>
          <w:sz w:val="20"/>
        </w:rPr>
        <w:t>. 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Satisfaction of Sinking Fund Payments with Securities</w:t>
      </w:r>
      <w:r>
        <w:rPr>
          <w:rFonts w:ascii="Times New Roman;Times;Serif" w:hAnsi="Times New Roman;Times;Serif"/>
          <w:b w:val="false"/>
          <w:i w:val="false"/>
          <w:caps w:val="false"/>
          <w:smallCaps w:val="false"/>
          <w:sz w:val="20"/>
        </w:rPr>
        <w:t>. 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Redemption of Securities for Sinking Fund</w:t>
      </w:r>
      <w:r>
        <w:rPr>
          <w:rFonts w:ascii="Times New Roman;Times;Serif" w:hAnsi="Times New Roman;Times;Serif"/>
          <w:b w:val="false"/>
          <w:i w:val="false"/>
          <w:caps w:val="false"/>
          <w:smallCaps w:val="false"/>
          <w:sz w:val="20"/>
        </w:rPr>
        <w:t>. 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Payment of Principal, Premium and Interest</w:t>
      </w:r>
      <w:r>
        <w:rPr>
          <w:rFonts w:ascii="Times New Roman;Times;Serif" w:hAnsi="Times New Roman;Times;Serif"/>
          <w:b w:val="false"/>
          <w:i w:val="false"/>
          <w:caps w:val="false"/>
          <w:smallCaps w:val="false"/>
          <w:sz w:val="20"/>
        </w:rPr>
        <w:t>. The Company will duly and punctually pay or cause to be paid the principal of (and premium, if any) and interest on the Securities of that series at the time and place and in the manner provided herein and established with respect to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Paying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it will perform all other duties of paying agent as set forth in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Appointment to Fill Vacancy in Office of Trustee</w:t>
      </w:r>
      <w:r>
        <w:rPr>
          <w:rFonts w:ascii="Times New Roman;Times;Serif" w:hAnsi="Times New Roman;Times;Serif"/>
          <w:b w:val="false"/>
          <w:i w:val="false"/>
          <w:caps w:val="false"/>
          <w:smallCaps w:val="false"/>
          <w:sz w:val="20"/>
        </w:rPr>
        <w:t>. 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Compliance with Consolidation Provisions</w:t>
      </w:r>
      <w:r>
        <w:rPr>
          <w:rFonts w:ascii="Times New Roman;Times;Serif" w:hAnsi="Times New Roman;Times;Serif"/>
          <w:b w:val="false"/>
          <w:i w:val="false"/>
          <w:caps w:val="false"/>
          <w:smallCaps w:val="false"/>
          <w:sz w:val="20"/>
        </w:rPr>
        <w:t>. 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br/>
        <w:t>SECURITYHOLDERS’ LISTS AND REPORTS BY THE COMPANY AND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Company to Furnish Trustee Names and Addresses of Securityholders</w:t>
      </w:r>
      <w:r>
        <w:rPr>
          <w:rFonts w:ascii="Times New Roman;Times;Serif" w:hAnsi="Times New Roman;Times;Serif"/>
          <w:b w:val="false"/>
          <w:i w:val="false"/>
          <w:caps w:val="false"/>
          <w:smallCaps w:val="false"/>
          <w:sz w:val="20"/>
        </w:rPr>
        <w:t>. 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Preservation of Information; Communications with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destroy any list furnished to it as provided in Section 5.01 upon receipt of a new list so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Securityholders may communicate as provided in Section 312(b) of the Trust Indenture Act with other Securityholders with respect to their rights under this Indenture or under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Reports by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Reports by the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copy of each such report shall, at the time of such transmission to Securityholders, be filed by the Trustee with the Company, with each securities exchange upon which any Securities are listed (if so listed) and, if required by Section 313 of the Trust Indenture Act, also with the Commission. The Company agrees to notify the Trustee when any Securities become listed on any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br/>
        <w:t>REMEDIES OF THE TRUSTEE AND SECURITYHOLDERS ON EVENT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used herein with respect to Securities of a particular series, “Event of Default” means any one or more of the following events that has occurred and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 Notwithstanding the foregoing, the payment of such principal (or, if any Securities of that series are discount securities, that portion of the principal amount as may be specified in the terms of that series pursuant to Section 2.01(a)(16)) of (and premium, if any, on) and accrued and unpaid interest, if any, on the Securities of such series shall remain subordinated to the extent provided in Article XIV.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Application of Moneys Collected</w:t>
      </w:r>
      <w:r>
        <w:rPr>
          <w:rFonts w:ascii="Times New Roman;Times;Serif" w:hAnsi="Times New Roman;Times;Serif"/>
          <w:b w:val="false"/>
          <w:i w:val="false"/>
          <w:caps w:val="false"/>
          <w:smallCaps w:val="false"/>
          <w:sz w:val="20"/>
        </w:rPr>
        <w:t>. 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costs and expenses of collection and of all amounts payable to the Trustee under Section 7.06; SECOND: To the payment of all Senior Indebtedness of the Company if and to the extent required by Article XIV;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Rights and Remedies Cumulative; Delay or Omission Not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Control by Securityholders</w:t>
      </w:r>
      <w:r>
        <w:rPr>
          <w:rFonts w:ascii="Times New Roman;Times;Serif" w:hAnsi="Times New Roman;Times;Serif"/>
          <w:b w:val="false"/>
          <w:i w:val="false"/>
          <w:caps w:val="false"/>
          <w:smallCaps w:val="false"/>
          <w:sz w:val="20"/>
        </w:rPr>
        <w:t>. 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Undertaking to Pay Costs</w:t>
      </w:r>
      <w:r>
        <w:rPr>
          <w:rFonts w:ascii="Times New Roman;Times;Serif" w:hAnsi="Times New Roman;Times;Serif"/>
          <w:b w:val="false"/>
          <w:i w:val="false"/>
          <w:caps w:val="false"/>
          <w:smallCaps w:val="false"/>
          <w:sz w:val="20"/>
        </w:rPr>
        <w:t>. 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br/>
        <w:t>CONCERNING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Duties and Responsibilities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not be liable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Rights of Trustee</w:t>
      </w:r>
      <w:r>
        <w:rPr>
          <w:rFonts w:ascii="Times New Roman;Times;Serif" w:hAnsi="Times New Roman;Times;Serif"/>
          <w:b w:val="false"/>
          <w:i w:val="false"/>
          <w:caps w:val="false"/>
          <w:smallCaps w:val="false"/>
          <w:sz w:val="20"/>
        </w:rPr>
        <w:t>. Except as otherwise provided in Section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and the written advice of such counsel or any Opinion of Counsel shall be full and complete authorization and protection in respect of any action taken or suffered or omitted hereunder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Trustee Not Responsible for Recitals or Issuance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recitals contained herein and in the Securities shall be taken as the statements of the Company, and the Trustee assumes no responsibility for the correctness of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makes no representations as to the validity or sufficiency of this Indenture or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May Hold Securities</w:t>
      </w:r>
      <w:r>
        <w:rPr>
          <w:rFonts w:ascii="Times New Roman;Times;Serif" w:hAnsi="Times New Roman;Times;Serif"/>
          <w:b w:val="false"/>
          <w:i w:val="false"/>
          <w:caps w:val="false"/>
          <w:smallCaps w:val="false"/>
          <w:sz w:val="20"/>
        </w:rPr>
        <w:t>. 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Moneys Held in Trust</w:t>
      </w:r>
      <w:r>
        <w:rPr>
          <w:rFonts w:ascii="Times New Roman;Times;Serif" w:hAnsi="Times New Roman;Times;Serif"/>
          <w:b w:val="false"/>
          <w:i w:val="false"/>
          <w:caps w:val="false"/>
          <w:smallCaps w:val="false"/>
          <w:sz w:val="20"/>
        </w:rPr>
        <w:t>. 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Reliance on Officers’ Certificate</w:t>
      </w:r>
      <w:r>
        <w:rPr>
          <w:rFonts w:ascii="Times New Roman;Times;Serif" w:hAnsi="Times New Roman;Times;Serif"/>
          <w:b w:val="false"/>
          <w:i w:val="false"/>
          <w:caps w:val="false"/>
          <w:smallCaps w:val="false"/>
          <w:sz w:val="20"/>
        </w:rPr>
        <w:t>. 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Disqualification; Conflicting Interests</w:t>
      </w:r>
      <w:r>
        <w:rPr>
          <w:rFonts w:ascii="Times New Roman;Times;Serif" w:hAnsi="Times New Roman;Times;Serif"/>
          <w:b w:val="false"/>
          <w:i w:val="false"/>
          <w:caps w:val="false"/>
          <w:smallCaps w:val="false"/>
          <w:sz w:val="20"/>
        </w:rPr>
        <w:t>. 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Corporate Trustee Required; Eligibility</w:t>
      </w:r>
      <w:r>
        <w:rPr>
          <w:rFonts w:ascii="Times New Roman;Times;Serif" w:hAnsi="Times New Roman;Times;Serif"/>
          <w:b w:val="false"/>
          <w:i w:val="false"/>
          <w:caps w:val="false"/>
          <w:smallCaps w:val="false"/>
          <w:sz w:val="20"/>
        </w:rPr>
        <w:t>. 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one of the following shall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cease to be eligible in accordance with the provisions of Section 7.09 and shall fail to resign after written request therefor by the Company or by any such Securityholder;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successor trustee shall accept its appointment unless at the time of such acceptance such successor trustee shall be qualified and eligible under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Merger, Conversion</w:t>
      </w:r>
      <w:r>
        <w:rPr>
          <w:rFonts w:ascii="Times New Roman;Times;Serif" w:hAnsi="Times New Roman;Times;Serif"/>
          <w:b w:val="false"/>
          <w:i w:val="false"/>
          <w:caps w:val="false"/>
          <w:smallCaps w:val="false"/>
          <w:sz w:val="20"/>
        </w:rPr>
        <w:t>.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Preferential Collection of Claims Against the Company</w:t>
      </w:r>
      <w:r>
        <w:rPr>
          <w:rFonts w:ascii="Times New Roman;Times;Serif" w:hAnsi="Times New Roman;Times;Serif"/>
          <w:b w:val="false"/>
          <w:i w:val="false"/>
          <w:caps w:val="false"/>
          <w:smallCaps w:val="false"/>
          <w:sz w:val="20"/>
        </w:rPr>
        <w:t>.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br/>
        <w:t>CONCERNING THE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Evidence of Action by Securityholders</w:t>
      </w:r>
      <w:r>
        <w:rPr>
          <w:rFonts w:ascii="Times New Roman;Times;Serif" w:hAnsi="Times New Roman;Times;Serif"/>
          <w:b w:val="false"/>
          <w:i w:val="false"/>
          <w:caps w:val="false"/>
          <w:smallCaps w:val="false"/>
          <w:sz w:val="20"/>
        </w:rPr>
        <w:t>. 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Proof of Execution by Securityholders</w:t>
      </w:r>
      <w:r>
        <w:rPr>
          <w:rFonts w:ascii="Times New Roman;Times;Serif" w:hAnsi="Times New Roman;Times;Serif"/>
          <w:b w:val="false"/>
          <w:i w:val="false"/>
          <w:caps w:val="false"/>
          <w:smallCaps w:val="false"/>
          <w:sz w:val="20"/>
        </w:rPr>
        <w:t>. 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fact and date of the execution by any such Person of any instrument may be proved in any reasonable manner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ownership of Securities shall be proved by the Security Register of such Securities or by a certificate of the Security Registrar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require such additional proof of any matter referred to in this Section as it shall deem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Who May be Deemed Owners</w:t>
      </w:r>
      <w:r>
        <w:rPr>
          <w:rFonts w:ascii="Times New Roman;Times;Serif" w:hAnsi="Times New Roman;Times;Serif"/>
          <w:b w:val="false"/>
          <w:i w:val="false"/>
          <w:caps w:val="false"/>
          <w:smallCaps w:val="false"/>
          <w:sz w:val="20"/>
        </w:rPr>
        <w:t>. 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Securities Owned by Company Disregarded</w:t>
      </w:r>
      <w:r>
        <w:rPr>
          <w:rFonts w:ascii="Times New Roman;Times;Serif" w:hAnsi="Times New Roman;Times;Serif"/>
          <w:b w:val="false"/>
          <w:i w:val="false"/>
          <w:caps w:val="false"/>
          <w:smallCaps w:val="false"/>
          <w:sz w:val="20"/>
        </w:rPr>
        <w:t>. 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Actions Binding on Future Securityholders</w:t>
      </w:r>
      <w:r>
        <w:rPr>
          <w:rFonts w:ascii="Times New Roman;Times;Serif" w:hAnsi="Times New Roman;Times;Serif"/>
          <w:b w:val="false"/>
          <w:i w:val="false"/>
          <w:caps w:val="false"/>
          <w:smallCaps w:val="false"/>
          <w:sz w:val="20"/>
        </w:rPr>
        <w:t>. 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Purposes for Which Meetings May Be Called</w:t>
      </w:r>
      <w:r>
        <w:rPr>
          <w:rFonts w:ascii="Times New Roman;Times;Serif" w:hAnsi="Times New Roman;Times;Serif"/>
          <w:b w:val="false"/>
          <w:i w:val="false"/>
          <w:caps w:val="false"/>
          <w:smallCaps w:val="false"/>
          <w:sz w:val="20"/>
        </w:rPr>
        <w:t>. 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this Article VIII, the Trustee may, during the pendency of a Default or an Event of Default, call a meeting of holders of any series of Securities in accordance with its standard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Call Notice and Place of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Persons Entitled To Vote at Meetings</w:t>
      </w:r>
      <w:r>
        <w:rPr>
          <w:rFonts w:ascii="Times New Roman;Times;Serif" w:hAnsi="Times New Roman;Times;Serif"/>
          <w:b w:val="false"/>
          <w:i w:val="false"/>
          <w:caps w:val="false"/>
          <w:smallCaps w:val="false"/>
          <w:sz w:val="20"/>
        </w:rPr>
        <w:t>. 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Quorum; Action</w:t>
      </w:r>
      <w:r>
        <w:rPr>
          <w:rFonts w:ascii="Times New Roman;Times;Serif" w:hAnsi="Times New Roman;Times;Serif"/>
          <w:b w:val="false"/>
          <w:i w:val="false"/>
          <w:caps w:val="false"/>
          <w:smallCaps w:val="false"/>
          <w:sz w:val="20"/>
        </w:rPr>
        <w:t>. 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resolution passed or decisions taken at any meeting of holders of Securities duly held in accordance with this Section shall be binding on all the holders of Securities of such series, whether or not present or represented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Determination of Voting Rights; Conduct and Adjournment of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Counting Votes and Recording Action of Meetings</w:t>
      </w:r>
      <w:r>
        <w:rPr>
          <w:rFonts w:ascii="Times New Roman;Times;Serif" w:hAnsi="Times New Roman;Times;Serif"/>
          <w:b w:val="false"/>
          <w:i w:val="false"/>
          <w:caps w:val="false"/>
          <w:smallCaps w:val="false"/>
          <w:sz w:val="20"/>
        </w:rPr>
        <w:t>. 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br/>
        <w:t>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Supplemental Indentures Without the Consent of Securityholders</w:t>
      </w:r>
      <w:r>
        <w:rPr>
          <w:rFonts w:ascii="Times New Roman;Times;Serif" w:hAnsi="Times New Roman;Times;Serif"/>
          <w:b w:val="false"/>
          <w:i w:val="false"/>
          <w:caps w:val="false"/>
          <w:smallCaps w:val="false"/>
          <w:sz w:val="20"/>
        </w:rPr>
        <w:t>. 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make any change that does not adversely affect the rights of any Securityholder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comply with the requirements of the Commission in order to effect or maintain the qualification of this Indenture under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Supplemental Indentures With Consent of Securityholders</w:t>
      </w:r>
      <w:r>
        <w:rPr>
          <w:rFonts w:ascii="Times New Roman;Times;Serif" w:hAnsi="Times New Roman;Times;Serif"/>
          <w:b w:val="false"/>
          <w:i w:val="false"/>
          <w:caps w:val="false"/>
          <w:smallCaps w:val="false"/>
          <w:sz w:val="20"/>
        </w:rPr>
        <w:t>. 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Effect of Supplemental Indentures</w:t>
      </w:r>
      <w:r>
        <w:rPr>
          <w:rFonts w:ascii="Times New Roman;Times;Serif" w:hAnsi="Times New Roman;Times;Serif"/>
          <w:b w:val="false"/>
          <w:i w:val="false"/>
          <w:caps w:val="false"/>
          <w:smallCaps w:val="false"/>
          <w:sz w:val="20"/>
        </w:rPr>
        <w:t>. 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Securities Affected by Supplemental Indentures</w:t>
      </w:r>
      <w:r>
        <w:rPr>
          <w:rFonts w:ascii="Times New Roman;Times;Serif" w:hAnsi="Times New Roman;Times;Serif"/>
          <w:b w:val="false"/>
          <w:i w:val="false"/>
          <w:caps w:val="false"/>
          <w:smallCaps w:val="false"/>
          <w:sz w:val="20"/>
        </w:rPr>
        <w:t>. 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Execution of Supplemental Indentures</w:t>
      </w:r>
      <w:r>
        <w:rPr>
          <w:rFonts w:ascii="Times New Roman;Times;Serif" w:hAnsi="Times New Roman;Times;Serif"/>
          <w:b w:val="false"/>
          <w:i w:val="false"/>
          <w:caps w:val="false"/>
          <w:smallCaps w:val="false"/>
          <w:sz w:val="20"/>
        </w:rPr>
        <w:t>. 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br/>
        <w:t>SUCCESSOR ENTITY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Company May Consolidate, Etc</w:t>
      </w:r>
      <w:r>
        <w:rPr>
          <w:rFonts w:ascii="Times New Roman;Times;Serif" w:hAnsi="Times New Roman;Times;Serif"/>
          <w:b w:val="false"/>
          <w:i w:val="false"/>
          <w:caps w:val="false"/>
          <w:smallCaps w:val="false"/>
          <w:sz w:val="20"/>
        </w:rPr>
        <w:t>. 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Successor Entity Substituted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Evidence of Consolidation, Etc. to Trustee</w:t>
      </w:r>
      <w:r>
        <w:rPr>
          <w:rFonts w:ascii="Times New Roman;Times;Serif" w:hAnsi="Times New Roman;Times;Serif"/>
          <w:b w:val="false"/>
          <w:i w:val="false"/>
          <w:caps w:val="false"/>
          <w:smallCaps w:val="false"/>
          <w:sz w:val="20"/>
        </w:rPr>
        <w:t>. The Trustee, subject to the provisions of Section 7.01, may receive an Opinion of Counsel as conclusive evidence that any such consolidation, merger, sale, conveyance, transfer or other disposition, and any such assumption, comply with the provisions of this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br/>
        <w:t>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Satisfaction and Discharge of Indenture</w:t>
      </w:r>
      <w:r>
        <w:rPr>
          <w:rFonts w:ascii="Times New Roman;Times;Serif" w:hAnsi="Times New Roman;Times;Serif"/>
          <w:b w:val="false"/>
          <w:i w:val="false"/>
          <w:caps w:val="false"/>
          <w:smallCaps w:val="false"/>
          <w:sz w:val="20"/>
        </w:rPr>
        <w:t>. 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Discharge of Obligations</w:t>
      </w:r>
      <w:r>
        <w:rPr>
          <w:rFonts w:ascii="Times New Roman;Times;Serif" w:hAnsi="Times New Roman;Times;Serif"/>
          <w:b w:val="false"/>
          <w:i w:val="false"/>
          <w:caps w:val="false"/>
          <w:smallCaps w:val="false"/>
          <w:sz w:val="20"/>
        </w:rPr>
        <w:t>. 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Deposited Moneys to be Held in Trust</w:t>
      </w:r>
      <w:r>
        <w:rPr>
          <w:rFonts w:ascii="Times New Roman;Times;Serif" w:hAnsi="Times New Roman;Times;Serif"/>
          <w:b w:val="false"/>
          <w:i w:val="false"/>
          <w:caps w:val="false"/>
          <w:smallCaps w:val="false"/>
          <w:sz w:val="20"/>
        </w:rPr>
        <w:t>. 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Payment of Moneys Held by Paying Agents</w:t>
      </w:r>
      <w:r>
        <w:rPr>
          <w:rFonts w:ascii="Times New Roman;Times;Serif" w:hAnsi="Times New Roman;Times;Serif"/>
          <w:b w:val="false"/>
          <w:i w:val="false"/>
          <w:caps w:val="false"/>
          <w:smallCaps w:val="false"/>
          <w:sz w:val="20"/>
        </w:rPr>
        <w:t>. 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Repayment to Company</w:t>
      </w:r>
      <w:r>
        <w:rPr>
          <w:rFonts w:ascii="Times New Roman;Times;Serif" w:hAnsi="Times New Roman;Times;Serif"/>
          <w:b w:val="false"/>
          <w:i w:val="false"/>
          <w:caps w:val="false"/>
          <w:smallCaps w:val="false"/>
          <w:sz w:val="20"/>
        </w:rPr>
        <w:t>. 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br/>
        <w:t>IMMUNITY OF INCORPORATORS, SHAREHOLDERS,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shareholders,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w:t>
        <w:b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Effect on Successors and Assigns</w:t>
      </w:r>
      <w:r>
        <w:rPr>
          <w:rFonts w:ascii="Times New Roman;Times;Serif" w:hAnsi="Times New Roman;Times;Serif"/>
          <w:b w:val="false"/>
          <w:i w:val="false"/>
          <w:caps w:val="false"/>
          <w:smallCaps w:val="false"/>
          <w:sz w:val="20"/>
        </w:rPr>
        <w:t>. All the covenants, stipulations, promises and agreements in this Indenture contained by or on behalf of the Company shall bind its successors and assigns, whether so expressed or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Actions by Successor</w:t>
      </w:r>
      <w:r>
        <w:rPr>
          <w:rFonts w:ascii="Times New Roman;Times;Serif" w:hAnsi="Times New Roman;Times;Serif"/>
          <w:b w:val="false"/>
          <w:i w:val="false"/>
          <w:caps w:val="false"/>
          <w:smallCaps w:val="false"/>
          <w:sz w:val="20"/>
        </w:rPr>
        <w:t>. 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Surrender of Company Powers</w:t>
      </w:r>
      <w:r>
        <w:rPr>
          <w:rFonts w:ascii="Times New Roman;Times;Serif" w:hAnsi="Times New Roman;Times;Serif"/>
          <w:b w:val="false"/>
          <w:i w:val="false"/>
          <w:caps w:val="false"/>
          <w:smallCaps w:val="false"/>
          <w:sz w:val="20"/>
        </w:rPr>
        <w:t>. 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TMC the metals company Inc., Attn: [ ], 1111 West Hastings&amp;emsp13;&amp;NegativeThickSpace;Street,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Vancouver, British Columbia&amp;emsp13;&amp;NegativeThickSpace;V6E 2J3.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Indenture and each Security shall be deemed to be a contract made under the internal laws of the State of New York, and for all purposes shall be construed in accordance with the laws of said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Treatment of Securities as Debt</w:t>
      </w:r>
      <w:r>
        <w:rPr>
          <w:rFonts w:ascii="Times New Roman;Times;Serif" w:hAnsi="Times New Roman;Times;Serif"/>
          <w:b w:val="false"/>
          <w:i w:val="false"/>
          <w:caps w:val="false"/>
          <w:smallCaps w:val="false"/>
          <w:sz w:val="20"/>
        </w:rPr>
        <w:t>. 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Compliance Certificates and Opinions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Payments on Business Days</w:t>
      </w:r>
      <w:r>
        <w:rPr>
          <w:rFonts w:ascii="Times New Roman;Times;Serif" w:hAnsi="Times New Roman;Times;Serif"/>
          <w:b w:val="false"/>
          <w:i w:val="false"/>
          <w:caps w:val="false"/>
          <w:smallCaps w:val="false"/>
          <w:sz w:val="20"/>
        </w:rPr>
        <w:t>. 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Conflict with Trust Indenture Act</w:t>
      </w:r>
      <w:r>
        <w:rPr>
          <w:rFonts w:ascii="Times New Roman;Times;Serif" w:hAnsi="Times New Roman;Times;Serif"/>
          <w:b w:val="false"/>
          <w:i w:val="false"/>
          <w:caps w:val="false"/>
          <w:smallCaps w:val="false"/>
          <w:sz w:val="20"/>
        </w:rPr>
        <w:t>. If and to the extent that any provision of this Indenture limits, qualifies or conflicts with the duties imposed by Sections 310 to 317, inclusive, of the Trust Indenture Act, such imposed duties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Indenture may be executed in any number of counterparts, each of which shall be an original, but such counterparts shall together constitute but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Separability</w:t>
      </w:r>
      <w:r>
        <w:rPr>
          <w:rFonts w:ascii="Times New Roman;Times;Serif" w:hAnsi="Times New Roman;Times;Serif"/>
          <w:b w:val="false"/>
          <w:i w:val="false"/>
          <w:caps w:val="false"/>
          <w:smallCaps w:val="false"/>
          <w:sz w:val="20"/>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XIV.</w:t>
        <w:br/>
        <w:t>SUBORDINATION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Subordination Terms</w:t>
      </w:r>
      <w:r>
        <w:rPr>
          <w:rFonts w:ascii="Times New Roman;Times;Serif" w:hAnsi="Times New Roman;Times;Serif"/>
          <w:b w:val="false"/>
          <w:i w:val="false"/>
          <w:caps w:val="false"/>
          <w:smallCaps w:val="false"/>
          <w:sz w:val="20"/>
        </w:rPr>
        <w:t>. The payment by the Company of the principal of, premium, if any, and interest on any series of Securities issued hereunder shall be subordinated to the extent set forth in an indenture supplemental hereto relating to the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259" w:type="dxa"/>
        <w:jc w:val="left"/>
        <w:tblInd w:w="0" w:type="dxa"/>
        <w:tblLayout w:type="fixed"/>
        <w:tblCellMar>
          <w:top w:w="0" w:type="dxa"/>
          <w:left w:w="0" w:type="dxa"/>
          <w:bottom w:w="0" w:type="dxa"/>
          <w:right w:w="0" w:type="dxa"/>
        </w:tblCellMar>
      </w:tblPr>
      <w:tblGrid>
        <w:gridCol w:w="75"/>
        <w:gridCol w:w="1087"/>
        <w:gridCol w:w="2097"/>
      </w:tblGrid>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tc>
      </w:tr>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9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caps w:val="false"/>
                <w:smallCaps w:val="false"/>
              </w:rPr>
            </w:pPr>
            <w:r>
              <w:rPr>
                <w:caps w:val="false"/>
                <w:smallCaps w:val="false"/>
              </w:rPr>
              <w:t> </w:t>
            </w:r>
          </w:p>
        </w:tc>
        <w:tc>
          <w:tcPr>
            <w:tcW w:w="20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caps w:val="false"/>
                <w:smallCaps w:val="false"/>
              </w:rPr>
            </w:pPr>
            <w:r>
              <w:rPr>
                <w:caps w:val="false"/>
                <w:smallCaps w:val="false"/>
              </w:rPr>
              <w:t> </w:t>
            </w:r>
          </w:p>
        </w:tc>
        <w:tc>
          <w:tcPr>
            <w:tcW w:w="20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pPr>
      <w:r>
        <w:rPr/>
        <w:t> </w:t>
      </w:r>
    </w:p>
    <w:tbl>
      <w:tblPr>
        <w:tblW w:w="969" w:type="dxa"/>
        <w:jc w:val="left"/>
        <w:tblInd w:w="0" w:type="dxa"/>
        <w:tblLayout w:type="fixed"/>
        <w:tblCellMar>
          <w:top w:w="0" w:type="dxa"/>
          <w:left w:w="0" w:type="dxa"/>
          <w:bottom w:w="0" w:type="dxa"/>
          <w:right w:w="0" w:type="dxa"/>
        </w:tblCellMar>
      </w:tblPr>
      <w:tblGrid>
        <w:gridCol w:w="80"/>
        <w:gridCol w:w="323"/>
        <w:gridCol w:w="566"/>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3" w:type="dxa"/>
            <w:tcBorders/>
            <w:vAlign w:val="center"/>
          </w:tcPr>
          <w:p>
            <w:pPr>
              <w:pStyle w:val="TableContents"/>
              <w:bidi w:val="0"/>
              <w:spacing w:before="0" w:after="283"/>
              <w:jc w:val="left"/>
              <w:rPr>
                <w:caps w:val="false"/>
                <w:smallCaps w:val="false"/>
              </w:rPr>
            </w:pPr>
            <w:r>
              <w:rPr>
                <w:caps w:val="false"/>
                <w:smallCaps w:val="false"/>
              </w:rPr>
              <w:t> </w:t>
            </w:r>
          </w:p>
        </w:tc>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3" w:type="dxa"/>
            <w:tcBorders/>
            <w:vAlign w:val="center"/>
          </w:tcPr>
          <w:p>
            <w:pPr>
              <w:pStyle w:val="TableContents"/>
              <w:bidi w:val="0"/>
              <w:spacing w:before="0" w:after="283"/>
              <w:jc w:val="left"/>
              <w:rPr>
                <w:caps w:val="false"/>
                <w:smallCaps w:val="false"/>
              </w:rPr>
            </w:pPr>
            <w:r>
              <w:rPr>
                <w:caps w:val="false"/>
                <w:smallCaps w:val="false"/>
              </w:rPr>
              <w:t> </w:t>
            </w:r>
          </w:p>
        </w:tc>
        <w:tc>
          <w:tcPr>
            <w:tcW w:w="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pPr>
      <w:r>
        <w:rPr/>
        <w:t> </w:t>
      </w:r>
    </w:p>
    <w:p>
      <w:pPr>
        <w:pStyle w:val="TextBody"/>
        <w:bidi w:val="0"/>
        <w:spacing w:before="0" w:after="0"/>
        <w:jc w:val="center"/>
        <w:rPr>
          <w:sz w:val="20"/>
          <w:bdr w:val="single" w:sz="8" w:space="1" w:color="000000"/>
        </w:rPr>
      </w:pPr>
      <w:r>
        <w:rPr>
          <w:sz w:val="20"/>
          <w:bdr w:val="single" w:sz="8" w:space="1" w:color="000000"/>
        </w:rPr>
        <w:t>30</w:t>
      </w:r>
    </w:p>
    <w:p>
      <w:pPr>
        <w:pStyle w:val="TextBody"/>
        <w:bidi w:val="0"/>
        <w:spacing w:before="0" w:after="283"/>
        <w:jc w:val="left"/>
        <w:rPr/>
      </w:pPr>
      <w:r>
        <w:rPr/>
        <w:t> </w:t>
      </w:r>
    </w:p>
    <w:p>
      <w:pPr>
        <w:pStyle w:val="TextBody"/>
        <w:bidi w:val="0"/>
        <w:jc w:val="left"/>
        <w:rPr/>
      </w:pPr>
      <w:bookmarkStart w:id="30" w:name="tm269884d1_ex5-1.htm"/>
      <w:bookmarkStart w:id="31" w:name="kstm269884d1_ex51"/>
      <w:bookmarkEnd w:id="30"/>
      <w:bookmarkEnd w:id="31"/>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jc w:val="center"/>
        <w:rPr/>
      </w:pPr>
      <w:r>
        <w:rPr/>
        <w:drawing>
          <wp:inline distT="0" distB="0" distL="0" distR="0">
            <wp:extent cx="6667500" cy="1266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1"/>
                    <a:stretch>
                      <a:fillRect/>
                    </a:stretch>
                  </pic:blipFill>
                  <pic:spPr bwMode="auto">
                    <a:xfrm>
                      <a:off x="0" y="0"/>
                      <a:ext cx="6667500" cy="12668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British Columbia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V6E 2J3,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TMC the metals company Inc. –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British Columbia counsel to TMC the metals company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and filing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of a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under the </w:t>
      </w:r>
      <w:r>
        <w:rPr>
          <w:rFonts w:ascii="Times New Roman;Times;Serif" w:hAnsi="Times New Roman;Times;Serif"/>
          <w:b w:val="false"/>
          <w:i/>
          <w:caps w:val="false"/>
          <w:smallCaps w:val="false"/>
          <w:sz w:val="20"/>
        </w:rPr>
        <w:t>Securities Act of 1933</w:t>
      </w:r>
      <w:r>
        <w:rPr>
          <w:rFonts w:ascii="Times New Roman;Times;Serif" w:hAnsi="Times New Roman;Times;Serif"/>
          <w:b w:val="false"/>
          <w:i w:val="false"/>
          <w:caps w:val="false"/>
          <w:smallCaps w:val="false"/>
          <w:sz w:val="20"/>
        </w:rPr>
        <w:t>,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the potential issuance and sale by the Company of securities of the Company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pursuant to one or more prospectus supplements (each, a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to the Registration Statement to be filed by the Company from time to time. All capitalized terms used herein and not otherwise defined shall have the respective meanings given to them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examined and relied upon (a) the Registration Statement, (b) a certificate of an officer of the Company dated the date hereof, certifying certain factual matters including, among other things: the constating documents of the Company, (c) a certificate of good standing dated March 31, 2026 issued pursuant to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(British Columbia) (the “</w:t>
      </w:r>
      <w:r>
        <w:rPr>
          <w:rFonts w:ascii="Times New Roman;Times;Serif" w:hAnsi="Times New Roman;Times;Serif"/>
          <w:b/>
          <w:i w:val="false"/>
          <w:caps w:val="false"/>
          <w:smallCaps w:val="false"/>
          <w:sz w:val="20"/>
        </w:rPr>
        <w:t>BCBCA</w:t>
      </w:r>
      <w:r>
        <w:rPr>
          <w:rFonts w:ascii="Times New Roman;Times;Serif" w:hAnsi="Times New Roman;Times;Serif"/>
          <w:b w:val="false"/>
          <w:i w:val="false"/>
          <w:caps w:val="false"/>
          <w:smallCaps w:val="false"/>
          <w:sz w:val="20"/>
        </w:rPr>
        <w:t>”) with respect of the Company; and (d) originals or copies certified to our satisfaction of such records, documents, certificates, memoranda and other instruments as in our judgment are necessary or appropriate to enable us to render the opinion expressed below. We have assumed the authenticity of all documents submitted to us as originals, the genuineness of all signatures and the conformity to authentic originals of all documents submitted to us as copies and that all facts set forth in official public records and certificates and other documents supplied by public officials or otherwise conveyed to us by public officials are complete, true and accurate as of, and at all material times prior to, the date of this opinion letter. We have also assumed the legal capacity for all purposes relevant hereto of all natural persons. In making our examination of executed documents or documents to be executed, we have assumed that the parties thereto, including the Company, have legal capacity and had or will have the power, corporate or other, to enter into and perform all obligations thereunder and have also assumed the due authorization by all requisite action, corporate or other, and execution and delivery by such parties of such documents and, the validity, binding effect and enforceability on all such parties. In our capacity as counsel to the Company in connection with the registration of the Registration Statement, we are familiar with the proceedings taken and proposed to be taken by the Company in connection with the authorization and issuance of the Securities. For purposes of this opinion, we have assumed that such proceedings will be timely and properly completed, in accordance with all requirements of the Applicable Law (as defined below), in the manner presently proposed. As to questions of fact material to our opinions, we have relied upon certificates of officers of the Company and of public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the Company which may be offered under the Registration Statement include common shares without par value and with special rights or restrictions attached (the “</w:t>
      </w:r>
      <w:r>
        <w:rPr>
          <w:rFonts w:ascii="Times New Roman;Times;Serif" w:hAnsi="Times New Roman;Times;Serif"/>
          <w:b/>
          <w:i w:val="false"/>
          <w:caps w:val="false"/>
          <w:smallCaps w:val="false"/>
          <w:sz w:val="20"/>
        </w:rPr>
        <w:t>Offered Common Shares</w:t>
      </w:r>
      <w:r>
        <w:rPr>
          <w:rFonts w:ascii="Times New Roman;Times;Serif" w:hAnsi="Times New Roman;Times;Serif"/>
          <w:b w:val="false"/>
          <w:i w:val="false"/>
          <w:caps w:val="false"/>
          <w:smallCaps w:val="false"/>
          <w:sz w:val="20"/>
        </w:rPr>
        <w:t>”) and preferred shares without par value and with special rights or restrictions attached (the “</w:t>
      </w:r>
      <w:r>
        <w:rPr>
          <w:rFonts w:ascii="Times New Roman;Times;Serif" w:hAnsi="Times New Roman;Times;Serif"/>
          <w:b/>
          <w:i w:val="false"/>
          <w:caps w:val="false"/>
          <w:smallCaps w:val="false"/>
          <w:sz w:val="20"/>
        </w:rPr>
        <w:t>Offered Preferred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81075" cy="295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2"/>
                    <a:stretch>
                      <a:fillRect/>
                    </a:stretch>
                  </pic:blipFill>
                  <pic:spPr bwMode="auto">
                    <a:xfrm>
                      <a:off x="0" y="0"/>
                      <a:ext cx="981075" cy="29527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herein is limited to the laws of the Province of British Columbia and the federal laws of Canada applicable therein now in effect (the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We express no opinion as to whether the laws of any particular jurisdiction other than those identified above are applicable to the subject matter hereof. We assume no obligation to revise or supplement this opinion should any applicable laws be changed subsequent to the date hereof by legislative action, judicial decision or otherwise or if there is a change in any fact or facts after the date hereof. Where our opinion refers to any of the Securities as being “fully paid and non-assessable”, no opinion is expressed as to actual receipt by the Company of the consideration for the issuance of such shares or as to the adequacy of any consideration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our opinions set forth herein, we have also assumed that, at the time of any offer and sale of Securities, (i) the Company has been duly organized and is validly existing and in good standing, and has the requisite legal status and legal capacity, under the laws of the Province of British Columbia; (ii) the Company has complied and will comply with the laws of all relevant jurisdictions in connection with the transactions contemplated by, and the performance of its obligations under, the Registration Statement; (iii) the Registration Statement and any amendments thereto (including any post-effective amendments thereto) has become, and any Prospectus Supplement and any amendments thereto (including any post-effective amendments thereto) will become, effective under the Securities Act; (iv) that an appropriate Prospectus Supplement or term sheet with respect to the Securities offered thereby will have been prepared, delivered and filed in compliance with the Securities Act and the applicable rules and regulations thereunder; (v) that a definitive purchase, underwriting or similar agreement (a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with respect to any offered Securities will have been duly authorized and validly executed and delivered by the Company and the other parties thereto and will be filed with the Commission on a Current Report on Form 8-K or other applicable periodic report in the manner contemplated in the Registration Statement or applicable Prospectus Supplement; (vi) that the Securities will be issued and sold in compliance with applicable U.S. and Canadian federal, state, and provincial securities laws, as applicable, and in the manner stated in the Registration Statement and the applicable Prospectus Supplement; (vii) that any Securities issuable upon conversion, exchange, redemption or exercise of any Securities being offered, or any Securities being offered that are convertible, exchangeable, redeemable or exercisable for any Securities, will be duly authorized, created and, if appropriate, reserved for issuance upon such conversion, exchange, redemption or exercise; (viii) with respect to our opinion as to the Offered Common Shares, we have assumed that, at the time of issuance and sale, a sufficient number of shares of common shares in the capital of the Company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are authorized and available for issuance under the maximum number of Common Shares the Company is authorized to issue and that the consideration for the issuance and sale of the Offered Common Shares is in an amount that is not less than the par value of the Common Shares, if any; and (ix) with respect to our opinion as to the Offered Preferred Shares, we have assumed that, at the time of issuance and sale, a sufficient number of shares of preferred shares in the capital of the Company (the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are authorized and available for issuance under the maximum number of Preferred Shares the Company is authorized to issue and that the consideration for the issuance and sale of the Offered Preferred Shares is in an amount that is not less than the par value of the Preferred Shares, if any. As to any facts material to our opinion, we have made no independent investigation of such facts and have relied, to the extent that we deem such reliance proper, upon certificates of public officials and officers or other representatives of the Company. We assume, based on advice previously received from the Company, that the applicable agreements relating to any of the Securities will be governed by the laws of a jurisdiction outside of Canada.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and subject to the foregoing assumptions and qualifications we are of the opinion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the issuance of any Offered Common Shares which may be offered pursuant to the Registration Statement, when (a) the issuance of the Offered Common Shares as fully-paid and non-assessable Common Shares, and the sale of Offered Common Shares, and, if certificated, the certificates representing the Offered Common Shares have been duly authorized and approved by all necessary corporate action in conformity with the constating documents (as then in effect), and the BCBCA (as then in effect), and does not violate any Applicable Law or result in a default under or breach of any agreement or instrument binding upon the Company and comply with any requirement or restriction imposed by any court or governmental body of Canada or British Columbia having jurisdiction over the Company; (b) the full consideration, determined to be adequate by the Company’s board of directors, which is at least equal to the issue price of the such Offered Common Shares, has been received by the Company; (c) the terms of the issuance and sale of the Offered Common Shares have been duly established and are then in conformity with the Company’s the constating documents (as then in effect) and the BCBCA (as then in effect), so as not to violate any Applicable Law or such constating documents, or result in a default under or breach of any agreement or instrument binding upon the Company, and so as to comply with any requirement or restriction imposed by any court or governmental body having jurisdiction over the Company; and (d) if certificated, the certificates representing the Offered Common Shares have been duly executed and delivered by the proper officers of the Company to the purchasers thereof against payment of the agreed-upon consideration therefor in the manner contemplated in the Registration Statement or any Prospectus Supplement relating thereto, or, if not certificated, valid book-entry notations therefor having been made in the share register of the Company, in accordance with the terms of the applicable Sales Agreement or, if issuable upon exchange or conversion of any other Security, in accordance with the terms of such Security or the instrument governing such Security providing for such conversion or exercise as approved by the board of director of the Company (provided that such consideration is not less than the par value of the Common Shares), the Offered Common Shares will be validly issued,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81075" cy="29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3"/>
                    <a:stretch>
                      <a:fillRect/>
                    </a:stretch>
                  </pic:blipFill>
                  <pic:spPr bwMode="auto">
                    <a:xfrm>
                      <a:off x="0" y="0"/>
                      <a:ext cx="981075" cy="295275"/>
                    </a:xfrm>
                    <a:prstGeom prst="rect">
                      <a:avLst/>
                    </a:prstGeom>
                  </pic:spPr>
                </pic:pic>
              </a:graphicData>
            </a:graphic>
          </wp:inline>
        </w:drawing>
      </w: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the issuance of any Offered Preferred Shares which may be offered pursuant to the Registration Statement, when (a) the alteration of the authorized share structure of the Company to create the Preferred Shares, including attaching any special rights and restrictions, and the issuance of the Offered Preferred Shares as fully-paid and non-assessable Preferred Shares, and the sale of Offered Preferred Shares, and, if certificated, the certificates representing the Offered Preferred Shares have been duly authorized and approved by all necessary corporate action in conformity with the constating documents (as then in effect), and the BCBCA (as then in effect), and does not violate any Applicable Law or result in a default under or breach of any agreement or instrument binding upon the Company and comply with any requirement or restriction imposed by any court or governmental body of Canada or British Columbia having jurisdiction over the Company; (b) the full consideration, determined to be adequate by the Company’s board of directors, which is at least equal to the issue price of the such Offered Preferred Shares, has been received by the Company; (c) the terms of the issuance and sale of the Offered Preferred Shares have been duly established and are then in conformity with the Company’s the constating documents (as then in effect) and the BCBCA (as then in effect), so as not to violate any Applicable Law or such constating documents, or result in a default under or breach of any agreement or instrument binding upon the Company, and so as to comply with any requirement or restriction imposed by any court or governmental body having jurisdiction over the Company; (d) an appropriate notice of alteration relating to a class or series of the Preferred Shares to be sold under the Registration Statement has been duly authorized and adopted and filed with the registrar under the BCBCA and the registrar has furnished to the Company a copy of the notice of articles as altered prior to the issuance of the Offered Preferred Shares and the Preferred Shares, including the attachment of an special rights and restrictions, have been duly and validly been authorized, created and approved pursuant to the constating documents (as then in effect), and the BCBCA (as then in effect), and the creation of such Preferred Shares does not violate any Applicable Law or result in a default under or breach of any agreement or instrument binding upon the Company and complies with any requirement or restriction imposed by any court or governmental body of Canada or British Columbia having jurisdiction over the Company; and (e) if certificated, the certificates representing the Offered Preferred Shares have been duly executed and delivered by the proper officers of the Company to the purchasers thereof against payment of the agreed-upon consideration therefor in the manner contemplated in the Registration Statement or any Prospectus Supplement relating thereto, or, if not certificated, valid book-entry notations therefor having been made in the share register of the Company, in accordance with the terms of the applicable Sales Agreement or, if issuable upon exchange or conversion of any other Security, in accordance with the terms of such Security or the instrument governing such Security providing for such conversion or exercise as approved by the board of director of the Company (provided that such consideration is not less than the par value of the Preferred Shares), the Offered Preferred Shares will be validly issued,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our name in, and the filing of this opinion as an exhibit to, the Registration Statement. In giving this consent, we do not thereby admit that we are in the category of persons whose consent is required under the Securities Act or the rules and regulations promulgated thereunder. This opinion is expressed as of the date hereof unless otherwise expressly stated, and we disclaim any undertaking to advise you of any subsequent changes of the facts stated or assumed herein or any subsequent changes in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truly,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Fasken Martineau DuMoulin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2" w:name="tm269884d1_ex5-2.htm"/>
      <w:bookmarkStart w:id="33" w:name="kstm269884d1_ex52"/>
      <w:bookmarkEnd w:id="32"/>
      <w:bookmarkEnd w:id="33"/>
      <w:r>
        <w:rPr/>
        <w:t> </w:t>
      </w:r>
      <w:r>
        <w:br w:type="page"/>
      </w:r>
    </w:p>
    <w:p>
      <w:pPr>
        <w:pStyle w:val="TextBody"/>
        <w:bidi w:val="0"/>
        <w:jc w:val="right"/>
        <w:rPr>
          <w:b/>
        </w:rPr>
      </w:pPr>
      <w:r>
        <w:rPr>
          <w:b/>
        </w:rPr>
        <w:t>Exhibit 5.2</w:t>
      </w:r>
    </w:p>
    <w:p>
      <w:pPr>
        <w:pStyle w:val="TextBody"/>
        <w:bidi w:val="0"/>
        <w:spacing w:before="0" w:after="0"/>
        <w:ind w:left="0" w:right="0" w:hanging="0"/>
        <w:jc w:val="left"/>
        <w:rPr>
          <w:caps w:val="false"/>
          <w:smallCaps w:val="false"/>
        </w:rPr>
      </w:pPr>
      <w:r>
        <w:rPr>
          <w:caps w:val="false"/>
          <w:smallCaps w:val="false"/>
        </w:rPr>
        <w:t> </w:t>
      </w:r>
    </w:p>
    <w:tbl>
      <w:tblPr>
        <w:tblW w:w="3095" w:type="dxa"/>
        <w:jc w:val="left"/>
        <w:tblInd w:w="0" w:type="dxa"/>
        <w:tblLayout w:type="fixed"/>
        <w:tblCellMar>
          <w:top w:w="0" w:type="dxa"/>
          <w:left w:w="0" w:type="dxa"/>
          <w:bottom w:w="0" w:type="dxa"/>
          <w:right w:w="0" w:type="dxa"/>
        </w:tblCellMar>
      </w:tblPr>
      <w:tblGrid>
        <w:gridCol w:w="75"/>
        <w:gridCol w:w="1260"/>
        <w:gridCol w:w="176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center"/>
              <w:rPr/>
            </w:pPr>
            <w:r>
              <w:rPr/>
              <w:drawing>
                <wp:inline distT="0" distB="0" distL="0" distR="0">
                  <wp:extent cx="800100" cy="1019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64"/>
                          <a:stretch>
                            <a:fillRect/>
                          </a:stretch>
                        </pic:blipFill>
                        <pic:spPr bwMode="auto">
                          <a:xfrm>
                            <a:off x="0" y="0"/>
                            <a:ext cx="800100" cy="1019175"/>
                          </a:xfrm>
                          <a:prstGeom prst="rect">
                            <a:avLst/>
                          </a:prstGeom>
                        </pic:spPr>
                      </pic:pic>
                    </a:graphicData>
                  </a:graphic>
                </wp:inline>
              </w:drawing>
            </w:r>
          </w:p>
        </w:tc>
        <w:tc>
          <w:tcPr>
            <w:tcW w:w="17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617 542 6000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British Columbia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V6E 2J3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legal counsel to TMC the metals company Inc., a corporation existing under the laws of British Columbia, Canada (the “Company”), in connection with the preparation and filing with the Securities and Exchange Commission (the “Commission”) of a Registration Statement on Form S-3 (the “Registration Statement”), pursuant to which the Company is registering under the Securities Act of 1933, as amended (the “Securities Act”), the following:</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200"/>
        <w:gridCol w:w="44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common shares, no par value (the “Common Shares”); </w:t>
            </w:r>
          </w:p>
        </w:tc>
      </w:tr>
    </w:tbl>
    <w:tbl>
      <w:tblPr>
        <w:tblW w:w="4765" w:type="dxa"/>
        <w:jc w:val="left"/>
        <w:tblInd w:w="0" w:type="dxa"/>
        <w:tblLayout w:type="fixed"/>
        <w:tblCellMar>
          <w:top w:w="0" w:type="dxa"/>
          <w:left w:w="0" w:type="dxa"/>
          <w:bottom w:w="0" w:type="dxa"/>
          <w:right w:w="0" w:type="dxa"/>
        </w:tblCellMar>
      </w:tblPr>
      <w:tblGrid>
        <w:gridCol w:w="75"/>
        <w:gridCol w:w="260"/>
        <w:gridCol w:w="443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preferred shares, no par value (the “Preferred Shares”); </w:t>
            </w:r>
          </w:p>
        </w:tc>
      </w:tr>
    </w:tbl>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senior debt securities, in one or more series (the “Senior Debt Securities”), which may be issued pursuant to an indenture to be dated on or about the date of the first issuance of Senior Debt Securities thereunder, by and between the Company and a trustee to be selected by the Company, in the form attached as Exhibit 4.5 to the Registration Statement, as such indenture may be amended or supplemented from time to time (the “Senior Indenture”); </w:t>
            </w:r>
          </w:p>
        </w:tc>
      </w:tr>
    </w:tbl>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subordinated debt securities, in one or more series (the “Subordinated Debt Securities” and, together with the Senior Debt Securities, the “Debt Securities”), which may be issued pursuant to an indenture to be dated on or about the date of the first issuance of Subordinated Debt Securities thereunder, by and between the Company and a trustee to be selected by the Company, in the form attached as Exhibit 4.6 to the Registration Statement, as such indenture may be amended or supplemented from time to time (the “Subordinated Indenture”); </w:t>
            </w:r>
          </w:p>
        </w:tc>
      </w:tr>
    </w:tbl>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to purchase Common Shares, Preferred Shares, and/or Debt Securities (the “Warrants”), which may be issued under warrant agreements, to be dated on or about the date of the first issuance of the applicable Warrants thereunder, by and between the Company and a warrant agent to be selected by the Company (each, a “Warrant Agreement”); and</w:t>
            </w:r>
          </w:p>
        </w:tc>
      </w:tr>
    </w:tbl>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9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units comprised of one or more Common Shares, Preferred Shares, Debt Securities and Warrants, in any combination (the “Units”), which may be issued under unit agreements, to be dated on or about the date of the first issuance of the applicable Units thereunder, by and between the Company and a unit agent to be selected by the Company (each, a “Unit Agreement”).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the Preferred Shares, the Debt Securities, the Warrants and the Units are collectively referred to herein as the “Securities.” The Registration Statement relates to the registration of the Securities to be offered and sold by the Company or, if applicable, the selling securityholders from time to time on a delayed or continuous basis pursuant to Rule 415 under the Securities Act. This opinion is being rendered in connection with the filing of the Registration Statement with the Commission. All capitalized terms used herein and not otherwise defined shall have the respective meanings given to them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the Company’s certificate of continuation, certificate of amalgamation, the notice of articles and articles, each as currently in effect; such other records of the corporate proceedings of the Company and certificates of the Company’s officers as we have deemed relevant; and the Registration Statement and the exhibits thereto.</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Boston    Los Angeles    MIAMI     New York    San Diego    San Francisco    toronto    Washington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MINTZ, LEVIN, COHN, FERRIS, GLOVSKY AND POPEO,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1325"/>
        <w:gridCol w:w="1080"/>
      </w:tblGrid>
      <w:tr>
        <w:trPr/>
        <w:tc>
          <w:tcPr>
            <w:tcW w:w="1325" w:type="dxa"/>
            <w:tcBorders/>
            <w:vAlign w:val="center"/>
          </w:tcPr>
          <w:p>
            <w:pPr>
              <w:pStyle w:val="TableContents"/>
              <w:bidi w:val="0"/>
              <w:jc w:val="left"/>
              <w:rPr/>
            </w:pPr>
            <w:r>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MINTZ</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c>
          <w:tcPr>
            <w:tcW w:w="1080" w:type="dxa"/>
            <w:tcBorders/>
            <w:vAlign w:val="center"/>
          </w:tcPr>
          <w:p>
            <w:pPr>
              <w:pStyle w:val="TableContents"/>
              <w:bidi w:val="0"/>
              <w:spacing w:before="0" w:after="283"/>
              <w:jc w:val="right"/>
              <w:rPr/>
            </w:pPr>
            <w:r>
              <w:rPr/>
              <w:drawing>
                <wp:inline distT="0" distB="0" distL="0" distR="0">
                  <wp:extent cx="676275" cy="714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65"/>
                          <a:stretch>
                            <a:fillRect/>
                          </a:stretch>
                        </pic:blipFill>
                        <pic:spPr bwMode="auto">
                          <a:xfrm>
                            <a:off x="0" y="0"/>
                            <a:ext cx="676275" cy="7143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the truth and correctness of any representations and warranties contained therein, and that the Warrant Agreements and the Unit Agreements shall be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counsel to the Company in connection with such registration, we are familiar with the proceedings taken and proposed to be taken by the Company in connection with the authorization and issuance of the Securities. For purposes of this opinion, we have assumed that such proceedings will be timely and properly completed, in accordance with all requirements of applicable federal laws, in the manner presently proposed.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below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whether enforcement is considered in a proceeding in equity or at law,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(iv) we express no opinion concerning the enforceability of any waiver of rights or defenses with respect to stay, extension or usury laws; and (v) we express no opinion with respect to whether acceleration of any Debt Securities may affect the ability to collect any portion of the stated principal amount thereof which might be determined to constitute unearned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as to certain matters on information obtained from public officials, officers of the Company, and other sources believed by us to be responsible and we have assumed that the Senior Indenture and the Subordinated Indenture will be duly authorized, executed, and delivered by the Company and the respective trustees thereunder and the Warrant Agreement and Unit Agreement will be duly authorized, executed, and delivered by the Company and the warrant agent and unit agent, respectively, thereunder. With respect to our opinion as to the Securities convertible into or exercisable for Common Shares, we have assumed that, at the time of issuance and sale, a sufficient number of Common Shares are authorized and available for issuance under the Company’s notice of articles and articles as then in effect and that the consideration for the issuance and sale of the Debt Securities convertible into Common Shares or Warrants or any Units of such Securities is in an amount that is not less than an amount required by applicable law. With respect to our opinion as to the Securities convertible into or exercisable for Preferred Shares, we have assumed that, at the time of issuance and sale, a sufficient number of Preferred Shares are authorized, designated and available for issuance and that the consideration for the issuance and sale of the Debt Securities convertible into Preferred Shares or Warrants or any Units of such Securities is in an amount that is not less than an amount required by applicable law. We have also assumed that any Warrants and Units offered under the Registration Statement, and the related Warrant Agreement and Unit Agreement, as applicable, will be executed in the forms to be filed as exhibits to the Registration Statement or incorporated by reference therein. We have not independently verified any of the foregoing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this opinion is to be used only in connection with the offer and sale of Debt Securities, the Warrants and the Units while the Registration Statement is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Federal laws of the United States of America and the laws of the State of New York. Without limiting the generality of the foregoing, we express no opinion with respect to (i) the qualification of the Securities under the securities or blue sky laws of any state or any foreign jurisdiction or (ii) the compliance with any federal or state law, rule or regulation relating to securities, or to the sale or issuance thereof. With respect to all matters of the laws of the Province of British Columbia and the federal laws of Canada applicable therein, we understand that you are relying upon the opinion, dated the date hereof, of Canadian counsel to the Company, and our opinion is subject to the same assumptions, qualifications and limitations with respect to such matters as are contained in such opinion of Canadian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1325"/>
        <w:gridCol w:w="1080"/>
      </w:tblGrid>
      <w:tr>
        <w:trPr/>
        <w:tc>
          <w:tcPr>
            <w:tcW w:w="1325" w:type="dxa"/>
            <w:tcBorders/>
            <w:vAlign w:val="center"/>
          </w:tcPr>
          <w:p>
            <w:pPr>
              <w:pStyle w:val="TableContents"/>
              <w:bidi w:val="0"/>
              <w:jc w:val="left"/>
              <w:rPr/>
            </w:pPr>
            <w:r>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MINTZ</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tc>
        <w:tc>
          <w:tcPr>
            <w:tcW w:w="1080" w:type="dxa"/>
            <w:tcBorders/>
            <w:vAlign w:val="center"/>
          </w:tcPr>
          <w:p>
            <w:pPr>
              <w:pStyle w:val="TableContents"/>
              <w:bidi w:val="0"/>
              <w:spacing w:before="0" w:after="283"/>
              <w:jc w:val="right"/>
              <w:rPr/>
            </w:pPr>
            <w:r>
              <w:rPr/>
              <w:drawing>
                <wp:inline distT="0" distB="0" distL="0" distR="0">
                  <wp:extent cx="676275" cy="714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66"/>
                          <a:stretch>
                            <a:fillRect/>
                          </a:stretch>
                        </pic:blipFill>
                        <pic:spPr bwMode="auto">
                          <a:xfrm>
                            <a:off x="0" y="0"/>
                            <a:ext cx="676275" cy="7143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we are opining only as to the matters expressly set forth herein, and no opinion should be inferred as to any other matters. The Securities may be issued from time to time on a delayed or continuous basis, but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in reliance thereon, and subject to the qualifications herein stated,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the Debt Securities, when (i) specifically authorized for issuance by the Company’s Board of Directors or an authorized Committee thereof and, if applicable, the requisite securityholders of the Company (the “Authorizing Resolutions”), (ii) the Registration Statement, as finally amended (including all post-effective amendments), has become effective under the Securities Act, (iii) the Senior Indenture or the Subordinated Indenture, whichever the case may be, has been duly authorized, executed and delivered by the Company, (iv) an appropriate prospectus supplement with respect to the applicable Debt Securities has been prepared, delivered and filed in compliance with the Securities Act and the applicable rules and regulations thereunder, (v) if the applicable Debt Securities are to be sold pursuant to an Underwriting Agreement, such Underwriting Agreement with respect to the applicable Debt Securities in the form filed as an exhibit to the Registration Statement, any post-effective amendment thereto or to a Current Report on Form 8-K, has been duly authorized, executed and delivered by the Company and the other parties thereto, (vi) the terms of the Debt Securities and of their issuance and sale have been duly established in conformity with the Senior Indenture or the Subordinated Indenture, whichever the case may be, and do not violate any applicable law or result in a default under or breach of any agreement or instrument binding upon the Company and comply with any requirement or restriction imposed by any court or governmental body having jurisdiction over the Company, (vii) such Debt Securities have been duly executed and authenticated in accordance with the Senior Indenture or the Subordinated Indenture, whichever the case may be, and issued and sold as contemplated in the Registration Statement and the prospectus included therein, (viii) the Senior Indenture or the Subordinated Indenture, whichever the case may be, relating to the Debt Securities has been qualified under the Trust Indenture Act of 1939, as amended, and (ix) the Company has received the consideration provided for in the Authorizing Resolutions and, if applicable, the Underwriting Agreement, the Debt Securities will constitute valid and legally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the Warrants, when (i) specifically authorized for issuance by the Authorizing Resolutions, (ii) the Registration Statement, as finally amended (including all post-effective amendments), has become effective under the Securities Act, (iii) the Warrant Agreement relating to the Warrants has been duly authorized, executed, and delivered by the Company, (iv) an appropriate prospectus supplement with respect to the applicable Warrants has been prepared, delivered and filed in compliance with the Securities Act and the applicable rules and regulations thereunder, (v) if the applicable Warrants are to be sold pursuant to an Underwriting Agreement, such Underwriting Agreement with respect to the applicable Warrants in the form filed as an exhibit to the Registration Statement, any post-effective amendment thereto or to a Current Report on Form 8-K, has been duly authorized, executed and delivered by the Company and the other parties thereto, (vi) the terms of the Warrants and of their issuance and sale have been duly established in conformity with the Warrant Agreement and do not violate any applicable law or result in a default under or breach of any agreement or instrument binding upon the Company and comply with any requirement or restriction imposed by any court or governmental body having jurisdiction over the Company, (vii) the Warrants have been duly executed and countersigned in accordance with the Warrant Agreement and issued and sold as contemplated by the Registration Statement and the prospectus included therein and (viii) the Company has received the consideration provided for in the Authorizing Resolutions and, if applicable, the Underwriting Agreement, the Warrants will constitute valid and legally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1325"/>
        <w:gridCol w:w="1080"/>
      </w:tblGrid>
      <w:tr>
        <w:trPr/>
        <w:tc>
          <w:tcPr>
            <w:tcW w:w="1325" w:type="dxa"/>
            <w:tcBorders/>
            <w:vAlign w:val="center"/>
          </w:tcPr>
          <w:p>
            <w:pPr>
              <w:pStyle w:val="TableContents"/>
              <w:bidi w:val="0"/>
              <w:jc w:val="left"/>
              <w:rPr/>
            </w:pPr>
            <w:r>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MINTZ</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tc>
        <w:tc>
          <w:tcPr>
            <w:tcW w:w="1080" w:type="dxa"/>
            <w:tcBorders/>
            <w:vAlign w:val="center"/>
          </w:tcPr>
          <w:p>
            <w:pPr>
              <w:pStyle w:val="TableContents"/>
              <w:bidi w:val="0"/>
              <w:spacing w:before="0" w:after="283"/>
              <w:jc w:val="right"/>
              <w:rPr/>
            </w:pPr>
            <w:r>
              <w:rPr/>
              <w:drawing>
                <wp:inline distT="0" distB="0" distL="0" distR="0">
                  <wp:extent cx="676275" cy="714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67"/>
                          <a:stretch>
                            <a:fillRect/>
                          </a:stretch>
                        </pic:blipFill>
                        <pic:spPr bwMode="auto">
                          <a:xfrm>
                            <a:off x="0" y="0"/>
                            <a:ext cx="676275" cy="7143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the Units, when (i) specifically authorized for issuance by the Authorizing Resolutions, (ii) the Registration Statement, as finally amended (including all post-effective amendments), has become effective under the Securities Act, (iii) the Unit Agreement relating to the Units has been duly authorized, executed, and delivered by the Company, (iv) an appropriate prospectus supplement with respect to the applicable Units has been prepared, delivered and filed in compliance with the Securities Act and the applicable rules and regulations thereunder, (v) if the applicable Units are to be sold pursuant to an Underwriting Agreement, such Underwriting Agreement with respect to the applicable Units in the form filed as an exhibit to the Registration Statement, any post-effective amendment thereto or to a Current Report on Form 8-K, has been duly authorized, executed and delivered by the Company and the other parties thereto, (vi) the terms of the Units and of their issuance and sale have been duly established in conformity with the Unit Agreement and do not violate any applicable law or result in a default under or breach of any agreement or instrument binding upon the Company and comply with any requirement or restriction imposed by any court or governmental body having jurisdiction over the Company, (vii) the Units have been duly executed and countersigned in accordance with the Unit Agreement and issued and sold as contemplated by the Registration Statement and the prospectus included therein and (viii) the Company has received the consideration provided for in the Authorizing Resolutions and, if applicable, the Underwriting Agreement, the Units will constitute valid and legally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which forms part of the Registration Statement, and we hereby consent thereto. In giving this consent, we do not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75"/>
        <w:gridCol w:w="4520"/>
      </w:tblGrid>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Mintz, Levin, Cohn, Ferris, Glovsky and Popeo, P.C.</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Mintz, Levin, Cohn, Ferris, Glovsky and Popeo,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4" w:name="tm269884d1_ex23-1.htm"/>
      <w:bookmarkStart w:id="35" w:name="kstm269884d1_ex231"/>
      <w:bookmarkEnd w:id="34"/>
      <w:bookmarkEnd w:id="3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the related prospectus of TMC the metals company Inc. for the registration of common shares, preferred shares, debt securities, warrants or units and to the incorporation by reference therein of our report dated March 31, 2026 with respect to the consolidated financial statements of TMC the metals company Inc.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6" w:name="tm269884d1_ex23-4.htm"/>
      <w:bookmarkStart w:id="37" w:name="kstm269884d1_ex234"/>
      <w:bookmarkEnd w:id="36"/>
      <w:bookmarkEnd w:id="37"/>
      <w:r>
        <w:rPr/>
        <w:t> </w:t>
      </w:r>
      <w:r>
        <w:br w:type="page"/>
      </w:r>
    </w:p>
    <w:p>
      <w:pPr>
        <w:pStyle w:val="TextBody"/>
        <w:bidi w:val="0"/>
        <w:jc w:val="right"/>
        <w:rPr>
          <w:b/>
        </w:rPr>
      </w:pPr>
      <w:r>
        <w:rPr>
          <w:b/>
        </w:rPr>
        <w:t>Exhibit 23.4</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 Collins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Melbourne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Victoria, 3000,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(“AMC”),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is responsible for authoring, and this consent pertains to, Sections 1.4, 1.10, 1.13, 2, 4, 5, 7.3.6, 7.4, 7.5.1-7.5.3, 7.5.5, 7.6, 7.7, 7.8.2, 7.10 - 7.12, 8.2-8.3, 9, 11, 12.1,12.2.5,12.2.6, 12.2.8, 12.2.10, 12.3 - 12.5, 12.7, 20, 22.2, 22.4, 22.5, 24, and 25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Felicia&amp;emsp14;&amp;NegativeThickSpace;Mackenzie</w:t>
      </w:r>
    </w:p>
    <w:tbl>
      <w:tblPr>
        <w:tblW w:w="7610" w:type="dxa"/>
        <w:jc w:val="left"/>
        <w:tblInd w:w="0" w:type="dxa"/>
        <w:tblLayout w:type="fixed"/>
        <w:tblCellMar>
          <w:top w:w="28" w:type="dxa"/>
          <w:left w:w="0" w:type="dxa"/>
          <w:bottom w:w="0" w:type="dxa"/>
          <w:right w:w="0" w:type="dxa"/>
        </w:tblCellMar>
      </w:tblPr>
      <w:tblGrid>
        <w:gridCol w:w="7535"/>
        <w:gridCol w:w="75"/>
      </w:tblGrid>
      <w:tr>
        <w:trPr/>
        <w:tc>
          <w:tcPr>
            <w:tcW w:w="7535"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Felicia&amp;emsp14;&amp;NegativeThickSpace;Mackenzie</w:t>
            </w:r>
          </w:p>
        </w:tc>
        <w:tc>
          <w:tcPr>
            <w:tcW w:w="75" w:type="dxa"/>
            <w:tcBorders/>
            <w:tcMar>
              <w:top w:w="0" w:type="dxa"/>
            </w:tcMar>
            <w:vAlign w:val="center"/>
          </w:tcPr>
          <w:p>
            <w:pPr>
              <w:pStyle w:val="TableContents"/>
              <w:bidi w:val="0"/>
              <w:spacing w:before="0" w:after="283"/>
              <w:jc w:val="left"/>
              <w:rPr/>
            </w:pPr>
            <w:r>
              <w:rPr/>
              <w:t> </w:t>
            </w:r>
          </w:p>
        </w:tc>
      </w:tr>
      <w:tr>
        <w:trPr/>
        <w:tc>
          <w:tcPr>
            <w:tcW w:w="7535"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Chief&amp;emsp14;&amp;NegativeThickSpace;Performance&amp;emsp14;&amp;NegativeThickSpace;Officer</w:t>
            </w:r>
          </w:p>
        </w:tc>
        <w:tc>
          <w:tcPr>
            <w:tcW w:w="75" w:type="dxa"/>
            <w:tcBorders/>
            <w:tcMar>
              <w:top w:w="0" w:type="dxa"/>
            </w:tcMar>
            <w:vAlign w:val="center"/>
          </w:tcPr>
          <w:p>
            <w:pPr>
              <w:pStyle w:val="TableContents"/>
              <w:bidi w:val="0"/>
              <w:spacing w:before="0" w:after="283"/>
              <w:jc w:val="left"/>
              <w:rPr/>
            </w:pPr>
            <w:r>
              <w:rPr/>
              <w:t> </w:t>
            </w:r>
          </w:p>
        </w:tc>
      </w:tr>
      <w:tr>
        <w:trPr/>
        <w:tc>
          <w:tcPr>
            <w:tcW w:w="7535"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tcMar>
              <w:top w:w="0" w:type="dxa"/>
            </w:tcMar>
            <w:vAlign w:val="center"/>
          </w:tcPr>
          <w:p>
            <w:pPr>
              <w:pStyle w:val="TableContents"/>
              <w:bidi w:val="0"/>
              <w:spacing w:before="0" w:after="283"/>
              <w:jc w:val="left"/>
              <w:rPr/>
            </w:pPr>
            <w:r>
              <w:rPr/>
              <w:t> </w:t>
            </w:r>
          </w:p>
        </w:tc>
      </w:tr>
      <w:tr>
        <w:trPr/>
        <w:tc>
          <w:tcPr>
            <w:tcW w:w="7535"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 Qualified Third-Party Firm</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8" w:name="tm269884d1_ex23-5.htm"/>
      <w:bookmarkStart w:id="39" w:name="kstm269884d1_ex235"/>
      <w:bookmarkEnd w:id="38"/>
      <w:bookmarkEnd w:id="39"/>
      <w:r>
        <w:rPr/>
        <w:t> </w:t>
      </w:r>
      <w:r>
        <w:br w:type="page"/>
      </w:r>
    </w:p>
    <w:p>
      <w:pPr>
        <w:pStyle w:val="TextBody"/>
        <w:bidi w:val="0"/>
        <w:jc w:val="right"/>
        <w:rPr>
          <w:b/>
        </w:rPr>
      </w:pPr>
      <w:r>
        <w:rPr>
          <w:b/>
        </w:rPr>
        <w:t>Exhibit 23.5</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Kalang Circuit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Coffs Harbour NSW 2450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(“MMGI”),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MMGI is responsible for authoring, and this consent pertains to, Sections 6, 7.1, 7.2.1 – 7.2.7, 7.2.9, 7.2.10, 7.3.1 – 7.3.3, 7.3.5, 7.8.1, 7.9, 7.13, 8.1 and 12.2.4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5795" w:type="dxa"/>
        <w:jc w:val="left"/>
        <w:tblInd w:w="0" w:type="dxa"/>
        <w:tblLayout w:type="fixed"/>
        <w:tblCellMar>
          <w:top w:w="0" w:type="dxa"/>
          <w:left w:w="0" w:type="dxa"/>
          <w:bottom w:w="28" w:type="dxa"/>
          <w:right w:w="0" w:type="dxa"/>
        </w:tblCellMar>
      </w:tblPr>
      <w:tblGrid>
        <w:gridCol w:w="5720"/>
        <w:gridCol w:w="75"/>
      </w:tblGrid>
      <w:tr>
        <w:trPr/>
        <w:tc>
          <w:tcPr>
            <w:tcW w:w="57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Ian Stevenson</w:t>
            </w:r>
          </w:p>
        </w:tc>
        <w:tc>
          <w:tcPr>
            <w:tcW w:w="75" w:type="dxa"/>
            <w:tcBorders/>
            <w:tcMar>
              <w:bottom w:w="0" w:type="dxa"/>
            </w:tcMar>
            <w:vAlign w:val="center"/>
          </w:tcPr>
          <w:p>
            <w:pPr>
              <w:pStyle w:val="TableContents"/>
              <w:bidi w:val="0"/>
              <w:spacing w:before="0" w:after="283"/>
              <w:jc w:val="left"/>
              <w:rPr/>
            </w:pPr>
            <w:r>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Ian Stevenson</w:t>
            </w:r>
          </w:p>
        </w:tc>
        <w:tc>
          <w:tcPr>
            <w:tcW w:w="75" w:type="dxa"/>
            <w:tcBorders/>
            <w:tcMar>
              <w:bottom w:w="0" w:type="dxa"/>
            </w:tcMar>
            <w:vAlign w:val="center"/>
          </w:tcPr>
          <w:p>
            <w:pPr>
              <w:pStyle w:val="TableContents"/>
              <w:bidi w:val="0"/>
              <w:spacing w:before="0" w:after="283"/>
              <w:jc w:val="left"/>
              <w:rPr/>
            </w:pPr>
            <w:r>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Geoscience Consultant</w:t>
            </w:r>
          </w:p>
        </w:tc>
        <w:tc>
          <w:tcPr>
            <w:tcW w:w="75" w:type="dxa"/>
            <w:tcBorders/>
            <w:tcMar>
              <w:bottom w:w="0" w:type="dxa"/>
            </w:tcMar>
            <w:vAlign w:val="center"/>
          </w:tcPr>
          <w:p>
            <w:pPr>
              <w:pStyle w:val="TableContents"/>
              <w:bidi w:val="0"/>
              <w:spacing w:before="0" w:after="283"/>
              <w:jc w:val="left"/>
              <w:rPr/>
            </w:pPr>
            <w:r>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tcMar>
              <w:bottom w:w="0" w:type="dxa"/>
            </w:tcMar>
            <w:vAlign w:val="center"/>
          </w:tcPr>
          <w:p>
            <w:pPr>
              <w:pStyle w:val="TableContents"/>
              <w:bidi w:val="0"/>
              <w:spacing w:before="0" w:after="283"/>
              <w:jc w:val="left"/>
              <w:rPr/>
            </w:pPr>
            <w:r>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a Qualified Third-Party Firm</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0" w:name="tm269884d1_ex23-6.htm"/>
      <w:bookmarkStart w:id="41" w:name="kstm269884d1_ex236"/>
      <w:bookmarkEnd w:id="40"/>
      <w:bookmarkEnd w:id="41"/>
      <w:r>
        <w:rPr/>
        <w:t> </w:t>
      </w:r>
      <w:r>
        <w:br w:type="page"/>
      </w:r>
    </w:p>
    <w:p>
      <w:pPr>
        <w:pStyle w:val="TextBody"/>
        <w:bidi w:val="0"/>
        <w:jc w:val="right"/>
        <w:rPr>
          <w:b/>
        </w:rPr>
      </w:pPr>
      <w:r>
        <w:rPr>
          <w:b/>
        </w:rPr>
        <w:t>Exhibit 23.6</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Macies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Bath, United Kingdom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BA1 4HS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(“APYS”),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is responsible for authoring, and this consent pertains to, Sections 7.2.8, 7.3.4, 7.5.4, and 7.14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28" w:type="dxa"/>
          <w:right w:w="0" w:type="dxa"/>
        </w:tblCellMar>
      </w:tblPr>
      <w:tblGrid>
        <w:gridCol w:w="3845"/>
        <w:gridCol w:w="75"/>
      </w:tblGrid>
      <w:tr>
        <w:trPr/>
        <w:tc>
          <w:tcPr>
            <w:tcW w:w="38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Buckell</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Buckell</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 Qualified Third-Party Firm</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2" w:name="tm269884d1_ex23-7.htm"/>
      <w:bookmarkStart w:id="43" w:name="kstm269884d1_ex237"/>
      <w:bookmarkEnd w:id="42"/>
      <w:bookmarkEnd w:id="43"/>
      <w:r>
        <w:rPr/>
        <w:t> </w:t>
      </w:r>
      <w:r>
        <w:br w:type="page"/>
      </w:r>
    </w:p>
    <w:p>
      <w:pPr>
        <w:pStyle w:val="TextBody"/>
        <w:bidi w:val="0"/>
        <w:jc w:val="right"/>
        <w:rPr>
          <w:b/>
        </w:rPr>
      </w:pPr>
      <w:r>
        <w:rPr>
          <w:b/>
        </w:rPr>
        <w:t>Exhibit 23.7</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 Weston Road, Unit 208 Toronto, ON M9N 2A6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(“CEA”),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 is responsible for authoring, and this consent pertains to, Sections 1.7, 10, 12.2.11, 14, 15 and 22.7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Cameron Harris</w:t>
      </w:r>
    </w:p>
    <w:tbl>
      <w:tblPr>
        <w:tblW w:w="5555" w:type="dxa"/>
        <w:jc w:val="left"/>
        <w:tblInd w:w="0" w:type="dxa"/>
        <w:tblLayout w:type="fixed"/>
        <w:tblCellMar>
          <w:top w:w="28" w:type="dxa"/>
          <w:left w:w="0" w:type="dxa"/>
          <w:bottom w:w="0" w:type="dxa"/>
          <w:right w:w="0" w:type="dxa"/>
        </w:tblCellMar>
      </w:tblPr>
      <w:tblGrid>
        <w:gridCol w:w="5480"/>
        <w:gridCol w:w="75"/>
      </w:tblGrid>
      <w:tr>
        <w:trPr/>
        <w:tc>
          <w:tcPr>
            <w:tcW w:w="5480"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Cameron Harris</w:t>
            </w:r>
          </w:p>
        </w:tc>
        <w:tc>
          <w:tcPr>
            <w:tcW w:w="75" w:type="dxa"/>
            <w:tcBorders/>
            <w:tcMar>
              <w:top w:w="0" w:type="dxa"/>
            </w:tcMar>
            <w:vAlign w:val="center"/>
          </w:tcPr>
          <w:p>
            <w:pPr>
              <w:pStyle w:val="TableContents"/>
              <w:bidi w:val="0"/>
              <w:spacing w:before="0" w:after="283"/>
              <w:jc w:val="left"/>
              <w:rPr/>
            </w:pPr>
            <w:r>
              <w:rPr/>
              <w:t> </w:t>
            </w:r>
          </w:p>
        </w:tc>
      </w:tr>
      <w:tr>
        <w:trPr/>
        <w:tc>
          <w:tcPr>
            <w:tcW w:w="5480"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Smelting</w:t>
            </w:r>
          </w:p>
        </w:tc>
        <w:tc>
          <w:tcPr>
            <w:tcW w:w="75" w:type="dxa"/>
            <w:tcBorders/>
            <w:tcMar>
              <w:top w:w="0" w:type="dxa"/>
            </w:tcMar>
            <w:vAlign w:val="center"/>
          </w:tcPr>
          <w:p>
            <w:pPr>
              <w:pStyle w:val="TableContents"/>
              <w:bidi w:val="0"/>
              <w:spacing w:before="0" w:after="283"/>
              <w:jc w:val="left"/>
              <w:rPr/>
            </w:pPr>
            <w:r>
              <w:rPr/>
              <w:t> </w:t>
            </w:r>
          </w:p>
        </w:tc>
      </w:tr>
      <w:tr>
        <w:trPr/>
        <w:tc>
          <w:tcPr>
            <w:tcW w:w="5480"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tcMar>
              <w:top w:w="0" w:type="dxa"/>
            </w:tcMar>
            <w:vAlign w:val="center"/>
          </w:tcPr>
          <w:p>
            <w:pPr>
              <w:pStyle w:val="TableContents"/>
              <w:bidi w:val="0"/>
              <w:spacing w:before="0" w:after="283"/>
              <w:jc w:val="left"/>
              <w:rPr/>
            </w:pPr>
            <w:r>
              <w:rPr/>
              <w:t> </w:t>
            </w:r>
          </w:p>
        </w:tc>
      </w:tr>
      <w:tr>
        <w:trPr/>
        <w:tc>
          <w:tcPr>
            <w:tcW w:w="5480"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a Qualified Third-Party Firm</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4" w:name="tm269884d1_ex23-8.htm"/>
      <w:bookmarkStart w:id="45" w:name="kstm269884d1_ex238"/>
      <w:bookmarkEnd w:id="44"/>
      <w:bookmarkEnd w:id="45"/>
      <w:r>
        <w:rPr/>
        <w:t> </w:t>
      </w:r>
      <w:r>
        <w:br w:type="page"/>
      </w:r>
    </w:p>
    <w:p>
      <w:pPr>
        <w:pStyle w:val="TextBody"/>
        <w:bidi w:val="0"/>
        <w:jc w:val="right"/>
        <w:rPr>
          <w:b/>
        </w:rPr>
      </w:pPr>
      <w:r>
        <w:rPr>
          <w:b/>
        </w:rPr>
        <w:t>Exhibit 23.8</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Pennant Court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Birkdale QLD 4159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(“Lanasera”),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is responsible for authoring, and this consent pertains to, Sections 1.12, 12.6, 19 and 22.12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3860" w:type="dxa"/>
        <w:jc w:val="left"/>
        <w:tblInd w:w="0" w:type="dxa"/>
        <w:tblLayout w:type="fixed"/>
        <w:tblCellMar>
          <w:top w:w="0" w:type="dxa"/>
          <w:left w:w="0" w:type="dxa"/>
          <w:bottom w:w="28" w:type="dxa"/>
          <w:right w:w="0" w:type="dxa"/>
        </w:tblCellMar>
      </w:tblPr>
      <w:tblGrid>
        <w:gridCol w:w="3785"/>
        <w:gridCol w:w="75"/>
      </w:tblGrid>
      <w:tr>
        <w:trPr/>
        <w:tc>
          <w:tcPr>
            <w:tcW w:w="37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Brett Roughan</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Roughan</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a Qualified Third-Party Firm</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6" w:name="tm269884d1_ex23-9.htm"/>
      <w:bookmarkStart w:id="47" w:name="kstm269884d1_ex239"/>
      <w:bookmarkEnd w:id="46"/>
      <w:bookmarkEnd w:id="47"/>
      <w:r>
        <w:rPr/>
        <w:t> </w:t>
      </w:r>
      <w:r>
        <w:br w:type="page"/>
      </w:r>
    </w:p>
    <w:p>
      <w:pPr>
        <w:pStyle w:val="TextBody"/>
        <w:bidi w:val="0"/>
        <w:jc w:val="right"/>
        <w:rPr>
          <w:b/>
        </w:rPr>
      </w:pPr>
      <w:r>
        <w:rPr>
          <w:b/>
        </w:rPr>
        <w:t>Exhibit 23.9</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(the “Qualified Person”),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1.1, 1.2, 1.3, 1.5, 1.8, 3, 12.2.1, 12.2.12-12.2.14, 16, 21, 22.1, 22.3, 22.8, 22.9, 22.12 and 23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3335" w:type="dxa"/>
        <w:jc w:val="left"/>
        <w:tblInd w:w="0" w:type="dxa"/>
        <w:tblLayout w:type="fixed"/>
        <w:tblCellMar>
          <w:top w:w="0" w:type="dxa"/>
          <w:left w:w="0" w:type="dxa"/>
          <w:bottom w:w="28" w:type="dxa"/>
          <w:right w:w="0" w:type="dxa"/>
        </w:tblCellMar>
      </w:tblPr>
      <w:tblGrid>
        <w:gridCol w:w="3260"/>
        <w:gridCol w:w="75"/>
      </w:tblGrid>
      <w:tr>
        <w:trPr/>
        <w:tc>
          <w:tcPr>
            <w:tcW w:w="32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Anthony O’Sullivan </w:t>
            </w:r>
          </w:p>
        </w:tc>
        <w:tc>
          <w:tcPr>
            <w:tcW w:w="75" w:type="dxa"/>
            <w:tcBorders/>
            <w:tcMar>
              <w:bottom w:w="0" w:type="dxa"/>
            </w:tcMar>
            <w:vAlign w:val="center"/>
          </w:tcPr>
          <w:p>
            <w:pPr>
              <w:pStyle w:val="TableContents"/>
              <w:bidi w:val="0"/>
              <w:spacing w:before="0" w:after="283"/>
              <w:jc w:val="left"/>
              <w:rPr/>
            </w:pPr>
            <w:r>
              <w:rPr/>
              <w:t> </w:t>
            </w:r>
          </w:p>
        </w:tc>
      </w:tr>
      <w:tr>
        <w:trPr/>
        <w:tc>
          <w:tcPr>
            <w:tcW w:w="32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a Qualified Person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8" w:name="tm269884d1_ex23-10.htm"/>
      <w:bookmarkStart w:id="49" w:name="kstm269884d1_ex2310"/>
      <w:bookmarkEnd w:id="48"/>
      <w:bookmarkEnd w:id="49"/>
      <w:r>
        <w:rPr/>
        <w:t> </w:t>
      </w:r>
      <w:r>
        <w:br w:type="page"/>
      </w:r>
    </w:p>
    <w:p>
      <w:pPr>
        <w:pStyle w:val="TextBody"/>
        <w:bidi w:val="0"/>
        <w:jc w:val="right"/>
        <w:rPr>
          <w:b/>
        </w:rPr>
      </w:pPr>
      <w:r>
        <w:rPr>
          <w:b/>
        </w:rPr>
        <w:t>Exhibit 23.10</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(the “Qualified Person”),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1.6, 12.2.3, 12.2.7, 12.2.9, 13 and 22.6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2960" w:type="dxa"/>
        <w:jc w:val="left"/>
        <w:tblInd w:w="0" w:type="dxa"/>
        <w:tblLayout w:type="fixed"/>
        <w:tblCellMar>
          <w:top w:w="0" w:type="dxa"/>
          <w:left w:w="0" w:type="dxa"/>
          <w:bottom w:w="28" w:type="dxa"/>
          <w:right w:w="0" w:type="dxa"/>
        </w:tblCellMar>
      </w:tblPr>
      <w:tblGrid>
        <w:gridCol w:w="2885"/>
        <w:gridCol w:w="75"/>
      </w:tblGrid>
      <w:tr>
        <w:trPr/>
        <w:tc>
          <w:tcPr>
            <w:tcW w:w="28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Rutger Bosland</w:t>
            </w:r>
          </w:p>
        </w:tc>
        <w:tc>
          <w:tcPr>
            <w:tcW w:w="75" w:type="dxa"/>
            <w:tcBorders/>
            <w:tcMar>
              <w:bottom w:w="0" w:type="dxa"/>
            </w:tcMar>
            <w:vAlign w:val="center"/>
          </w:tcPr>
          <w:p>
            <w:pPr>
              <w:pStyle w:val="TableContents"/>
              <w:bidi w:val="0"/>
              <w:spacing w:before="0" w:after="283"/>
              <w:jc w:val="left"/>
              <w:rPr/>
            </w:pPr>
            <w:r>
              <w:rPr/>
              <w:t> </w:t>
            </w:r>
          </w:p>
        </w:tc>
      </w:tr>
      <w:tr>
        <w:trPr/>
        <w:tc>
          <w:tcPr>
            <w:tcW w:w="28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a Qualified Person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0" w:name="tm269884d1_ex23-11.htm"/>
      <w:bookmarkStart w:id="51" w:name="kstm269884d1_ex2311"/>
      <w:bookmarkEnd w:id="50"/>
      <w:bookmarkEnd w:id="51"/>
      <w:r>
        <w:rPr/>
        <w:t> </w:t>
      </w:r>
      <w:r>
        <w:br w:type="page"/>
      </w:r>
    </w:p>
    <w:p>
      <w:pPr>
        <w:pStyle w:val="TextBody"/>
        <w:bidi w:val="0"/>
        <w:jc w:val="right"/>
        <w:rPr>
          <w:b/>
        </w:rPr>
      </w:pPr>
      <w:r>
        <w:rPr>
          <w:b/>
        </w:rPr>
        <w:t>Exhibit 23.11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(the “Qualified Person”),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1.9, 12.2.1, 17 and 22.10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28" w:type="dxa"/>
          <w:right w:w="0" w:type="dxa"/>
        </w:tblCellMar>
      </w:tblPr>
      <w:tblGrid>
        <w:gridCol w:w="3155"/>
        <w:gridCol w:w="75"/>
      </w:tblGrid>
      <w:tr>
        <w:trPr/>
        <w:tc>
          <w:tcPr>
            <w:tcW w:w="31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Michael Clarke </w:t>
            </w:r>
          </w:p>
        </w:tc>
        <w:tc>
          <w:tcPr>
            <w:tcW w:w="75" w:type="dxa"/>
            <w:tcBorders/>
            <w:tcMar>
              <w:bottom w:w="0" w:type="dxa"/>
            </w:tcMar>
            <w:vAlign w:val="center"/>
          </w:tcPr>
          <w:p>
            <w:pPr>
              <w:pStyle w:val="TableContents"/>
              <w:bidi w:val="0"/>
              <w:spacing w:before="0" w:after="283"/>
              <w:jc w:val="left"/>
              <w:rPr/>
            </w:pPr>
            <w:r>
              <w:rPr/>
              <w:t> </w:t>
            </w:r>
          </w:p>
        </w:tc>
      </w:tr>
      <w:tr>
        <w:trPr/>
        <w:tc>
          <w:tcPr>
            <w:tcW w:w="31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a Qualified Person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2" w:name="tm269884d1_ex23-12.htm"/>
      <w:bookmarkStart w:id="53" w:name="kstm269884d1_ex2312"/>
      <w:bookmarkEnd w:id="52"/>
      <w:bookmarkEnd w:id="53"/>
      <w:r>
        <w:rPr/>
        <w:t> </w:t>
      </w:r>
      <w:r>
        <w:br w:type="page"/>
      </w:r>
    </w:p>
    <w:p>
      <w:pPr>
        <w:pStyle w:val="TextBody"/>
        <w:bidi w:val="0"/>
        <w:jc w:val="right"/>
        <w:rPr>
          <w:b/>
        </w:rPr>
      </w:pPr>
      <w:r>
        <w:rPr>
          <w:b/>
        </w:rPr>
        <w:t>Exhibit 23.12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(the “Qualified Person”),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1.11, 18, and 22.11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2615" w:type="dxa"/>
        <w:jc w:val="left"/>
        <w:tblInd w:w="0" w:type="dxa"/>
        <w:tblLayout w:type="fixed"/>
        <w:tblCellMar>
          <w:top w:w="0" w:type="dxa"/>
          <w:left w:w="0" w:type="dxa"/>
          <w:bottom w:w="28" w:type="dxa"/>
          <w:right w:w="0" w:type="dxa"/>
        </w:tblCellMar>
      </w:tblPr>
      <w:tblGrid>
        <w:gridCol w:w="2540"/>
        <w:gridCol w:w="75"/>
      </w:tblGrid>
      <w:tr>
        <w:trPr/>
        <w:tc>
          <w:tcPr>
            <w:tcW w:w="25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Price</w:t>
            </w:r>
          </w:p>
        </w:tc>
        <w:tc>
          <w:tcPr>
            <w:tcW w:w="75" w:type="dxa"/>
            <w:tcBorders/>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a Qualified Person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4" w:name="tm269884d1_ex23-13.htm"/>
      <w:bookmarkStart w:id="55" w:name="kstm269884d1_ex2313"/>
      <w:bookmarkEnd w:id="54"/>
      <w:bookmarkEnd w:id="55"/>
      <w:r>
        <w:rPr/>
        <w:t> </w:t>
      </w:r>
      <w:r>
        <w:br w:type="page"/>
      </w:r>
    </w:p>
    <w:p>
      <w:pPr>
        <w:pStyle w:val="TextBody"/>
        <w:bidi w:val="0"/>
        <w:jc w:val="right"/>
        <w:rPr>
          <w:b/>
        </w:rPr>
      </w:pPr>
      <w:r>
        <w:rPr>
          <w:b/>
        </w:rPr>
        <w:t>Exhibit 23.13</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 Collins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Melbourne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Victoria, 3000,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(“AMC”),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is responsible for authoring, and this consent pertains to, Sections 1.1, 1.4, 2.1, 2.2, 2.3, 2.4, 4, 5.1, 5.3, 6.8, 6.9, 6.10, 6.11.2, 7.1, 7.2, 7.3, 7.4, 8.1, 8.2.1, 8.2.2, 8.3, 9.2, 11, 12, 13.7, 13.8.1, 13.8.2, 13.9, 20, 21, 22.2, 22.4, 22.6, 23, 24 and 25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Mackenzie</w:t>
      </w:r>
    </w:p>
    <w:tbl>
      <w:tblPr>
        <w:tblW w:w="7610" w:type="dxa"/>
        <w:jc w:val="left"/>
        <w:tblInd w:w="0" w:type="dxa"/>
        <w:tblLayout w:type="fixed"/>
        <w:tblCellMar>
          <w:top w:w="28" w:type="dxa"/>
          <w:left w:w="0" w:type="dxa"/>
          <w:bottom w:w="0" w:type="dxa"/>
          <w:right w:w="0" w:type="dxa"/>
        </w:tblCellMar>
      </w:tblPr>
      <w:tblGrid>
        <w:gridCol w:w="7535"/>
        <w:gridCol w:w="75"/>
      </w:tblGrid>
      <w:tr>
        <w:trPr/>
        <w:tc>
          <w:tcPr>
            <w:tcW w:w="7535"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Felicia&amp;emsp14;&amp;NegativeThickSpace;Mackenzie</w:t>
            </w:r>
          </w:p>
        </w:tc>
        <w:tc>
          <w:tcPr>
            <w:tcW w:w="75" w:type="dxa"/>
            <w:tcBorders/>
            <w:tcMar>
              <w:top w:w="0" w:type="dxa"/>
            </w:tcMar>
            <w:vAlign w:val="center"/>
          </w:tcPr>
          <w:p>
            <w:pPr>
              <w:pStyle w:val="TableContents"/>
              <w:bidi w:val="0"/>
              <w:spacing w:before="0" w:after="283"/>
              <w:jc w:val="left"/>
              <w:rPr/>
            </w:pPr>
            <w:r>
              <w:rPr/>
              <w:t> </w:t>
            </w:r>
          </w:p>
        </w:tc>
      </w:tr>
      <w:tr>
        <w:trPr/>
        <w:tc>
          <w:tcPr>
            <w:tcW w:w="7535"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Chief&amp;emsp14;&amp;NegativeThickSpace;Performance&amp;emsp14;&amp;NegativeThickSpace;Officer</w:t>
            </w:r>
          </w:p>
        </w:tc>
        <w:tc>
          <w:tcPr>
            <w:tcW w:w="75" w:type="dxa"/>
            <w:tcBorders/>
            <w:tcMar>
              <w:top w:w="0" w:type="dxa"/>
            </w:tcMar>
            <w:vAlign w:val="center"/>
          </w:tcPr>
          <w:p>
            <w:pPr>
              <w:pStyle w:val="TableContents"/>
              <w:bidi w:val="0"/>
              <w:spacing w:before="0" w:after="283"/>
              <w:jc w:val="left"/>
              <w:rPr/>
            </w:pPr>
            <w:r>
              <w:rPr/>
              <w:t> </w:t>
            </w:r>
          </w:p>
        </w:tc>
      </w:tr>
      <w:tr>
        <w:trPr/>
        <w:tc>
          <w:tcPr>
            <w:tcW w:w="7535"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tcMar>
              <w:top w:w="0" w:type="dxa"/>
            </w:tcMar>
            <w:vAlign w:val="center"/>
          </w:tcPr>
          <w:p>
            <w:pPr>
              <w:pStyle w:val="TableContents"/>
              <w:bidi w:val="0"/>
              <w:spacing w:before="0" w:after="283"/>
              <w:jc w:val="left"/>
              <w:rPr/>
            </w:pPr>
            <w:r>
              <w:rPr/>
              <w:t> </w:t>
            </w:r>
          </w:p>
        </w:tc>
      </w:tr>
      <w:tr>
        <w:trPr/>
        <w:tc>
          <w:tcPr>
            <w:tcW w:w="7535"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 Qualified Third-Party Firm</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6" w:name="tm269884d1_ex23-14.htm"/>
      <w:bookmarkStart w:id="57" w:name="kstm269884d1_ex2314"/>
      <w:bookmarkEnd w:id="56"/>
      <w:bookmarkEnd w:id="57"/>
      <w:r>
        <w:rPr/>
        <w:t> </w:t>
      </w:r>
      <w:r>
        <w:br w:type="page"/>
      </w:r>
    </w:p>
    <w:p>
      <w:pPr>
        <w:pStyle w:val="TextBody"/>
        <w:bidi w:val="0"/>
        <w:jc w:val="right"/>
        <w:rPr>
          <w:b/>
        </w:rPr>
      </w:pPr>
      <w:r>
        <w:rPr>
          <w:b/>
        </w:rPr>
        <w:t>Exhibit 23.14</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Kalang Circuit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Coffs Harbour NSW 2450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(“MMGI”),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MMGI is responsible for authoring, and this consent pertains to, Sections 6.1, 6.2, 6.3, 6.4, 6.5, 6.6, 6.11.1, 7.6.2, 7.6.3, 7.6.4 and 7.6.5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5795" w:type="dxa"/>
        <w:jc w:val="left"/>
        <w:tblInd w:w="0" w:type="dxa"/>
        <w:tblLayout w:type="fixed"/>
        <w:tblCellMar>
          <w:top w:w="0" w:type="dxa"/>
          <w:left w:w="0" w:type="dxa"/>
          <w:bottom w:w="28" w:type="dxa"/>
          <w:right w:w="0" w:type="dxa"/>
        </w:tblCellMar>
      </w:tblPr>
      <w:tblGrid>
        <w:gridCol w:w="5720"/>
        <w:gridCol w:w="75"/>
      </w:tblGrid>
      <w:tr>
        <w:trPr/>
        <w:tc>
          <w:tcPr>
            <w:tcW w:w="57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Ian Stevenson</w:t>
            </w:r>
          </w:p>
        </w:tc>
        <w:tc>
          <w:tcPr>
            <w:tcW w:w="75" w:type="dxa"/>
            <w:tcBorders/>
            <w:tcMar>
              <w:bottom w:w="0" w:type="dxa"/>
            </w:tcMar>
            <w:vAlign w:val="center"/>
          </w:tcPr>
          <w:p>
            <w:pPr>
              <w:pStyle w:val="TableContents"/>
              <w:bidi w:val="0"/>
              <w:spacing w:before="0" w:after="283"/>
              <w:jc w:val="left"/>
              <w:rPr/>
            </w:pPr>
            <w:r>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Ian Stevenson</w:t>
            </w:r>
          </w:p>
        </w:tc>
        <w:tc>
          <w:tcPr>
            <w:tcW w:w="75" w:type="dxa"/>
            <w:tcBorders/>
            <w:tcMar>
              <w:bottom w:w="0" w:type="dxa"/>
            </w:tcMar>
            <w:vAlign w:val="center"/>
          </w:tcPr>
          <w:p>
            <w:pPr>
              <w:pStyle w:val="TableContents"/>
              <w:bidi w:val="0"/>
              <w:spacing w:before="0" w:after="283"/>
              <w:jc w:val="left"/>
              <w:rPr/>
            </w:pPr>
            <w:r>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Geoscience Consultant</w:t>
            </w:r>
          </w:p>
        </w:tc>
        <w:tc>
          <w:tcPr>
            <w:tcW w:w="75" w:type="dxa"/>
            <w:tcBorders/>
            <w:tcMar>
              <w:bottom w:w="0" w:type="dxa"/>
            </w:tcMar>
            <w:vAlign w:val="center"/>
          </w:tcPr>
          <w:p>
            <w:pPr>
              <w:pStyle w:val="TableContents"/>
              <w:bidi w:val="0"/>
              <w:spacing w:before="0" w:after="283"/>
              <w:jc w:val="left"/>
              <w:rPr/>
            </w:pPr>
            <w:r>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tcMar>
              <w:bottom w:w="0" w:type="dxa"/>
            </w:tcMar>
            <w:vAlign w:val="center"/>
          </w:tcPr>
          <w:p>
            <w:pPr>
              <w:pStyle w:val="TableContents"/>
              <w:bidi w:val="0"/>
              <w:spacing w:before="0" w:after="283"/>
              <w:jc w:val="left"/>
              <w:rPr/>
            </w:pPr>
            <w:r>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a Qualified Third-Party Firm</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8" w:name="tm269884d1_ex23-15.htm"/>
      <w:bookmarkStart w:id="59" w:name="kstm269884d1_ex2315"/>
      <w:bookmarkEnd w:id="58"/>
      <w:bookmarkEnd w:id="59"/>
      <w:r>
        <w:rPr/>
        <w:t> </w:t>
      </w:r>
      <w:r>
        <w:br w:type="page"/>
      </w:r>
    </w:p>
    <w:p>
      <w:pPr>
        <w:pStyle w:val="TextBody"/>
        <w:bidi w:val="0"/>
        <w:jc w:val="right"/>
        <w:rPr>
          <w:b/>
        </w:rPr>
      </w:pPr>
      <w:r>
        <w:rPr>
          <w:b/>
        </w:rPr>
        <w:t>Exhibit 23.15</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Macies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Bath, United Kingdom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BA1 4HS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(“APYS”),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is responsible for authoring, and this consent pertains to, Sections 7.6.6 and 7.7.6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28" w:type="dxa"/>
          <w:right w:w="0" w:type="dxa"/>
        </w:tblCellMar>
      </w:tblPr>
      <w:tblGrid>
        <w:gridCol w:w="3845"/>
        <w:gridCol w:w="75"/>
      </w:tblGrid>
      <w:tr>
        <w:trPr/>
        <w:tc>
          <w:tcPr>
            <w:tcW w:w="38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Buckell</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Buckell</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 Qualified Third-Party Firm</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0" w:name="tm269884d1_ex23-16.htm"/>
      <w:bookmarkStart w:id="61" w:name="kstm269884d1_ex2316"/>
      <w:bookmarkEnd w:id="60"/>
      <w:bookmarkEnd w:id="61"/>
      <w:r>
        <w:rPr/>
        <w:t> </w:t>
      </w:r>
      <w:r>
        <w:br w:type="page"/>
      </w:r>
    </w:p>
    <w:p>
      <w:pPr>
        <w:pStyle w:val="TextBody"/>
        <w:bidi w:val="0"/>
        <w:jc w:val="right"/>
        <w:rPr>
          <w:b/>
        </w:rPr>
      </w:pPr>
      <w:r>
        <w:rPr>
          <w:b/>
        </w:rPr>
        <w:t>Exhibit 23.16</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 Weston Road, Unit 208 Toronto, ON M9N 2A6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(“CEA”),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 is responsible for authoring, and this consent pertains to, Sections 1.6, 10, 14, 15, 22.3, 22.7, and 22.8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Cameron Harris</w:t>
      </w:r>
    </w:p>
    <w:tbl>
      <w:tblPr>
        <w:tblW w:w="5555" w:type="dxa"/>
        <w:jc w:val="left"/>
        <w:tblInd w:w="0" w:type="dxa"/>
        <w:tblLayout w:type="fixed"/>
        <w:tblCellMar>
          <w:top w:w="28" w:type="dxa"/>
          <w:left w:w="0" w:type="dxa"/>
          <w:bottom w:w="0" w:type="dxa"/>
          <w:right w:w="0" w:type="dxa"/>
        </w:tblCellMar>
      </w:tblPr>
      <w:tblGrid>
        <w:gridCol w:w="5480"/>
        <w:gridCol w:w="75"/>
      </w:tblGrid>
      <w:tr>
        <w:trPr/>
        <w:tc>
          <w:tcPr>
            <w:tcW w:w="5480"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Cameron Harris</w:t>
            </w:r>
          </w:p>
        </w:tc>
        <w:tc>
          <w:tcPr>
            <w:tcW w:w="75" w:type="dxa"/>
            <w:tcBorders/>
            <w:tcMar>
              <w:top w:w="0" w:type="dxa"/>
            </w:tcMar>
            <w:vAlign w:val="center"/>
          </w:tcPr>
          <w:p>
            <w:pPr>
              <w:pStyle w:val="TableContents"/>
              <w:bidi w:val="0"/>
              <w:spacing w:before="0" w:after="283"/>
              <w:jc w:val="left"/>
              <w:rPr/>
            </w:pPr>
            <w:r>
              <w:rPr/>
              <w:t> </w:t>
            </w:r>
          </w:p>
        </w:tc>
      </w:tr>
      <w:tr>
        <w:trPr/>
        <w:tc>
          <w:tcPr>
            <w:tcW w:w="5480"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Smelting</w:t>
            </w:r>
          </w:p>
        </w:tc>
        <w:tc>
          <w:tcPr>
            <w:tcW w:w="75" w:type="dxa"/>
            <w:tcBorders/>
            <w:tcMar>
              <w:top w:w="0" w:type="dxa"/>
            </w:tcMar>
            <w:vAlign w:val="center"/>
          </w:tcPr>
          <w:p>
            <w:pPr>
              <w:pStyle w:val="TableContents"/>
              <w:bidi w:val="0"/>
              <w:spacing w:before="0" w:after="283"/>
              <w:jc w:val="left"/>
              <w:rPr/>
            </w:pPr>
            <w:r>
              <w:rPr/>
              <w:t> </w:t>
            </w:r>
          </w:p>
        </w:tc>
      </w:tr>
      <w:tr>
        <w:trPr/>
        <w:tc>
          <w:tcPr>
            <w:tcW w:w="5480"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tcMar>
              <w:top w:w="0" w:type="dxa"/>
            </w:tcMar>
            <w:vAlign w:val="center"/>
          </w:tcPr>
          <w:p>
            <w:pPr>
              <w:pStyle w:val="TableContents"/>
              <w:bidi w:val="0"/>
              <w:spacing w:before="0" w:after="283"/>
              <w:jc w:val="left"/>
              <w:rPr/>
            </w:pPr>
            <w:r>
              <w:rPr/>
              <w:t> </w:t>
            </w:r>
          </w:p>
        </w:tc>
      </w:tr>
      <w:tr>
        <w:trPr/>
        <w:tc>
          <w:tcPr>
            <w:tcW w:w="5480"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a Qualified Third-Party Firm</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62" w:name="tm269884d1_ex23-17.htm"/>
      <w:bookmarkStart w:id="63" w:name="kstm269884d1_ex2317"/>
      <w:bookmarkEnd w:id="62"/>
      <w:bookmarkEnd w:id="63"/>
      <w:r>
        <w:rPr/>
        <w:t> </w:t>
      </w:r>
      <w:r>
        <w:br w:type="page"/>
      </w:r>
    </w:p>
    <w:p>
      <w:pPr>
        <w:pStyle w:val="TextBody"/>
        <w:bidi w:val="0"/>
        <w:jc w:val="right"/>
        <w:rPr>
          <w:b/>
        </w:rPr>
      </w:pPr>
      <w:r>
        <w:rPr>
          <w:b/>
        </w:rPr>
        <w:t>Exhibit 23.17</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Pennant Court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Birkdale QLD 4159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(“Lanasera”),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is responsible for authoring, and this consent pertains to, Sections 1.10, 19 and 22.12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3860" w:type="dxa"/>
        <w:jc w:val="left"/>
        <w:tblInd w:w="0" w:type="dxa"/>
        <w:tblLayout w:type="fixed"/>
        <w:tblCellMar>
          <w:top w:w="0" w:type="dxa"/>
          <w:left w:w="0" w:type="dxa"/>
          <w:bottom w:w="28" w:type="dxa"/>
          <w:right w:w="0" w:type="dxa"/>
        </w:tblCellMar>
      </w:tblPr>
      <w:tblGrid>
        <w:gridCol w:w="3785"/>
        <w:gridCol w:w="75"/>
      </w:tblGrid>
      <w:tr>
        <w:trPr/>
        <w:tc>
          <w:tcPr>
            <w:tcW w:w="37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Brett Roughan</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Roughan</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a Qualified Third-Party Firm</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4" w:name="tm269884d1_ex23-18.htm"/>
      <w:bookmarkStart w:id="65" w:name="kstm269884d1_ex2318"/>
      <w:bookmarkEnd w:id="64"/>
      <w:bookmarkEnd w:id="65"/>
      <w:r>
        <w:rPr/>
        <w:t> </w:t>
      </w:r>
      <w:r>
        <w:br w:type="page"/>
      </w:r>
    </w:p>
    <w:p>
      <w:pPr>
        <w:pStyle w:val="TextBody"/>
        <w:bidi w:val="0"/>
        <w:jc w:val="right"/>
        <w:rPr>
          <w:b/>
        </w:rPr>
      </w:pPr>
      <w:r>
        <w:rPr>
          <w:b/>
        </w:rPr>
        <w:t>Exhibit 23.18</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(the “Qualified Person”),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1.2, 1.3, 1.7, 3.1, 3.1.1, 3.1.1.1, 3.1.2, 3.1.2.1, 3.2, 3.2.1, 3.2.2, 5.2, 5.4, 6.7, 6.11.3, 7.5.1, 7.5.2, 7.6.1, 7.7.1, 7.7.2, 7.7.3, 7.7.4, 7.7.5, 8.2, 9.1, 16, 22.1 and 22.9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3335" w:type="dxa"/>
        <w:jc w:val="left"/>
        <w:tblInd w:w="0" w:type="dxa"/>
        <w:tblLayout w:type="fixed"/>
        <w:tblCellMar>
          <w:top w:w="0" w:type="dxa"/>
          <w:left w:w="0" w:type="dxa"/>
          <w:bottom w:w="28" w:type="dxa"/>
          <w:right w:w="0" w:type="dxa"/>
        </w:tblCellMar>
      </w:tblPr>
      <w:tblGrid>
        <w:gridCol w:w="3260"/>
        <w:gridCol w:w="75"/>
      </w:tblGrid>
      <w:tr>
        <w:trPr/>
        <w:tc>
          <w:tcPr>
            <w:tcW w:w="32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Anthony O’Sullivan</w:t>
            </w:r>
          </w:p>
        </w:tc>
        <w:tc>
          <w:tcPr>
            <w:tcW w:w="75" w:type="dxa"/>
            <w:tcBorders/>
            <w:tcMar>
              <w:bottom w:w="0" w:type="dxa"/>
            </w:tcMar>
            <w:vAlign w:val="center"/>
          </w:tcPr>
          <w:p>
            <w:pPr>
              <w:pStyle w:val="TableContents"/>
              <w:bidi w:val="0"/>
              <w:spacing w:before="0" w:after="283"/>
              <w:jc w:val="left"/>
              <w:rPr/>
            </w:pPr>
            <w:r>
              <w:rPr/>
              <w:t> </w:t>
            </w:r>
          </w:p>
        </w:tc>
      </w:tr>
      <w:tr>
        <w:trPr/>
        <w:tc>
          <w:tcPr>
            <w:tcW w:w="32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a Qualified Person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66" w:name="tm269884d1_ex23-19.htm"/>
      <w:bookmarkStart w:id="67" w:name="kstm269884d1_ex2319"/>
      <w:bookmarkEnd w:id="66"/>
      <w:bookmarkEnd w:id="67"/>
      <w:r>
        <w:rPr/>
        <w:t> </w:t>
      </w:r>
      <w:r>
        <w:br w:type="page"/>
      </w:r>
    </w:p>
    <w:p>
      <w:pPr>
        <w:pStyle w:val="TextBody"/>
        <w:bidi w:val="0"/>
        <w:jc w:val="right"/>
        <w:rPr>
          <w:b/>
        </w:rPr>
      </w:pPr>
      <w:r>
        <w:rPr>
          <w:b/>
        </w:rPr>
        <w:t>Exhibit 23.19</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(the “Qualified Person”),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1.5, 13.1, 13.2, 13.3, 13.4, 13.5, 13.6, 13.8.3, and 22.5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2960" w:type="dxa"/>
        <w:jc w:val="left"/>
        <w:tblInd w:w="0" w:type="dxa"/>
        <w:tblLayout w:type="fixed"/>
        <w:tblCellMar>
          <w:top w:w="0" w:type="dxa"/>
          <w:left w:w="0" w:type="dxa"/>
          <w:bottom w:w="28" w:type="dxa"/>
          <w:right w:w="0" w:type="dxa"/>
        </w:tblCellMar>
      </w:tblPr>
      <w:tblGrid>
        <w:gridCol w:w="2885"/>
        <w:gridCol w:w="75"/>
      </w:tblGrid>
      <w:tr>
        <w:trPr/>
        <w:tc>
          <w:tcPr>
            <w:tcW w:w="28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Rutger Bosland</w:t>
            </w:r>
          </w:p>
        </w:tc>
        <w:tc>
          <w:tcPr>
            <w:tcW w:w="75" w:type="dxa"/>
            <w:tcBorders/>
            <w:tcMar>
              <w:bottom w:w="0" w:type="dxa"/>
            </w:tcMar>
            <w:vAlign w:val="center"/>
          </w:tcPr>
          <w:p>
            <w:pPr>
              <w:pStyle w:val="TableContents"/>
              <w:bidi w:val="0"/>
              <w:spacing w:before="0" w:after="283"/>
              <w:jc w:val="left"/>
              <w:rPr/>
            </w:pPr>
            <w:r>
              <w:rPr/>
              <w:t> </w:t>
            </w:r>
          </w:p>
        </w:tc>
      </w:tr>
      <w:tr>
        <w:trPr/>
        <w:tc>
          <w:tcPr>
            <w:tcW w:w="28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a Qualified Person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8" w:name="tm269884d1_ex23-20.htm"/>
      <w:bookmarkStart w:id="69" w:name="kstm269884d1_ex2320"/>
      <w:bookmarkEnd w:id="68"/>
      <w:bookmarkEnd w:id="69"/>
      <w:r>
        <w:rPr/>
        <w:t> </w:t>
      </w:r>
      <w:r>
        <w:br w:type="page"/>
      </w:r>
    </w:p>
    <w:p>
      <w:pPr>
        <w:pStyle w:val="TextBody"/>
        <w:bidi w:val="0"/>
        <w:jc w:val="right"/>
        <w:rPr>
          <w:b/>
        </w:rPr>
      </w:pPr>
      <w:r>
        <w:rPr>
          <w:b/>
        </w:rPr>
        <w:t>Exhibit 23.20</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(the “Qualified Person”),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1.8, 17, and 22.10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28" w:type="dxa"/>
          <w:right w:w="0" w:type="dxa"/>
        </w:tblCellMar>
      </w:tblPr>
      <w:tblGrid>
        <w:gridCol w:w="3155"/>
        <w:gridCol w:w="75"/>
      </w:tblGrid>
      <w:tr>
        <w:trPr/>
        <w:tc>
          <w:tcPr>
            <w:tcW w:w="31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Michael Clarke</w:t>
            </w:r>
          </w:p>
        </w:tc>
        <w:tc>
          <w:tcPr>
            <w:tcW w:w="75" w:type="dxa"/>
            <w:tcBorders/>
            <w:tcMar>
              <w:bottom w:w="0" w:type="dxa"/>
            </w:tcMar>
            <w:vAlign w:val="center"/>
          </w:tcPr>
          <w:p>
            <w:pPr>
              <w:pStyle w:val="TableContents"/>
              <w:bidi w:val="0"/>
              <w:spacing w:before="0" w:after="283"/>
              <w:jc w:val="left"/>
              <w:rPr/>
            </w:pPr>
            <w:r>
              <w:rPr/>
              <w:t> </w:t>
            </w:r>
          </w:p>
        </w:tc>
      </w:tr>
      <w:tr>
        <w:trPr/>
        <w:tc>
          <w:tcPr>
            <w:tcW w:w="31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a Qualified Person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70" w:name="tm269884d1_ex23-21.htm"/>
      <w:bookmarkStart w:id="71" w:name="kstm269884d1_ex2321"/>
      <w:bookmarkEnd w:id="70"/>
      <w:bookmarkEnd w:id="71"/>
      <w:r>
        <w:rPr/>
        <w:t> </w:t>
      </w:r>
      <w:r>
        <w:br w:type="page"/>
      </w:r>
    </w:p>
    <w:p>
      <w:pPr>
        <w:pStyle w:val="TextBody"/>
        <w:bidi w:val="0"/>
        <w:jc w:val="right"/>
        <w:rPr>
          <w:b/>
        </w:rPr>
      </w:pPr>
      <w:r>
        <w:rPr>
          <w:b/>
        </w:rPr>
        <w:t>Exhibit 23.21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(the “Qualified Person”), in connection with the Automatic Shelf Registration Statement on Form S-3 to be filed on or about the date hereof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1.9, 18, and 22.11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2615" w:type="dxa"/>
        <w:jc w:val="left"/>
        <w:tblInd w:w="0" w:type="dxa"/>
        <w:tblLayout w:type="fixed"/>
        <w:tblCellMar>
          <w:top w:w="0" w:type="dxa"/>
          <w:left w:w="0" w:type="dxa"/>
          <w:bottom w:w="28" w:type="dxa"/>
          <w:right w:w="0" w:type="dxa"/>
        </w:tblCellMar>
      </w:tblPr>
      <w:tblGrid>
        <w:gridCol w:w="2540"/>
        <w:gridCol w:w="75"/>
      </w:tblGrid>
      <w:tr>
        <w:trPr/>
        <w:tc>
          <w:tcPr>
            <w:tcW w:w="25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Price</w:t>
            </w:r>
          </w:p>
        </w:tc>
        <w:tc>
          <w:tcPr>
            <w:tcW w:w="75" w:type="dxa"/>
            <w:tcBorders/>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a Qualified Person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Normal"/>
        <w:bidi w:val="0"/>
        <w:spacing w:before="0" w:after="0"/>
        <w:ind w:left="0" w:right="0" w:hanging="0"/>
        <w:jc w:val="left"/>
        <w:rPr>
          <w:sz w:val="4"/>
          <w:szCs w:val="4"/>
        </w:rPr>
      </w:pPr>
      <w:r>
        <w:rPr>
          <w:sz w:val="4"/>
          <w:szCs w:val="4"/>
        </w:rPr>
      </w:r>
      <w:bookmarkStart w:id="72" w:name="tm269884d1_ex-filingfees.htm"/>
      <w:bookmarkStart w:id="73" w:name="kstm269884d1_exfilingfees"/>
      <w:bookmarkStart w:id="74" w:name="tm269884d1_ex-filingfees.htm"/>
      <w:bookmarkStart w:id="75" w:name="kstm269884d1_exfilingfees"/>
      <w:bookmarkEnd w:id="74"/>
      <w:bookmarkEnd w:id="75"/>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TMC the metals Co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Shares, no par value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Shares, no par value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76" w:name="MaxAggtOfferingPrice"/>
            <w:bookmarkEnd w:id="76"/>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77" w:name="TotalFeeAmt"/>
            <w:bookmarkEnd w:id="7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8" w:name="TotalPreviouslyPaidAmt"/>
            <w:bookmarkEnd w:id="7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9" w:name="TotalOffsetAmt"/>
            <w:bookmarkEnd w:id="7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0" w:name="NetFeeAmt"/>
            <w:bookmarkEnd w:id="8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8"/>
        <w:gridCol w:w="8709"/>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(a) Including such indeterminate amount of common shares as may be issued from time to time at indeterminate prices or upon conversion of debt securities and/or preferred shares registered hereby, or upon exercise of warrants registered hereby, as the case may be. (b) The amount to be registered consists of an indeterminate amount of common shares, preferred shares, debt securities, warrants and/or units. There is also being registered hereunder such currently indeterminate number of (i) common shares or other securities of the registrant as may be issued upon conversion of, or in exchange for, convertible or exchangeable debt securities and/or preferred shares registered hereby, or (ii) debt securities, common shares, preferred shares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(the "Securities Act"), this registration statement also covers any additional securities that may be offered or issued in connection with any share split, share dividend or pursuant to anti-dilution provisions of any of the securities. Separate consideration may or may not be received for securities that are issuable upon conversion, exercise or exchange of other securities. In accordance with Rules 456(b) and 457(r) under the Securities Act, the registrant is deferring payment of all registration fees and will pay the registration fees subsequently in advance or on a "pay-as-you-go" basis. (c) The proposed maximum offering price per security will be determined from time to time by the registrant in connection with the issuance by the registrant of the securities registered hereunder and is not specified as to each class of security.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(a) Including such indeterminate amount of preferred shares as may be issued from time to time at indeterminate prices or upon conversion of debt securities and/or preferred shares registered hereby, or upon exercise of warrants registered hereby, as the case may be. (b) See Note 1(b) above. (c) See Note 1(c)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(a) Including such indeterminate principal amount of debt securities as may be issued from time to time at indeterminate prices or upon exercise of warrants registered hereby, as the case may be. (b) See Note 1(b) above. (c) See Note 1(c)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7" w:type="dxa"/>
            <w:gridSpan w:val="2"/>
            <w:tcBorders/>
            <w:vAlign w:val="center"/>
          </w:tcPr>
          <w:p>
            <w:pPr>
              <w:pStyle w:val="TableContents"/>
              <w:bidi w:val="0"/>
              <w:spacing w:before="0" w:after="283"/>
              <w:jc w:val="left"/>
              <w:rPr/>
            </w:pPr>
            <w:r>
              <w:rPr/>
              <w:t xml:space="preserve">(a) Warrants may be sold separately or together with any of the securities registered hereby and may be exercisable for common shares, preferred shares, debt securities, or units registered hereby. Because the warrants will provide a right only to purchase such securities offered hereunder, no additional registration fee is required. (b) See Note 1(b) above. (c) See Note 1(c)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7" w:type="dxa"/>
            <w:gridSpan w:val="2"/>
            <w:tcBorders/>
            <w:vAlign w:val="center"/>
          </w:tcPr>
          <w:p>
            <w:pPr>
              <w:pStyle w:val="TableContents"/>
              <w:bidi w:val="0"/>
              <w:spacing w:before="0" w:after="283"/>
              <w:jc w:val="left"/>
              <w:rPr/>
            </w:pPr>
            <w:r>
              <w:rPr/>
              <w:t xml:space="preserve">(a) 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 (b) See Note 1(b) above. (c) See Note 1(c)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98562/000110465926037863/tmc-20251231x10k.htm" TargetMode="External"/><Relationship Id="rId4" Type="http://schemas.openxmlformats.org/officeDocument/2006/relationships/hyperlink" Target="https://www.sec.gov/ix?doc=/Archives/edgar/data/1798562/000110465926000247/tm2534530d1_8k.htm" TargetMode="External"/><Relationship Id="rId5" Type="http://schemas.openxmlformats.org/officeDocument/2006/relationships/hyperlink" Target="https://www.sec.gov/ix?doc=/Archives/edgar/data/1798562/000110465925036264/tm252536-10_def14aseq1.htm" TargetMode="External"/><Relationship Id="rId6" Type="http://schemas.openxmlformats.org/officeDocument/2006/relationships/hyperlink" Target="https://www.sec.gov/Archives/edgar/data/1798562/000110465925051682/tm2515752d1_defa14a.htm" TargetMode="External"/><Relationship Id="rId7" Type="http://schemas.openxmlformats.org/officeDocument/2006/relationships/hyperlink" Target="https://www.sec.gov/ix?doc=/Archives/edgar/data/1798562/000110465925068870/tm2521122-1_def14a.htm" TargetMode="External"/><Relationship Id="rId8" Type="http://schemas.openxmlformats.org/officeDocument/2006/relationships/hyperlink" Target="https://www.sec.gov/Archives/edgar/data/1798562/000121390021047279/ea146988-8a12b_tmcthemetals.htm" TargetMode="External"/><Relationship Id="rId9" Type="http://schemas.openxmlformats.org/officeDocument/2006/relationships/hyperlink" Target="https://www.sec.gov/ix?doc=/Archives/edgar/data/1798562/000110465926037863/tmc-20251231x10k.htm" TargetMode="External"/><Relationship Id="rId10" Type="http://schemas.openxmlformats.org/officeDocument/2006/relationships/image" Target="media/image1.jpeg"/><Relationship Id="rId11" Type="http://schemas.openxmlformats.org/officeDocument/2006/relationships/hyperlink" Target="https://www.sec.gov/Archives/edgar/data/1798562/000110465926000247/tm2534530d1_ex3-3.htm" TargetMode="External"/><Relationship Id="rId12" Type="http://schemas.openxmlformats.org/officeDocument/2006/relationships/hyperlink" Target="https://www.sec.gov/Archives/edgar/data/1798562/000110465926000247/tm2534530d1_ex3-3.htm" TargetMode="External"/><Relationship Id="rId13" Type="http://schemas.openxmlformats.org/officeDocument/2006/relationships/hyperlink" Target="https://www.sec.gov/Archives/edgar/data/1798562/000110465926000247/tm2534530d1_ex3-3.htm" TargetMode="External"/><Relationship Id="rId14" Type="http://schemas.openxmlformats.org/officeDocument/2006/relationships/hyperlink" Target="https://www.sec.gov/Archives/edgar/data/1798562/000110465926000247/tm2534530d1_ex3-3.htm" TargetMode="External"/><Relationship Id="rId15" Type="http://schemas.openxmlformats.org/officeDocument/2006/relationships/hyperlink" Target="https://www.sec.gov/Archives/edgar/data/1798562/000110465926000247/tm2534530d1_ex3-3.htm" TargetMode="External"/><Relationship Id="rId16" Type="http://schemas.openxmlformats.org/officeDocument/2006/relationships/hyperlink" Target="https://www.sec.gov/Archives/edgar/data/1798562/000121390021048261/ea147253ex4-1_tmcthemet.htm" TargetMode="External"/><Relationship Id="rId17" Type="http://schemas.openxmlformats.org/officeDocument/2006/relationships/hyperlink" Target="https://www.sec.gov/Archives/edgar/data/1798562/000121390021048261/ea147253ex4-1_tmcthemet.htm" TargetMode="External"/><Relationship Id="rId18" Type="http://schemas.openxmlformats.org/officeDocument/2006/relationships/hyperlink" Target="https://www.sec.gov/Archives/edgar/data/1798562/000121390021048261/ea147253ex4-1_tmcthemet.htm" TargetMode="External"/><Relationship Id="rId19" Type="http://schemas.openxmlformats.org/officeDocument/2006/relationships/hyperlink" Target="https://www.sec.gov/Archives/edgar/data/1798562/000121390021048261/ea147253ex4-1_tmcthemet.htm" TargetMode="External"/><Relationship Id="rId20" Type="http://schemas.openxmlformats.org/officeDocument/2006/relationships/hyperlink" Target="https://www.sec.gov/Archives/edgar/data/1798562/000121390021048261/ea147253ex4-1_tmcthemet.htm" TargetMode="External"/><Relationship Id="rId21" Type="http://schemas.openxmlformats.org/officeDocument/2006/relationships/hyperlink" Target="https://www.sec.gov/Archives/edgar/data/1798562/000121390020011491/ea121545ex4-1_sustainable.htm" TargetMode="External"/><Relationship Id="rId22" Type="http://schemas.openxmlformats.org/officeDocument/2006/relationships/hyperlink" Target="https://www.sec.gov/Archives/edgar/data/1798562/000121390020011491/ea121545ex4-1_sustainable.htm" TargetMode="External"/><Relationship Id="rId23" Type="http://schemas.openxmlformats.org/officeDocument/2006/relationships/hyperlink" Target="https://www.sec.gov/Archives/edgar/data/1798562/000121390020011491/ea121545ex4-1_sustainable.htm" TargetMode="External"/><Relationship Id="rId24" Type="http://schemas.openxmlformats.org/officeDocument/2006/relationships/hyperlink" Target="https://www.sec.gov/Archives/edgar/data/1798562/000121390020011491/ea121545ex4-1_sustainable.htm" TargetMode="External"/><Relationship Id="rId25" Type="http://schemas.openxmlformats.org/officeDocument/2006/relationships/hyperlink" Target="https://www.sec.gov/Archives/edgar/data/1798562/000121390020011491/ea121545ex4-1_sustainable.htm" TargetMode="External"/><Relationship Id="rId26" Type="http://schemas.openxmlformats.org/officeDocument/2006/relationships/hyperlink" Target="https://www.sec.gov/Archives/edgar/data/1798562/000110465923091027/tm2323509d2_ex4-1.htm" TargetMode="External"/><Relationship Id="rId27" Type="http://schemas.openxmlformats.org/officeDocument/2006/relationships/hyperlink" Target="https://www.sec.gov/Archives/edgar/data/1798562/000110465923091027/tm2323509d2_ex4-1.htm" TargetMode="External"/><Relationship Id="rId28" Type="http://schemas.openxmlformats.org/officeDocument/2006/relationships/hyperlink" Target="https://www.sec.gov/Archives/edgar/data/1798562/000110465923091027/tm2323509d2_ex4-1.htm" TargetMode="External"/><Relationship Id="rId29" Type="http://schemas.openxmlformats.org/officeDocument/2006/relationships/hyperlink" Target="https://www.sec.gov/Archives/edgar/data/1798562/000110465923091027/tm2323509d2_ex4-1.htm" TargetMode="External"/><Relationship Id="rId30" Type="http://schemas.openxmlformats.org/officeDocument/2006/relationships/hyperlink" Target="https://www.sec.gov/Archives/edgar/data/1798562/000110465923091027/tm2323509d2_ex4-1.htm" TargetMode="External"/><Relationship Id="rId31" Type="http://schemas.openxmlformats.org/officeDocument/2006/relationships/hyperlink" Target="https://www.sec.gov/Archives/edgar/data/1798562/000110465924119790/tm2427511d3_ex4-1.htm" TargetMode="External"/><Relationship Id="rId32" Type="http://schemas.openxmlformats.org/officeDocument/2006/relationships/hyperlink" Target="https://www.sec.gov/Archives/edgar/data/1798562/000110465924119790/tm2427511d3_ex4-1.htm" TargetMode="External"/><Relationship Id="rId33" Type="http://schemas.openxmlformats.org/officeDocument/2006/relationships/hyperlink" Target="https://www.sec.gov/Archives/edgar/data/1798562/000110465924119790/tm2427511d3_ex4-1.htm" TargetMode="External"/><Relationship Id="rId34" Type="http://schemas.openxmlformats.org/officeDocument/2006/relationships/hyperlink" Target="https://www.sec.gov/Archives/edgar/data/1798562/000110465924119790/tm2427511d3_ex4-1.htm" TargetMode="External"/><Relationship Id="rId35" Type="http://schemas.openxmlformats.org/officeDocument/2006/relationships/hyperlink" Target="https://www.sec.gov/Archives/edgar/data/1798562/000110465924119790/tm2427511d3_ex4-1.htm" TargetMode="External"/><Relationship Id="rId36" Type="http://schemas.openxmlformats.org/officeDocument/2006/relationships/hyperlink" Target="https://www.sec.gov/Archives/edgar/data/1798562/000110465925060347/tm2518216d2_ex4-1.htm" TargetMode="External"/><Relationship Id="rId37" Type="http://schemas.openxmlformats.org/officeDocument/2006/relationships/hyperlink" Target="https://www.sec.gov/Archives/edgar/data/1798562/000110465925060347/tm2518216d2_ex4-1.htm" TargetMode="External"/><Relationship Id="rId38" Type="http://schemas.openxmlformats.org/officeDocument/2006/relationships/hyperlink" Target="https://www.sec.gov/Archives/edgar/data/1798562/000110465925060347/tm2518216d2_ex4-1.htm" TargetMode="External"/><Relationship Id="rId39" Type="http://schemas.openxmlformats.org/officeDocument/2006/relationships/hyperlink" Target="https://www.sec.gov/Archives/edgar/data/1798562/000110465925060347/tm2518216d2_ex4-1.htm" TargetMode="External"/><Relationship Id="rId40" Type="http://schemas.openxmlformats.org/officeDocument/2006/relationships/hyperlink" Target="https://www.sec.gov/Archives/edgar/data/1798562/000110465925060347/tm2518216d2_ex4-1.htm" TargetMode="External"/><Relationship Id="rId41" Type="http://schemas.openxmlformats.org/officeDocument/2006/relationships/hyperlink" Target="https://www.sec.gov/Archives/edgar/data/1798562/000110465925047373/tm2513980d1_ex4-1.htm" TargetMode="External"/><Relationship Id="rId42" Type="http://schemas.openxmlformats.org/officeDocument/2006/relationships/hyperlink" Target="https://www.sec.gov/Archives/edgar/data/1798562/000110465925047373/tm2513980d1_ex4-1.htm" TargetMode="External"/><Relationship Id="rId43" Type="http://schemas.openxmlformats.org/officeDocument/2006/relationships/hyperlink" Target="https://www.sec.gov/Archives/edgar/data/1798562/000110465925047373/tm2513980d1_ex4-1.htm" TargetMode="External"/><Relationship Id="rId44" Type="http://schemas.openxmlformats.org/officeDocument/2006/relationships/hyperlink" Target="https://www.sec.gov/Archives/edgar/data/1798562/000110465925047373/tm2513980d1_ex4-1.htm" TargetMode="External"/><Relationship Id="rId45" Type="http://schemas.openxmlformats.org/officeDocument/2006/relationships/hyperlink" Target="https://www.sec.gov/Archives/edgar/data/1798562/000110465925047373/tm2513980d1_ex4-1.htm" TargetMode="External"/><Relationship Id="rId46" Type="http://schemas.openxmlformats.org/officeDocument/2006/relationships/hyperlink" Target="https://www.sec.gov/Archives/edgar/data/1798562/000110465925056465/tm2516970d1_ex4-1.htm" TargetMode="External"/><Relationship Id="rId47" Type="http://schemas.openxmlformats.org/officeDocument/2006/relationships/hyperlink" Target="https://www.sec.gov/Archives/edgar/data/1798562/000110465925056465/tm2516970d1_ex4-1.htm" TargetMode="External"/><Relationship Id="rId48" Type="http://schemas.openxmlformats.org/officeDocument/2006/relationships/hyperlink" Target="https://www.sec.gov/Archives/edgar/data/1798562/000110465925056465/tm2516970d1_ex4-1.htm" TargetMode="External"/><Relationship Id="rId49" Type="http://schemas.openxmlformats.org/officeDocument/2006/relationships/hyperlink" Target="https://www.sec.gov/Archives/edgar/data/1798562/000110465925056465/tm2516970d1_ex4-1.htm" TargetMode="External"/><Relationship Id="rId50" Type="http://schemas.openxmlformats.org/officeDocument/2006/relationships/hyperlink" Target="https://www.sec.gov/Archives/edgar/data/1798562/000110465925056465/tm2516970d1_ex4-1.htm" TargetMode="External"/><Relationship Id="rId51" Type="http://schemas.openxmlformats.org/officeDocument/2006/relationships/hyperlink" Target="https://www.sec.gov/Archives/edgar/data/1798562/000110465925073359/tm2521867d2_ex4-1.htm" TargetMode="External"/><Relationship Id="rId52" Type="http://schemas.openxmlformats.org/officeDocument/2006/relationships/hyperlink" Target="https://www.sec.gov/Archives/edgar/data/1798562/000110465925073359/tm2521867d2_ex4-1.htm" TargetMode="External"/><Relationship Id="rId53" Type="http://schemas.openxmlformats.org/officeDocument/2006/relationships/hyperlink" Target="https://www.sec.gov/Archives/edgar/data/1798562/000110465925073359/tm2521867d2_ex4-1.htm" TargetMode="External"/><Relationship Id="rId54" Type="http://schemas.openxmlformats.org/officeDocument/2006/relationships/hyperlink" Target="https://www.sec.gov/Archives/edgar/data/1798562/000110465925073359/tm2521867d2_ex4-1.htm" TargetMode="External"/><Relationship Id="rId55" Type="http://schemas.openxmlformats.org/officeDocument/2006/relationships/hyperlink" Target="https://www.sec.gov/Archives/edgar/data/1798562/000110465925073359/tm2521867d2_ex4-1.htm" TargetMode="External"/><Relationship Id="rId56" Type="http://schemas.openxmlformats.org/officeDocument/2006/relationships/hyperlink" Target="https://www.sec.gov/Archives/edgar/data/1798562/000141057825001821/tmc-20250630xex4d4.htm" TargetMode="External"/><Relationship Id="rId57" Type="http://schemas.openxmlformats.org/officeDocument/2006/relationships/hyperlink" Target="https://www.sec.gov/Archives/edgar/data/1798562/000141057825001821/tmc-20250630xex4d4.htm" TargetMode="External"/><Relationship Id="rId58" Type="http://schemas.openxmlformats.org/officeDocument/2006/relationships/hyperlink" Target="https://www.sec.gov/Archives/edgar/data/1798562/000141057825001821/tmc-20250630xex4d4.htm" TargetMode="External"/><Relationship Id="rId59" Type="http://schemas.openxmlformats.org/officeDocument/2006/relationships/hyperlink" Target="https://www.sec.gov/Archives/edgar/data/1798562/000141057825001821/tmc-20250630xex4d4.htm" TargetMode="External"/><Relationship Id="rId60" Type="http://schemas.openxmlformats.org/officeDocument/2006/relationships/hyperlink" Target="https://www.sec.gov/Archives/edgar/data/1798562/000141057825001821/tmc-20250630xex4d4.htm" TargetMode="External"/><Relationship Id="rId61" Type="http://schemas.openxmlformats.org/officeDocument/2006/relationships/image" Target="media/image2.jpeg"/><Relationship Id="rId62" Type="http://schemas.openxmlformats.org/officeDocument/2006/relationships/image" Target="media/image3.jpeg"/><Relationship Id="rId63" Type="http://schemas.openxmlformats.org/officeDocument/2006/relationships/image" Target="media/image3.jpeg"/><Relationship Id="rId64" Type="http://schemas.openxmlformats.org/officeDocument/2006/relationships/image" Target="media/image4.jpeg"/><Relationship Id="rId65" Type="http://schemas.openxmlformats.org/officeDocument/2006/relationships/image" Target="media/image5.jpeg"/><Relationship Id="rId66" Type="http://schemas.openxmlformats.org/officeDocument/2006/relationships/image" Target="media/image5.jpeg"/><Relationship Id="rId67" Type="http://schemas.openxmlformats.org/officeDocument/2006/relationships/image" Target="media/image5.jpe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92131</Words>
  <Characters>471493</Characters>
  <CharactersWithSpaces>568498</CharactersWithSpaces>
  <Paragraphs>5950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