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TMC 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Jeremy Covino</w:t>
      </w:r>
    </w:p>
    <w:p>
      <w:pPr>
        <w:spacing w:after="0" w:line="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399 Park Avenue,</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756-3174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17,619,789.00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Zachary A. Wydra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17,619,789.00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17,619,789.00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87261Y106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17,619,789.00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17,619,789.00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901" w:orient="portrait"/>
          <w:cols w:equalWidth="0" w:num="1">
            <w:col w:w="11120"/>
          </w:cols>
          <w:pgMar w:left="360" w:top="110" w:right="419" w:bottom="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TMC Common Shares without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TMC the metals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1111 WEST HASTINGS STREET, 1111 WEST HASTINGS STREET, VANCOUVER, BRITISH COLUMBIA, CANADA , V6E 2J3.</w:t>
      </w: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sectPr>
          <w:pgSz w:w="11900" w:h="16901" w:orient="portrait"/>
          <w:cols w:equalWidth="0" w:num="2">
            <w:col w:w="620" w:space="320"/>
            <w:col w:w="10180"/>
          </w:cols>
          <w:pgMar w:left="360" w:top="110" w:right="419" w:bottom="0" w:gutter="0" w:footer="0" w:header="0"/>
          <w:type w:val="continuous"/>
        </w:sectPr>
      </w:pPr>
    </w:p>
    <w:p>
      <w:pPr>
        <w:ind w:left="940" w:right="620"/>
        <w:spacing w:after="0" w:line="253" w:lineRule="auto"/>
        <w:rPr>
          <w:sz w:val="20"/>
          <w:szCs w:val="20"/>
          <w:color w:val="auto"/>
        </w:rPr>
      </w:pPr>
      <w:r>
        <w:rPr>
          <w:rFonts w:ascii="Times New Roman" w:cs="Times New Roman" w:eastAsia="Times New Roman" w:hAnsi="Times New Roman"/>
          <w:sz w:val="21"/>
          <w:szCs w:val="21"/>
          <w:color w:val="auto"/>
        </w:rPr>
        <w:t>This Statement is filed by: (i) First Manhattan Co. LLC, an SEC-registered investment adviser; (ii) Zachary A. Wydra, Chief Executive Officer of First Manhattan Co. LLC and FMC Group Holdings, L.P. and the Portfolio</w:t>
      </w:r>
    </w:p>
    <w:p>
      <w:pPr>
        <w:spacing w:after="0" w:line="1" w:lineRule="exact"/>
        <w:rPr>
          <w:sz w:val="20"/>
          <w:szCs w:val="20"/>
          <w:color w:val="auto"/>
        </w:rPr>
      </w:pPr>
    </w:p>
    <w:p>
      <w:pPr>
        <w:ind w:left="940" w:right="120" w:hanging="932"/>
        <w:spacing w:after="0" w:line="235"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Manager of the Accounts (as defined below); (iii) First Manhattan Management LLC, the general partner of FMC Group Holdings, L.P.; and (iv) FMC Group Holdings, L.P., the parent holding company of First Manhattan Co. LLC (the "Reporting Persons").</w:t>
      </w:r>
    </w:p>
    <w:p>
      <w:pPr>
        <w:sectPr>
          <w:pgSz w:w="11900" w:h="16901" w:orient="portrait"/>
          <w:cols w:equalWidth="0" w:num="1">
            <w:col w:w="11120"/>
          </w:cols>
          <w:pgMar w:left="360" w:top="110" w:right="419"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The business address of each of the Reporting Persons is 399 Park Avenue, New York, New York 10022.</w:t>
      </w:r>
    </w:p>
    <w:p>
      <w:pPr>
        <w:spacing w:after="0" w:line="4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principal business of each of the Reporting Persons is providing investment advisory, wealth management, and related services.</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Mr. Wydra is a U.S. citizen. Each of the other Reporting Persons is an entity formed under the laws of the State of Delaware.</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Common Stock referred to in Item 5 is held in investment accounts, including accounts of advisory clients, partners, and employees of First Manhattan Co. LLC, over which First Manhattan Co. LLC and Mr. Wydra, as Portfolio Manager, have investment discretion (the "Accounts"). Accordingly, the Reporting Persons may be deemed to have voting and dispositive power over the Common Stock held in the Accounts. 4,137,286 shares of such Common Stock are owned by Mr. Wydra personally. The aggregate purchase price of the Common Stock referred to in Item 5 is $20,642,346 (the "Amount"), which were purchased using available funds in the Accounts or by a cashless stock option exercise.</w:t>
      </w:r>
    </w:p>
    <w:p>
      <w:pPr>
        <w:spacing w:after="0" w:line="21" w:lineRule="exact"/>
        <w:rPr>
          <w:sz w:val="20"/>
          <w:szCs w:val="20"/>
          <w:color w:val="auto"/>
        </w:rPr>
      </w:pPr>
    </w:p>
    <w:p>
      <w:pPr>
        <w:sectPr>
          <w:pgSz w:w="11900" w:h="16901" w:orient="portrait"/>
          <w:cols w:equalWidth="0" w:num="2">
            <w:col w:w="620" w:space="320"/>
            <w:col w:w="10180"/>
          </w:cols>
          <w:pgMar w:left="360" w:top="110" w:right="41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The Reporting Persons initially acquired the Common Stock because they believed that the Common Stock represented an attractive investment opportunity. On May 12, 2025, Mr. Wydra, the CEO of FMC Group Holdings L.P. and First Manhattan Co. LLC and the Portfolio Manager of the Accounts, became a Board Observer of the Board of Directors of the Issuer. As a result of this Board Observer position, Mr. Wydra expects to participate in discussions with management of the Issuer, the Board of Directors of the Issuer, other shareholders of the Issuer, and other relevant parties with respect to the Issuer's business, operations, strategy, and related matters. Depending upon, among other things, the outcome of the discussions referenced above, current and future trading prices for the shares of the Common Stock, the financial condition, results of operations and prospects of the Issuer and its businesses, other investment opportunities available to the Reporting Persons and the Accounts, conditions in the securities markets, general economic conditions, and other factors that the Reporting Persons deems relevant, the Reporting Persons may from time to time acquire additional shares of Common Stock and warrants or sell shares of Common Stock in the open market, in privately negotiated transactions or otherwise, and may take such other actions with respect to their investment in the Issuer as they may deem appropriate, including, without limitation, changing their intention with respect any of the matters enumerated in clauses (a) through (j) of Item 4 of Schedule 13D.</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aggregate number of shares of Common Stock to which this Statement relates is 17,619,789. Such shares of</w:t>
      </w:r>
    </w:p>
    <w:p>
      <w:pPr>
        <w:spacing w:after="0" w:line="14" w:lineRule="exact"/>
        <w:rPr>
          <w:sz w:val="20"/>
          <w:szCs w:val="20"/>
          <w:color w:val="auto"/>
        </w:rPr>
      </w:pPr>
    </w:p>
    <w:p>
      <w:pPr>
        <w:ind w:left="940" w:right="8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Common Stock constitute approximately 4.86% of the Issuer's currently outstanding Common Stock, based upon the 362,186,002 shares of Common Stock outstanding as of May 13, 2025 as reported in the Issuer's Annual Report on Form 10-Q for the period ended March 31, 2025 filed with the Securities and Exchange Commission.</w:t>
      </w:r>
    </w:p>
    <w:p>
      <w:pPr>
        <w:spacing w:after="0" w:line="18" w:lineRule="exact"/>
        <w:rPr>
          <w:rFonts w:ascii="Times New Roman" w:cs="Times New Roman" w:eastAsia="Times New Roman" w:hAnsi="Times New Roman"/>
          <w:sz w:val="42"/>
          <w:szCs w:val="42"/>
          <w:color w:val="auto"/>
          <w:vertAlign w:val="subscript"/>
        </w:rPr>
      </w:pPr>
    </w:p>
    <w:p>
      <w:pPr>
        <w:ind w:left="940" w:right="14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may be deemed to have shared voting power and shared dispositive power over the shares of Common Stock to which this Statement relates.</w:t>
      </w:r>
    </w:p>
    <w:p>
      <w:pPr>
        <w:spacing w:after="0" w:line="17" w:lineRule="exact"/>
        <w:rPr>
          <w:rFonts w:ascii="Times New Roman" w:cs="Times New Roman" w:eastAsia="Times New Roman" w:hAnsi="Times New Roman"/>
          <w:sz w:val="39"/>
          <w:szCs w:val="39"/>
          <w:color w:val="auto"/>
          <w:vertAlign w:val="subscript"/>
        </w:rPr>
      </w:pPr>
    </w:p>
    <w:p>
      <w:pPr>
        <w:ind w:left="940" w:right="9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Exhibit 2 hereto (which is incorporated by reference in this Item 5 as if restated in full herein) sets forth all transactions with respect to the Shares effected during the past 60 days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ultimate owners of the Accounts have the right to participate in the receipt of dividends from, or proceeds from</w:t>
      </w:r>
    </w:p>
    <w:p>
      <w:pPr>
        <w:spacing w:after="0" w:line="14" w:lineRule="exact"/>
        <w:rPr>
          <w:rFonts w:ascii="Times New Roman" w:cs="Times New Roman" w:eastAsia="Times New Roman" w:hAnsi="Times New Roman"/>
          <w:sz w:val="39"/>
          <w:szCs w:val="39"/>
          <w:color w:val="auto"/>
          <w:vertAlign w:val="subscript"/>
        </w:rPr>
      </w:pPr>
    </w:p>
    <w:p>
      <w:pPr>
        <w:ind w:left="940" w:right="1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shares of Common Stock to which this Statement relates in accordance with their respective interests in the Accounts.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ectPr>
          <w:pgSz w:w="11900" w:h="16901" w:orient="portrait"/>
          <w:cols w:equalWidth="0" w:num="1">
            <w:col w:w="11120"/>
          </w:cols>
          <w:pgMar w:left="360" w:top="110" w:right="419" w:bottom="0" w:gutter="0" w:footer="0" w:header="0"/>
          <w:type w:val="continuous"/>
        </w:sectPr>
      </w:pPr>
    </w:p>
    <w:bookmarkStart w:id="5" w:name="page6"/>
    <w:bookmarkEnd w:id="5"/>
    <w:p>
      <w:pPr>
        <w:ind w:left="940" w:right="320"/>
        <w:spacing w:after="0" w:line="238" w:lineRule="auto"/>
        <w:rPr>
          <w:sz w:val="20"/>
          <w:szCs w:val="20"/>
          <w:color w:val="auto"/>
        </w:rPr>
      </w:pPr>
      <w:r>
        <w:rPr>
          <w:rFonts w:ascii="Times New Roman" w:cs="Times New Roman" w:eastAsia="Times New Roman" w:hAnsi="Times New Roman"/>
          <w:sz w:val="22"/>
          <w:szCs w:val="22"/>
          <w:color w:val="auto"/>
        </w:rPr>
        <w:t>A Board Observer Agreement, dated May 12, 2025 between the Issuer and Mr. Wydra, details the terms of Mr. Wydra's Board Observer position ("Board Observer Agreement"). Certain agreements and undertakings by the Reporting Persons in connection with the purchase of the shares of Common Stock and warrants to which this Statement relates are set forth in Securities Purchase Agreements, dated August 14, 2023, November 15, 2024 and first amended November 26, 2024, with the Issuer.</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1380"/>
        <w:spacing w:after="0" w:line="249" w:lineRule="auto"/>
        <w:rPr>
          <w:sz w:val="20"/>
          <w:szCs w:val="20"/>
          <w:color w:val="auto"/>
        </w:rPr>
      </w:pPr>
      <w:r>
        <w:rPr>
          <w:rFonts w:ascii="Times New Roman" w:cs="Times New Roman" w:eastAsia="Times New Roman" w:hAnsi="Times New Roman"/>
          <w:sz w:val="21"/>
          <w:szCs w:val="21"/>
          <w:color w:val="auto"/>
        </w:rPr>
        <w:t>Exhibit 1: Agreement Joint Filing of Schedule 13D Exhibit 2: Transactions https://www.sec.gov/Archives/edgar/data/728083/000072808325000006/jointfilingagreement.htm https://www.sec.gov/Archives/edgar/data/728083/000072808325000006/boardobserveragreement.pdf https://www.sec.gov/Archives/edgar/data/1798562/000110465923091027/tm2323509d2_ex10-1.htm https://www.sec.gov/Archives/edgar/data/1798562/000110465924119790/tm2427511d3_ex10-1.htm https://www.sec.gov/Archives/edgar/data/1798562/000110465924119790/tm2427511d3_ex10-1.htm</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FIRST MANHATTAN CO.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Jeremy Covino</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Zachary A. Wydra</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Zachary A. Wydra</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FMC Group Holdings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First Manhattan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Aspen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06/23/2025</w:t>
      </w:r>
    </w:p>
    <w:p>
      <w:pPr>
        <w:sectPr>
          <w:pgSz w:w="11900" w:h="16838" w:orient="portrait"/>
          <w:cols w:equalWidth="0" w:num="1">
            <w:col w:w="11140"/>
          </w:cols>
          <w:pgMar w:left="360" w:top="166"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Exhibit 1: Agreement Joint Filing of Schedule 13D</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undersigned hereby agree to jointly prepare and file with regulatory authorities this Schedule 13D and any future amendments thereto reporting each of the undersigned’ ownership of securities of TMC the metals Co Inc. and hereby affirm this Schedule 13D is being filed on behalf of each of the undersigned pursuant to and in accordance with the provisions of Rule 13d-1(k) under the Securities Exchange Act of 1934. The undersigned acknowledge that each is responsible for the timely filing of such amendments, and for the completeness and accuracy of the information concerning the other, except to the extent that it or he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MANHATTAN CO. LLC.</w:t>
      </w:r>
    </w:p>
    <w:p>
      <w:pPr>
        <w:spacing w:after="0"/>
        <w:rPr>
          <w:sz w:val="20"/>
          <w:szCs w:val="20"/>
          <w:color w:val="auto"/>
        </w:rPr>
      </w:pPr>
      <w:r>
        <w:rPr>
          <w:rFonts w:ascii="Times New Roman" w:cs="Times New Roman" w:eastAsia="Times New Roman" w:hAnsi="Times New Roman"/>
          <w:sz w:val="20"/>
          <w:szCs w:val="20"/>
          <w:color w:val="auto"/>
        </w:rPr>
        <w:t>Signature: Jeremy Covino</w:t>
      </w:r>
    </w:p>
    <w:p>
      <w:pPr>
        <w:spacing w:after="0"/>
        <w:rPr>
          <w:sz w:val="20"/>
          <w:szCs w:val="20"/>
          <w:color w:val="auto"/>
        </w:rPr>
      </w:pPr>
      <w:r>
        <w:rPr>
          <w:rFonts w:ascii="Times New Roman" w:cs="Times New Roman" w:eastAsia="Times New Roman" w:hAnsi="Times New Roman"/>
          <w:sz w:val="20"/>
          <w:szCs w:val="20"/>
          <w:color w:val="auto"/>
        </w:rPr>
        <w:t>Name/Title: Chief Compliance Officer</w:t>
      </w:r>
    </w:p>
    <w:p>
      <w:pPr>
        <w:spacing w:after="0"/>
        <w:rPr>
          <w:sz w:val="20"/>
          <w:szCs w:val="20"/>
          <w:color w:val="auto"/>
        </w:rPr>
      </w:pPr>
      <w:r>
        <w:rPr>
          <w:rFonts w:ascii="Times New Roman" w:cs="Times New Roman" w:eastAsia="Times New Roman" w:hAnsi="Times New Roman"/>
          <w:sz w:val="20"/>
          <w:szCs w:val="20"/>
          <w:color w:val="auto"/>
        </w:rPr>
        <w:t>Date: 06/23/2025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FMC Group Holdings LP</w:t>
      </w:r>
    </w:p>
    <w:p>
      <w:pPr>
        <w:spacing w:after="0"/>
        <w:rPr>
          <w:sz w:val="20"/>
          <w:szCs w:val="20"/>
          <w:color w:val="auto"/>
        </w:rPr>
      </w:pPr>
      <w:r>
        <w:rPr>
          <w:rFonts w:ascii="Times New Roman" w:cs="Times New Roman" w:eastAsia="Times New Roman" w:hAnsi="Times New Roman"/>
          <w:sz w:val="20"/>
          <w:szCs w:val="20"/>
          <w:color w:val="auto"/>
        </w:rPr>
        <w:t>Signature: Andrew Aspen</w:t>
      </w:r>
    </w:p>
    <w:p>
      <w:pPr>
        <w:spacing w:after="0"/>
        <w:rPr>
          <w:sz w:val="20"/>
          <w:szCs w:val="20"/>
          <w:color w:val="auto"/>
        </w:rPr>
      </w:pPr>
      <w:r>
        <w:rPr>
          <w:rFonts w:ascii="Times New Roman" w:cs="Times New Roman" w:eastAsia="Times New Roman" w:hAnsi="Times New Roman"/>
          <w:sz w:val="20"/>
          <w:szCs w:val="20"/>
          <w:color w:val="auto"/>
        </w:rPr>
        <w:t>Name/Title: Authorized Signatory</w:t>
      </w:r>
    </w:p>
    <w:p>
      <w:pPr>
        <w:spacing w:after="0"/>
        <w:rPr>
          <w:sz w:val="20"/>
          <w:szCs w:val="20"/>
          <w:color w:val="auto"/>
        </w:rPr>
      </w:pPr>
      <w:r>
        <w:rPr>
          <w:rFonts w:ascii="Times New Roman" w:cs="Times New Roman" w:eastAsia="Times New Roman" w:hAnsi="Times New Roman"/>
          <w:sz w:val="20"/>
          <w:szCs w:val="20"/>
          <w:color w:val="auto"/>
        </w:rPr>
        <w:t>Date: 06/23/2025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rPr>
        <w:t>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Manhattan Management LLC</w:t>
      </w:r>
    </w:p>
    <w:p>
      <w:pPr>
        <w:spacing w:after="0"/>
        <w:rPr>
          <w:sz w:val="20"/>
          <w:szCs w:val="20"/>
          <w:color w:val="auto"/>
        </w:rPr>
      </w:pPr>
      <w:r>
        <w:rPr>
          <w:rFonts w:ascii="Times New Roman" w:cs="Times New Roman" w:eastAsia="Times New Roman" w:hAnsi="Times New Roman"/>
          <w:sz w:val="20"/>
          <w:szCs w:val="20"/>
          <w:color w:val="auto"/>
        </w:rPr>
        <w:t>Signature: Andrew Aspen</w:t>
      </w:r>
    </w:p>
    <w:p>
      <w:pPr>
        <w:spacing w:after="0"/>
        <w:rPr>
          <w:sz w:val="20"/>
          <w:szCs w:val="20"/>
          <w:color w:val="auto"/>
        </w:rPr>
      </w:pPr>
      <w:r>
        <w:rPr>
          <w:rFonts w:ascii="Times New Roman" w:cs="Times New Roman" w:eastAsia="Times New Roman" w:hAnsi="Times New Roman"/>
          <w:sz w:val="20"/>
          <w:szCs w:val="20"/>
          <w:color w:val="auto"/>
        </w:rPr>
        <w:t>Name/Title: Authorized Signatory</w:t>
      </w:r>
    </w:p>
    <w:p>
      <w:pPr>
        <w:spacing w:after="0"/>
        <w:rPr>
          <w:sz w:val="20"/>
          <w:szCs w:val="20"/>
          <w:color w:val="auto"/>
        </w:rPr>
      </w:pPr>
      <w:r>
        <w:rPr>
          <w:rFonts w:ascii="Times New Roman" w:cs="Times New Roman" w:eastAsia="Times New Roman" w:hAnsi="Times New Roman"/>
          <w:sz w:val="20"/>
          <w:szCs w:val="20"/>
          <w:color w:val="auto"/>
        </w:rPr>
        <w:t>Date: 06/23/2025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ZACHARY A. WYDRA</w:t>
      </w:r>
    </w:p>
    <w:p>
      <w:pPr>
        <w:spacing w:after="0"/>
        <w:rPr>
          <w:sz w:val="20"/>
          <w:szCs w:val="20"/>
          <w:color w:val="auto"/>
        </w:rPr>
      </w:pPr>
      <w:r>
        <w:rPr>
          <w:rFonts w:ascii="Times New Roman" w:cs="Times New Roman" w:eastAsia="Times New Roman" w:hAnsi="Times New Roman"/>
          <w:sz w:val="20"/>
          <w:szCs w:val="20"/>
          <w:color w:val="auto"/>
        </w:rPr>
        <w:t>Signature: Zachary A. Wydra</w:t>
      </w:r>
    </w:p>
    <w:p>
      <w:pPr>
        <w:spacing w:after="0"/>
        <w:rPr>
          <w:sz w:val="20"/>
          <w:szCs w:val="20"/>
          <w:color w:val="auto"/>
        </w:rPr>
      </w:pPr>
      <w:r>
        <w:rPr>
          <w:rFonts w:ascii="Times New Roman" w:cs="Times New Roman" w:eastAsia="Times New Roman" w:hAnsi="Times New Roman"/>
          <w:sz w:val="20"/>
          <w:szCs w:val="20"/>
          <w:color w:val="auto"/>
        </w:rPr>
        <w:t>Date: 06/23/2025</w:t>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sets forth all transactions with respect to the shares effected during the past 60 days by any of the Reporting Persons. Except as otherwise noted, all such transactions in the table were effected in the open market, and the table includes commissions paid in per share prices.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Date of Transaction</w:t>
            </w:r>
          </w:p>
        </w:tc>
        <w:tc>
          <w:tcPr>
            <w:tcW w:w="3700" w:type="dxa"/>
            <w:vAlign w:val="bottom"/>
            <w:tcBorders>
              <w:top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Shares Purchased (Sold)</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Price Per Share ($)</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05/19/2025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4.46</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05/21/2025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(279,425)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05/22/2025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(538,800)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4.35</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05/23/2025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(1,313,750)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4.44</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05/27/2025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(350,000)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4.80</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06/02/2025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(55,500)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4.49</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06/03/2025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(26,800)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4.51</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06/09/2025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(96,700)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4.10</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06/10/2025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(71,000)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4.10</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06/18/2025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7.12</w:t>
            </w:r>
          </w:p>
        </w:tc>
      </w:tr>
      <w:tr>
        <w:trPr>
          <w:trHeight w:val="331"/>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06/18/2025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*(1,393,929)</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6.70</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were not sold in the open market but were retained by the Company through a cashless stock option exercise.</w:t>
      </w:r>
    </w:p>
    <w:sectPr>
      <w:pgSz w:w="11900" w:h="16838" w:orient="portrait"/>
      <w:cols w:equalWidth="0" w:num="1">
        <w:col w:w="11240"/>
      </w:cols>
      <w:pgMar w:left="320" w:top="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2025-06-23T15:30:32Z</dcterms:created>
  <dcterms:modified xsi:type="dcterms:W3CDTF">2025-06-23T15:30:32Z</dcterms:modified>
</cp:coreProperties>
</file>