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531198d1_8k.htm"/>
      <w:bookmarkStart w:id="1" w:name="kstm2531198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8_edei--DocumentType_c20251113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 of the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November 13, 2025</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1_edei--EntityRegistrantName_dxL_c"/>
      <w:bookmarkEnd w:id="4"/>
      <w:r>
        <w:rPr>
          <w:rFonts w:ascii="Times New Roman;Times;Serif" w:hAnsi="Times New Roman;Times;Serif"/>
          <w:b/>
          <w:i w:val="false"/>
          <w:caps w:val="false"/>
          <w:smallCaps w:val="false"/>
          <w:sz w:val="36"/>
        </w:rPr>
        <w:t>TMC THE METALS COMPANY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185" w:type="dxa"/>
        <w:jc w:val="left"/>
        <w:tblInd w:w="0" w:type="dxa"/>
        <w:tblLayout w:type="fixed"/>
        <w:tblCellMar>
          <w:top w:w="0" w:type="dxa"/>
          <w:left w:w="0" w:type="dxa"/>
          <w:bottom w:w="0" w:type="dxa"/>
          <w:right w:w="0" w:type="dxa"/>
        </w:tblCellMar>
      </w:tblPr>
      <w:tblGrid>
        <w:gridCol w:w="2795"/>
        <w:gridCol w:w="2615"/>
        <w:gridCol w:w="1775"/>
      </w:tblGrid>
      <w:tr>
        <w:trPr/>
        <w:tc>
          <w:tcPr>
            <w:tcW w:w="2795" w:type="dxa"/>
            <w:tcBorders/>
            <w:vAlign w:val="center"/>
          </w:tcPr>
          <w:p>
            <w:pPr>
              <w:pStyle w:val="TableContents"/>
              <w:bidi w:val="0"/>
              <w:spacing w:before="0" w:after="283"/>
              <w:jc w:val="center"/>
              <w:rPr>
                <w:b/>
              </w:rPr>
            </w:pPr>
            <w:bookmarkStart w:id="5" w:name="xdx_90E_edei--EntityIncorporationStateCo"/>
            <w:bookmarkEnd w:id="5"/>
            <w:r>
              <w:rPr>
                <w:b/>
              </w:rPr>
              <w:t>British Columbia, Canada</w:t>
            </w:r>
          </w:p>
        </w:tc>
        <w:tc>
          <w:tcPr>
            <w:tcW w:w="2615" w:type="dxa"/>
            <w:tcBorders/>
            <w:vAlign w:val="center"/>
          </w:tcPr>
          <w:p>
            <w:pPr>
              <w:pStyle w:val="TableContents"/>
              <w:bidi w:val="0"/>
              <w:spacing w:before="0" w:after="283"/>
              <w:jc w:val="center"/>
              <w:rPr>
                <w:b/>
              </w:rPr>
            </w:pPr>
            <w:bookmarkStart w:id="6" w:name="xdx_904_edei--EntityFileNumber_c20251113"/>
            <w:bookmarkEnd w:id="6"/>
            <w:r>
              <w:rPr>
                <w:b/>
              </w:rPr>
              <w:t>001-39281</w:t>
            </w:r>
          </w:p>
        </w:tc>
        <w:tc>
          <w:tcPr>
            <w:tcW w:w="1775" w:type="dxa"/>
            <w:tcBorders/>
            <w:vAlign w:val="center"/>
          </w:tcPr>
          <w:p>
            <w:pPr>
              <w:pStyle w:val="TableContents"/>
              <w:bidi w:val="0"/>
              <w:spacing w:before="0" w:after="283"/>
              <w:jc w:val="center"/>
              <w:rPr>
                <w:b/>
              </w:rPr>
            </w:pPr>
            <w:bookmarkStart w:id="7" w:name="xdx_90A_edei--EntityTaxIdentificationNum"/>
            <w:bookmarkEnd w:id="7"/>
            <w:r>
              <w:rPr>
                <w:b/>
              </w:rPr>
              <w:t>Not Applicable</w:t>
            </w:r>
          </w:p>
        </w:tc>
      </w:tr>
      <w:tr>
        <w:trPr/>
        <w:tc>
          <w:tcPr>
            <w:tcW w:w="2795" w:type="dxa"/>
            <w:tcBorders/>
            <w:vAlign w:val="center"/>
          </w:tcPr>
          <w:p>
            <w:pPr>
              <w:pStyle w:val="TableContents"/>
              <w:bidi w:val="0"/>
              <w:spacing w:before="0" w:after="283"/>
              <w:jc w:val="center"/>
              <w:rPr/>
            </w:pPr>
            <w:r>
              <w:rPr/>
              <w:t xml:space="preserve">(State or other jurisdiction of </w:t>
              <w:br/>
              <w:t>incorporation)</w:t>
            </w:r>
          </w:p>
        </w:tc>
        <w:tc>
          <w:tcPr>
            <w:tcW w:w="2615" w:type="dxa"/>
            <w:tcBorders/>
            <w:vAlign w:val="center"/>
          </w:tcPr>
          <w:p>
            <w:pPr>
              <w:pStyle w:val="TableContents"/>
              <w:bidi w:val="0"/>
              <w:spacing w:before="0" w:after="283"/>
              <w:jc w:val="center"/>
              <w:rPr/>
            </w:pPr>
            <w:r>
              <w:rPr/>
              <w:t>(Commission File Number)</w:t>
            </w:r>
          </w:p>
        </w:tc>
        <w:tc>
          <w:tcPr>
            <w:tcW w:w="1775" w:type="dxa"/>
            <w:tcBorders/>
            <w:vAlign w:val="center"/>
          </w:tcPr>
          <w:p>
            <w:pPr>
              <w:pStyle w:val="TableContents"/>
              <w:bidi w:val="0"/>
              <w:spacing w:before="0" w:after="283"/>
              <w:jc w:val="center"/>
              <w:rPr/>
            </w:pPr>
            <w:r>
              <w:rPr/>
              <w:t xml:space="preserve">(IRS Employer </w:t>
              <w:br/>
              <w:t>Identification No.)</w:t>
            </w:r>
          </w:p>
        </w:tc>
      </w:tr>
    </w:tbl>
    <w:p>
      <w:pPr>
        <w:pStyle w:val="TextBody"/>
        <w:bidi w:val="0"/>
        <w:spacing w:before="0" w:after="283"/>
        <w:jc w:val="left"/>
        <w:rPr/>
      </w:pPr>
      <w:r>
        <w:rPr/>
        <w:t> </w:t>
      </w:r>
    </w:p>
    <w:tbl>
      <w:tblPr>
        <w:tblW w:w="5005" w:type="dxa"/>
        <w:jc w:val="left"/>
        <w:tblInd w:w="0" w:type="dxa"/>
        <w:tblLayout w:type="fixed"/>
        <w:tblCellMar>
          <w:top w:w="0" w:type="dxa"/>
          <w:left w:w="0" w:type="dxa"/>
          <w:bottom w:w="0" w:type="dxa"/>
          <w:right w:w="0" w:type="dxa"/>
        </w:tblCellMar>
      </w:tblPr>
      <w:tblGrid>
        <w:gridCol w:w="3860"/>
        <w:gridCol w:w="60"/>
        <w:gridCol w:w="1085"/>
      </w:tblGrid>
      <w:tr>
        <w:trPr/>
        <w:tc>
          <w:tcPr>
            <w:tcW w:w="3860" w:type="dxa"/>
            <w:tcBorders/>
            <w:vAlign w:val="center"/>
          </w:tcPr>
          <w:p>
            <w:pPr>
              <w:pStyle w:val="TableContents"/>
              <w:bidi w:val="0"/>
              <w:spacing w:before="0" w:after="283"/>
              <w:jc w:val="center"/>
              <w:rPr/>
            </w:pPr>
            <w:bookmarkStart w:id="8" w:name="xdx_90C_edei--EntityAddressAddressLine1_"/>
            <w:bookmarkEnd w:id="8"/>
            <w:r>
              <w:rPr>
                <w:b/>
              </w:rPr>
              <w:t xml:space="preserve">1111 West Hastings Street, </w:t>
            </w:r>
            <w:bookmarkStart w:id="9" w:name="xdx_90E_edei--EntityAddressAddressLine2_"/>
            <w:bookmarkEnd w:id="9"/>
            <w:r>
              <w:rPr>
                <w:b/>
              </w:rPr>
              <w:t>15th Floor</w:t>
              <w:br/>
            </w:r>
            <w:bookmarkStart w:id="10" w:name="xdx_902_edei--EntityAddressCityOrTown_c2"/>
            <w:bookmarkEnd w:id="10"/>
            <w:r>
              <w:rPr>
                <w:b/>
              </w:rPr>
              <w:t xml:space="preserve">Vancouver, </w:t>
            </w:r>
            <w:bookmarkStart w:id="11" w:name="xdx_902_edei--EntityAddressStateOrProvin"/>
            <w:bookmarkEnd w:id="11"/>
            <w:r>
              <w:rPr>
                <w:b/>
              </w:rPr>
              <w:t>British Columbia</w:t>
            </w:r>
            <w:r>
              <w:rPr/>
              <w:br/>
              <w:t>(Address of principal executive</w:t>
              <w:br/>
              <w:t>offices)</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bookmarkStart w:id="12" w:name="xdx_90A_edei--EntityAddressPostalZipCode"/>
            <w:bookmarkEnd w:id="12"/>
            <w:r>
              <w:rPr>
                <w:b/>
              </w:rPr>
              <w:t>V6E 2J3</w:t>
            </w:r>
            <w:r>
              <w:rPr/>
              <w:b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A_edei--CityAreaCode_c20251113__20"/>
      <w:bookmarkEnd w:id="13"/>
      <w:r>
        <w:rPr>
          <w:rFonts w:ascii="Times New Roman;Times;Serif" w:hAnsi="Times New Roman;Times;Serif"/>
          <w:b/>
          <w:i w:val="false"/>
          <w:caps w:val="false"/>
          <w:smallCaps w:val="false"/>
          <w:sz w:val="20"/>
        </w:rPr>
        <w:t xml:space="preserve">888) </w:t>
      </w:r>
      <w:bookmarkStart w:id="14" w:name="xdx_900_edei--LocalPhoneNumber_c20251113"/>
      <w:bookmarkEnd w:id="14"/>
      <w:r>
        <w:rPr>
          <w:rFonts w:ascii="Times New Roman;Times;Serif" w:hAnsi="Times New Roman;Times;Serif"/>
          <w:b/>
          <w:i w:val="false"/>
          <w:caps w:val="false"/>
          <w:smallCaps w:val="false"/>
          <w:sz w:val="20"/>
        </w:rPr>
        <w:t>458-3420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 applicable</w:t>
      </w:r>
      <w:r>
        <w:rPr>
          <w:rFonts w:ascii="Times New Roman;Times;Serif" w:hAnsi="Times New Roman;Times;Serif"/>
          <w:b w:val="false"/>
          <w:i w:val="false"/>
          <w:caps w:val="false"/>
          <w:smallCaps w:val="false"/>
          <w:sz w:val="20"/>
        </w:rPr>
        <w:b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5" w:name="xdx_900_edei--WrittenCommunications_c202"/>
            <w:bookmarkEnd w:id="15"/>
            <w:r>
              <w:rPr>
                <w:caps w:val="false"/>
                <w:smallCaps w:val="false"/>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6" w:name="xdx_90E_edei--SolicitingMaterial_c202511"/>
            <w:bookmarkEnd w:id="16"/>
            <w:r>
              <w:rPr>
                <w:caps w:val="false"/>
                <w:smallCaps w:val="false"/>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7" w:name="xdx_90F_edei--PreCommencementTenderOffer"/>
            <w:bookmarkEnd w:id="17"/>
            <w:r>
              <w:rPr>
                <w:caps w:val="false"/>
                <w:smallCaps w:val="false"/>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8" w:name="xdx_90E_edei--PreCommencementIssuerTende"/>
            <w:bookmarkEnd w:id="18"/>
            <w:r>
              <w:rPr>
                <w:caps w:val="false"/>
                <w:smallCaps w:val="false"/>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46"/>
        <w:gridCol w:w="60"/>
        <w:gridCol w:w="844"/>
        <w:gridCol w:w="60"/>
        <w:gridCol w:w="1995"/>
      </w:tblGrid>
      <w:tr>
        <w:trPr/>
        <w:tc>
          <w:tcPr>
            <w:tcW w:w="724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4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w:t>
              <w:br/>
              <w:t>Symbol(s)</w:t>
            </w:r>
          </w:p>
        </w:tc>
        <w:tc>
          <w:tcPr>
            <w:tcW w:w="60" w:type="dxa"/>
            <w:tcBorders/>
            <w:tcMar>
              <w:bottom w:w="0" w:type="dxa"/>
            </w:tcMar>
            <w:vAlign w:val="center"/>
          </w:tcPr>
          <w:p>
            <w:pPr>
              <w:pStyle w:val="TableContents"/>
              <w:bidi w:val="0"/>
              <w:spacing w:before="0" w:after="283"/>
              <w:jc w:val="left"/>
              <w:rPr/>
            </w:pPr>
            <w:r>
              <w:rPr/>
              <w:t> </w:t>
            </w:r>
          </w:p>
        </w:tc>
        <w:tc>
          <w:tcPr>
            <w:tcW w:w="199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w:t>
              <w:br/>
              <w:t>exchange on</w:t>
              <w:br/>
              <w:t>which registered</w:t>
            </w:r>
          </w:p>
        </w:tc>
      </w:tr>
      <w:tr>
        <w:trPr/>
        <w:tc>
          <w:tcPr>
            <w:tcW w:w="724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B_edei--Security12bTitle_c20251113"/>
            <w:bookmarkEnd w:id="19"/>
            <w:r>
              <w:rPr>
                <w:rFonts w:ascii="Times New Roman;Times;Serif" w:hAnsi="Times New Roman;Times;Serif"/>
                <w:b w:val="false"/>
                <w:i w:val="false"/>
                <w:caps w:val="false"/>
                <w:smallCaps w:val="false"/>
                <w:sz w:val="20"/>
              </w:rPr>
              <w:t>TMC Common Shares without par value</w:t>
            </w:r>
          </w:p>
        </w:tc>
        <w:tc>
          <w:tcPr>
            <w:tcW w:w="60" w:type="dxa"/>
            <w:tcBorders/>
            <w:tcMar>
              <w:bottom w:w="0" w:type="dxa"/>
            </w:tcMar>
            <w:vAlign w:val="center"/>
          </w:tcPr>
          <w:p>
            <w:pPr>
              <w:pStyle w:val="TableContents"/>
              <w:bidi w:val="0"/>
              <w:spacing w:before="0" w:after="283"/>
              <w:jc w:val="left"/>
              <w:rPr/>
            </w:pPr>
            <w:r>
              <w:rPr/>
              <w:t> </w:t>
            </w:r>
          </w:p>
        </w:tc>
        <w:tc>
          <w:tcPr>
            <w:tcW w:w="84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8_edei--TradingSymbol_c20251113__2"/>
            <w:bookmarkEnd w:id="20"/>
            <w:r>
              <w:rPr>
                <w:rFonts w:ascii="Times New Roman;Times;Serif" w:hAnsi="Times New Roman;Times;Serif"/>
                <w:b w:val="false"/>
                <w:i w:val="false"/>
                <w:caps w:val="false"/>
                <w:smallCaps w:val="false"/>
                <w:sz w:val="20"/>
              </w:rPr>
              <w:t>TMC</w:t>
            </w:r>
          </w:p>
        </w:tc>
        <w:tc>
          <w:tcPr>
            <w:tcW w:w="60" w:type="dxa"/>
            <w:tcBorders/>
            <w:tcMar>
              <w:bottom w:w="0" w:type="dxa"/>
            </w:tcMar>
            <w:vAlign w:val="center"/>
          </w:tcPr>
          <w:p>
            <w:pPr>
              <w:pStyle w:val="TableContents"/>
              <w:bidi w:val="0"/>
              <w:spacing w:before="0" w:after="283"/>
              <w:jc w:val="left"/>
              <w:rPr/>
            </w:pPr>
            <w:r>
              <w:rPr/>
              <w:t> </w:t>
            </w:r>
          </w:p>
        </w:tc>
        <w:tc>
          <w:tcPr>
            <w:tcW w:w="1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4_edei--SecurityExchangeName_c2025"/>
            <w:bookmarkEnd w:id="21"/>
            <w:r>
              <w:rPr>
                <w:rFonts w:ascii="Times New Roman;Times;Serif" w:hAnsi="Times New Roman;Times;Serif"/>
                <w:b w:val="false"/>
                <w:i w:val="false"/>
                <w:caps w:val="false"/>
                <w:smallCaps w:val="false"/>
                <w:sz w:val="20"/>
              </w:rPr>
              <w:t>The Nasdaq Stock Market LLC</w:t>
            </w:r>
          </w:p>
        </w:tc>
      </w:tr>
      <w:tr>
        <w:trPr/>
        <w:tc>
          <w:tcPr>
            <w:tcW w:w="724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B_edei--Security12bTitle_c20251113"/>
            <w:bookmarkEnd w:id="22"/>
            <w:r>
              <w:rPr>
                <w:rFonts w:ascii="Times New Roman;Times;Serif" w:hAnsi="Times New Roman;Times;Serif"/>
                <w:b w:val="false"/>
                <w:i w:val="false"/>
                <w:caps w:val="false"/>
                <w:smallCaps w:val="false"/>
                <w:sz w:val="20"/>
              </w:rPr>
              <w:t>Redeemable warrants, each whole warrant exercisable for one TMC Common Share, each at an exercise price of $11.50 per share</w:t>
            </w:r>
          </w:p>
        </w:tc>
        <w:tc>
          <w:tcPr>
            <w:tcW w:w="60" w:type="dxa"/>
            <w:tcBorders/>
            <w:tcMar>
              <w:bottom w:w="0" w:type="dxa"/>
            </w:tcMar>
            <w:vAlign w:val="center"/>
          </w:tcPr>
          <w:p>
            <w:pPr>
              <w:pStyle w:val="TableContents"/>
              <w:bidi w:val="0"/>
              <w:spacing w:before="0" w:after="283"/>
              <w:jc w:val="left"/>
              <w:rPr/>
            </w:pPr>
            <w:r>
              <w:rPr/>
              <w:t> </w:t>
            </w:r>
          </w:p>
        </w:tc>
        <w:tc>
          <w:tcPr>
            <w:tcW w:w="84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9_edei--TradingSymbol_c20251113__2"/>
            <w:bookmarkEnd w:id="23"/>
            <w:r>
              <w:rPr>
                <w:rFonts w:ascii="Times New Roman;Times;Serif" w:hAnsi="Times New Roman;Times;Serif"/>
                <w:b w:val="false"/>
                <w:i w:val="false"/>
                <w:caps w:val="false"/>
                <w:smallCaps w:val="false"/>
                <w:sz w:val="20"/>
              </w:rPr>
              <w:t>TMCWW</w:t>
            </w:r>
          </w:p>
        </w:tc>
        <w:tc>
          <w:tcPr>
            <w:tcW w:w="60" w:type="dxa"/>
            <w:tcBorders/>
            <w:tcMar>
              <w:bottom w:w="0" w:type="dxa"/>
            </w:tcMar>
            <w:vAlign w:val="center"/>
          </w:tcPr>
          <w:p>
            <w:pPr>
              <w:pStyle w:val="TableContents"/>
              <w:bidi w:val="0"/>
              <w:spacing w:before="0" w:after="283"/>
              <w:jc w:val="left"/>
              <w:rPr/>
            </w:pPr>
            <w:r>
              <w:rPr/>
              <w:t> </w:t>
            </w:r>
          </w:p>
        </w:tc>
        <w:tc>
          <w:tcPr>
            <w:tcW w:w="1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E_edei--SecurityExchangeName_c2025"/>
            <w:bookmarkEnd w:id="24"/>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F_edei--EntityEmergingGrowthCompan"/>
      <w:bookmarkEnd w:id="25"/>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B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shd w:fill="FFFFFF" w:val="clear"/>
        <w:tblLayout w:type="fixed"/>
        <w:tblCellMar>
          <w:top w:w="0" w:type="dxa"/>
          <w:left w:w="0" w:type="dxa"/>
          <w:bottom w:w="0" w:type="dxa"/>
          <w:right w:w="0" w:type="dxa"/>
        </w:tblCellMar>
      </w:tblPr>
      <w:tblGrid>
        <w:gridCol w:w="875"/>
        <w:gridCol w:w="3980"/>
      </w:tblGrid>
      <w:tr>
        <w:trPr/>
        <w:tc>
          <w:tcPr>
            <w:tcW w:w="875" w:type="dxa"/>
            <w:tcBorders/>
            <w:shd w:fill="FFFFFF" w:val="clear"/>
            <w:vAlign w:val="center"/>
          </w:tcPr>
          <w:p>
            <w:pPr>
              <w:pStyle w:val="TableContents"/>
              <w:bidi w:val="0"/>
              <w:spacing w:before="0" w:after="283"/>
              <w:jc w:val="left"/>
              <w:rPr>
                <w:b/>
                <w:sz w:val="20"/>
              </w:rPr>
            </w:pPr>
            <w:r>
              <w:rPr>
                <w:b/>
                <w:sz w:val="20"/>
              </w:rPr>
              <w:t>Item 2.02.</w:t>
            </w:r>
          </w:p>
        </w:tc>
        <w:tc>
          <w:tcPr>
            <w:tcW w:w="3980" w:type="dxa"/>
            <w:tcBorders/>
            <w:shd w:fill="FFFFFF" w:val="clear"/>
            <w:vAlign w:val="center"/>
          </w:tcPr>
          <w:p>
            <w:pPr>
              <w:pStyle w:val="TableContents"/>
              <w:bidi w:val="0"/>
              <w:spacing w:before="0" w:after="283"/>
              <w:jc w:val="left"/>
              <w:rPr>
                <w:b/>
                <w:sz w:val="20"/>
              </w:rPr>
            </w:pPr>
            <w:r>
              <w:rPr>
                <w:b/>
                <w:sz w:val="20"/>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13, 2025, TMC the metals company Inc. (the “Company”) issued a press release announcing its results for the third quarter ended September 30, 2025 and providing a business update. A copy of the press release is furnished as Exhibit 99.1 hereto. In addition, the Company will hold a conference call on November 13, 2025 at 4:30 p.m. ET to discuss these results and the business update.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Cautionary Note Regarding Forward-Looking Statements</w:t>
      </w:r>
      <w:r>
        <w:rPr>
          <w:rFonts w:ascii="Times New Roman;Times;Serif" w:hAnsi="Times New Roman;Times;Serif"/>
          <w:b w:val="false"/>
          <w:i w:val="false"/>
          <w:caps w:val="false"/>
          <w:smallCaps w:val="false"/>
          <w:sz w:val="20"/>
        </w:rPr>
        <w:t>. Except for historical information contained in the press release attached as an exhibit hereto, the press release contains forward-looking statements which involve certain risks and uncertainties that could cause actual results to differ materially from those expressed or implied by these statements. Please refer to the cautionary note in the press release regarding these forward-looking statements.</w:t>
      </w:r>
    </w:p>
    <w:p>
      <w:pPr>
        <w:pStyle w:val="TextBody"/>
        <w:bidi w:val="0"/>
        <w:spacing w:before="0" w:after="0"/>
        <w:ind w:left="0" w:right="0" w:firstLine="360"/>
        <w:jc w:val="left"/>
        <w:rPr>
          <w:caps w:val="false"/>
          <w:smallCaps w:val="false"/>
        </w:rPr>
      </w:pPr>
      <w:r>
        <w:rPr>
          <w:caps w:val="false"/>
          <w:smallCaps w:val="false"/>
        </w:rPr>
        <w:t> </w:t>
      </w:r>
    </w:p>
    <w:tbl>
      <w:tblPr>
        <w:tblW w:w="3835" w:type="dxa"/>
        <w:jc w:val="left"/>
        <w:tblInd w:w="0" w:type="dxa"/>
        <w:shd w:fill="FFFFFF" w:val="clear"/>
        <w:tblLayout w:type="fixed"/>
        <w:tblCellMar>
          <w:top w:w="0" w:type="dxa"/>
          <w:left w:w="0" w:type="dxa"/>
          <w:bottom w:w="0" w:type="dxa"/>
          <w:right w:w="0" w:type="dxa"/>
        </w:tblCellMar>
      </w:tblPr>
      <w:tblGrid>
        <w:gridCol w:w="875"/>
        <w:gridCol w:w="2960"/>
      </w:tblGrid>
      <w:tr>
        <w:trPr/>
        <w:tc>
          <w:tcPr>
            <w:tcW w:w="875" w:type="dxa"/>
            <w:tcBorders/>
            <w:shd w:fill="FFFFFF" w:val="clear"/>
            <w:vAlign w:val="center"/>
          </w:tcPr>
          <w:p>
            <w:pPr>
              <w:pStyle w:val="TableContents"/>
              <w:bidi w:val="0"/>
              <w:spacing w:before="0" w:after="283"/>
              <w:jc w:val="left"/>
              <w:rPr>
                <w:b/>
                <w:sz w:val="20"/>
              </w:rPr>
            </w:pPr>
            <w:r>
              <w:rPr>
                <w:b/>
                <w:sz w:val="20"/>
              </w:rPr>
              <w:t>Item 9.01.</w:t>
            </w:r>
          </w:p>
        </w:tc>
        <w:tc>
          <w:tcPr>
            <w:tcW w:w="2960" w:type="dxa"/>
            <w:tcBorders/>
            <w:shd w:fill="FFFFFF" w:val="clear"/>
            <w:vAlign w:val="center"/>
          </w:tcPr>
          <w:p>
            <w:pPr>
              <w:pStyle w:val="TableContents"/>
              <w:bidi w:val="0"/>
              <w:spacing w:before="0" w:after="283"/>
              <w:jc w:val="both"/>
              <w:rPr>
                <w:b/>
                <w:sz w:val="20"/>
              </w:rPr>
            </w:pPr>
            <w:r>
              <w:rPr>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1205"/>
        <w:gridCol w:w="7625"/>
      </w:tblGrid>
      <w:tr>
        <w:trPr/>
        <w:tc>
          <w:tcPr>
            <w:tcW w:w="1205" w:type="dxa"/>
            <w:tcBorders/>
            <w:vAlign w:val="center"/>
          </w:tcPr>
          <w:p>
            <w:pPr>
              <w:pStyle w:val="TableContents"/>
              <w:bidi w:val="0"/>
              <w:spacing w:before="0" w:after="283"/>
              <w:jc w:val="left"/>
              <w:rPr>
                <w:b/>
              </w:rPr>
            </w:pPr>
            <w:r>
              <w:rPr>
                <w:b/>
              </w:rPr>
              <w:t>Exhibit No.</w:t>
            </w:r>
          </w:p>
        </w:tc>
        <w:tc>
          <w:tcPr>
            <w:tcW w:w="7625" w:type="dxa"/>
            <w:tcBorders/>
            <w:vAlign w:val="center"/>
          </w:tcPr>
          <w:p>
            <w:pPr>
              <w:pStyle w:val="TableContents"/>
              <w:bidi w:val="0"/>
              <w:spacing w:before="0" w:after="283"/>
              <w:jc w:val="left"/>
              <w:rPr>
                <w:b/>
              </w:rPr>
            </w:pPr>
            <w:r>
              <w:rPr>
                <w:b/>
              </w:rPr>
              <w:t>Description</w:t>
            </w:r>
          </w:p>
        </w:tc>
      </w:tr>
      <w:tr>
        <w:trPr/>
        <w:tc>
          <w:tcPr>
            <w:tcW w:w="1205"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hyperlink w:anchor="tm2531198d1_ex99-1.htm">
              <w:r>
                <w:rPr>
                  <w:rStyle w:val="InternetLink"/>
                  <w:color w:val="0000EE"/>
                  <w:u w:val="single"/>
                </w:rPr>
                <w:t>99.1</w:t>
              </w:r>
            </w:hyperlink>
          </w:p>
        </w:tc>
        <w:tc>
          <w:tcPr>
            <w:tcW w:w="7625" w:type="dxa"/>
            <w:tcBorders/>
            <w:vAlign w:val="center"/>
          </w:tcPr>
          <w:p>
            <w:pPr>
              <w:pStyle w:val="TableContents"/>
              <w:bidi w:val="0"/>
              <w:spacing w:before="0" w:after="283"/>
              <w:jc w:val="left"/>
              <w:rPr/>
            </w:pPr>
            <w:hyperlink w:anchor="tm2531198d1_ex99-1.htm">
              <w:r>
                <w:rPr>
                  <w:rStyle w:val="InternetLink"/>
                  <w:color w:val="0000EE"/>
                  <w:u w:val="single"/>
                </w:rPr>
                <w:t>Press Release dated November 13, 2025</w:t>
              </w:r>
            </w:hyperlink>
          </w:p>
        </w:tc>
      </w:tr>
      <w:tr>
        <w:trPr/>
        <w:tc>
          <w:tcPr>
            <w:tcW w:w="1205"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r>
              <w:rPr/>
              <w:t>104</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0"/>
        <w:jc w:val="both"/>
        <w:rPr>
          <w:caps w:val="false"/>
          <w:smallCaps w:val="false"/>
        </w:rPr>
      </w:pPr>
      <w:r>
        <w:rPr>
          <w:caps w:val="false"/>
          <w:smallCaps w:val="false"/>
        </w:rPr>
        <w:t> </w:t>
      </w:r>
    </w:p>
    <w:tbl>
      <w:tblPr>
        <w:tblW w:w="6684" w:type="dxa"/>
        <w:jc w:val="left"/>
        <w:tblInd w:w="0" w:type="dxa"/>
        <w:tblLayout w:type="fixed"/>
        <w:tblCellMar>
          <w:top w:w="0" w:type="dxa"/>
          <w:left w:w="0" w:type="dxa"/>
          <w:bottom w:w="0" w:type="dxa"/>
          <w:right w:w="0" w:type="dxa"/>
        </w:tblCellMar>
      </w:tblPr>
      <w:tblGrid>
        <w:gridCol w:w="2510"/>
        <w:gridCol w:w="943"/>
        <w:gridCol w:w="3231"/>
      </w:tblGrid>
      <w:tr>
        <w:trPr/>
        <w:tc>
          <w:tcPr>
            <w:tcW w:w="2510" w:type="dxa"/>
            <w:tcBorders/>
            <w:vAlign w:val="center"/>
          </w:tcPr>
          <w:p>
            <w:pPr>
              <w:pStyle w:val="TableContents"/>
              <w:bidi w:val="0"/>
              <w:spacing w:before="0" w:after="283"/>
              <w:jc w:val="left"/>
              <w:rPr/>
            </w:pPr>
            <w:r>
              <w:rPr/>
              <w:t> </w:t>
            </w:r>
          </w:p>
        </w:tc>
        <w:tc>
          <w:tcPr>
            <w:tcW w:w="4174" w:type="dxa"/>
            <w:gridSpan w:val="2"/>
            <w:tcBorders/>
            <w:vAlign w:val="center"/>
          </w:tcPr>
          <w:p>
            <w:pPr>
              <w:pStyle w:val="TableContents"/>
              <w:bidi w:val="0"/>
              <w:spacing w:before="0" w:after="283"/>
              <w:jc w:val="left"/>
              <w:rPr>
                <w:b/>
              </w:rPr>
            </w:pPr>
            <w:r>
              <w:rPr>
                <w:b/>
              </w:rPr>
              <w:t>TMC THE METALS COMPANY INC.</w:t>
            </w:r>
          </w:p>
        </w:tc>
      </w:tr>
      <w:tr>
        <w:trPr/>
        <w:tc>
          <w:tcPr>
            <w:tcW w:w="2510"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left"/>
              <w:rPr/>
            </w:pPr>
            <w:r>
              <w:rPr/>
              <w:t> </w:t>
            </w:r>
          </w:p>
        </w:tc>
        <w:tc>
          <w:tcPr>
            <w:tcW w:w="3231"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Date: November 13, 2025</w:t>
            </w:r>
          </w:p>
        </w:tc>
        <w:tc>
          <w:tcPr>
            <w:tcW w:w="943" w:type="dxa"/>
            <w:tcBorders/>
            <w:vAlign w:val="center"/>
          </w:tcPr>
          <w:p>
            <w:pPr>
              <w:pStyle w:val="TableContents"/>
              <w:bidi w:val="0"/>
              <w:spacing w:before="0" w:after="283"/>
              <w:jc w:val="left"/>
              <w:rPr/>
            </w:pPr>
            <w:r>
              <w:rPr/>
              <w:t>By:</w:t>
            </w:r>
          </w:p>
        </w:tc>
        <w:tc>
          <w:tcPr>
            <w:tcW w:w="3231" w:type="dxa"/>
            <w:tcBorders>
              <w:bottom w:val="single" w:sz="8" w:space="0" w:color="000000"/>
            </w:tcBorders>
            <w:tcMar>
              <w:bottom w:w="28" w:type="dxa"/>
            </w:tcMar>
            <w:vAlign w:val="center"/>
          </w:tcPr>
          <w:p>
            <w:pPr>
              <w:pStyle w:val="TableContents"/>
              <w:bidi w:val="0"/>
              <w:spacing w:before="0" w:after="283"/>
              <w:jc w:val="left"/>
              <w:rPr/>
            </w:pPr>
            <w:r>
              <w:rPr/>
              <w:t>/s/ Craig Shesky</w:t>
            </w:r>
          </w:p>
        </w:tc>
      </w:tr>
      <w:tr>
        <w:trPr/>
        <w:tc>
          <w:tcPr>
            <w:tcW w:w="2510"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left"/>
              <w:rPr/>
            </w:pPr>
            <w:r>
              <w:rPr/>
              <w:t>Name:</w:t>
            </w:r>
          </w:p>
        </w:tc>
        <w:tc>
          <w:tcPr>
            <w:tcW w:w="3231" w:type="dxa"/>
            <w:tcBorders/>
            <w:vAlign w:val="center"/>
          </w:tcPr>
          <w:p>
            <w:pPr>
              <w:pStyle w:val="TableContents"/>
              <w:bidi w:val="0"/>
              <w:spacing w:before="0" w:after="283"/>
              <w:jc w:val="left"/>
              <w:rPr/>
            </w:pPr>
            <w:r>
              <w:rPr/>
              <w:t>Craig Shesky</w:t>
            </w:r>
          </w:p>
        </w:tc>
      </w:tr>
      <w:tr>
        <w:trPr/>
        <w:tc>
          <w:tcPr>
            <w:tcW w:w="2510"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left"/>
              <w:rPr/>
            </w:pPr>
            <w:r>
              <w:rPr/>
              <w:t xml:space="preserve">Title: </w:t>
            </w:r>
          </w:p>
        </w:tc>
        <w:tc>
          <w:tcPr>
            <w:tcW w:w="3231"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firstLine="43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7" w:name="tm2531198d1_ex99-1.htm"/>
      <w:bookmarkStart w:id="28" w:name="kstm2531198d1_ex991"/>
      <w:bookmarkEnd w:id="27"/>
      <w:bookmarkEnd w:id="28"/>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Metals Company Announces Third Quarter 2025 Corporate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Nov. 13, 2025 — TMC the metals company Inc. (Nasdaq: TMC) (“TMC” or the “Company”), a leading developer of the world’s largest resource of critical metals essential to energy, defense, manufacturing and infrastructure, today provided a corporate update and third quarter results for the period ending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Q3 2025 Financial Highlights</w:t>
      </w:r>
    </w:p>
    <w:p>
      <w:pPr>
        <w:pStyle w:val="TextBody"/>
        <w:bidi w:val="0"/>
        <w:spacing w:before="0" w:after="0"/>
        <w:ind w:left="0" w:right="0" w:hanging="0"/>
        <w:jc w:val="left"/>
        <w:rPr>
          <w:caps w:val="false"/>
          <w:smallCaps w:val="false"/>
        </w:rPr>
      </w:pPr>
      <w:r>
        <w:rPr>
          <w:caps w:val="false"/>
          <w:smallCaps w:val="false"/>
        </w:rPr>
        <w:t> </w:t>
      </w:r>
    </w:p>
    <w:tbl>
      <w:tblPr>
        <w:tblW w:w="5568" w:type="dxa"/>
        <w:jc w:val="left"/>
        <w:tblInd w:w="0" w:type="dxa"/>
        <w:tblLayout w:type="fixed"/>
        <w:tblCellMar>
          <w:top w:w="0" w:type="dxa"/>
          <w:left w:w="0" w:type="dxa"/>
          <w:bottom w:w="0" w:type="dxa"/>
          <w:right w:w="0" w:type="dxa"/>
        </w:tblCellMar>
      </w:tblPr>
      <w:tblGrid>
        <w:gridCol w:w="38"/>
        <w:gridCol w:w="95"/>
        <w:gridCol w:w="543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435" w:type="dxa"/>
            <w:tcBorders/>
            <w:vAlign w:val="center"/>
          </w:tcPr>
          <w:p>
            <w:pPr>
              <w:pStyle w:val="TableContents"/>
              <w:bidi w:val="0"/>
              <w:spacing w:before="0" w:after="283"/>
              <w:jc w:val="left"/>
              <w:rPr>
                <w:sz w:val="20"/>
              </w:rPr>
            </w:pPr>
            <w:r>
              <w:rPr>
                <w:sz w:val="20"/>
              </w:rPr>
              <w:t>Total cash of approximately $115.6 million at September 30, 2025</w:t>
            </w:r>
          </w:p>
        </w:tc>
      </w:tr>
    </w:tbl>
    <w:tbl>
      <w:tblPr>
        <w:tblW w:w="6603" w:type="dxa"/>
        <w:jc w:val="left"/>
        <w:tblInd w:w="0" w:type="dxa"/>
        <w:tblLayout w:type="fixed"/>
        <w:tblCellMar>
          <w:top w:w="0" w:type="dxa"/>
          <w:left w:w="0" w:type="dxa"/>
          <w:bottom w:w="0" w:type="dxa"/>
          <w:right w:w="0" w:type="dxa"/>
        </w:tblCellMar>
      </w:tblPr>
      <w:tblGrid>
        <w:gridCol w:w="38"/>
        <w:gridCol w:w="95"/>
        <w:gridCol w:w="647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470" w:type="dxa"/>
            <w:tcBorders/>
            <w:vAlign w:val="center"/>
          </w:tcPr>
          <w:p>
            <w:pPr>
              <w:pStyle w:val="TableContents"/>
              <w:bidi w:val="0"/>
              <w:spacing w:before="0" w:after="283"/>
              <w:jc w:val="left"/>
              <w:rPr>
                <w:sz w:val="20"/>
              </w:rPr>
            </w:pPr>
            <w:r>
              <w:rPr>
                <w:sz w:val="20"/>
              </w:rPr>
              <w:t>$11.5 million cash used in operations for the quarter ended September 30, 2025</w:t>
            </w:r>
          </w:p>
        </w:tc>
      </w:tr>
    </w:tbl>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sz w:val="20"/>
              </w:rPr>
            </w:pPr>
            <w:r>
              <w:rPr>
                <w:sz w:val="20"/>
              </w:rPr>
              <w:t>Operating loss of $55.4 million, net loss of $184.5 million and net loss per share of $0.46 for the quarter ended September 30, 2025. During the quarter, results were primarily affected by non-cash and non-recurring items, including share-based compensation impacted by one-time grants, fair value changes in the royalty and warrant liabilities, and the recognition of warrant costs associated with updated sponsorship agreements.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TMC Chairman and CEO Gerard Barron, commented: “The completion of our Pre- Feasibility Study and Initial Assessment comes amid a surge of public and private investment into critical minerals, energy and defense supply chains. These studies mark a major milestone for TMC, providing the foundation for the strategic and policy engagements now taking shape around this once-in-a-generation opportunity. We come to these engagements from a position of strength, with $121 million of cash currently on the balance sheet following warrant exercises after quarter end and total liquidity today of $165 million, including undrawn credit facilities—so we’ve no need to come to the public markets anytime soon.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recent U.S. government shutdown, we’ve continued to see clear signals of support for our vision of responsibly unlocking critical minerals from the deep sea. I’m encouraged by reports that NOAA’s proposed consolidated application rule is now under White House review — a measure that would streamline and consolidate the seabed mineral exploration and commercial recovery permitting process, bringing greater regulatory clarity to this industry. And with last week’s announcement by the USGS adding copper to the nation’s list of critical minerals, all four of our metals are now officially recognized as critical to the U.S. economy and national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Onshore, our development team continues to innovate, and I’m proud that we’ve successfully produced battery-grade manganese sulfate from a nodule-derived manganese silicate product in bench-scale trials — further evidence of our ability to deliver the materials that modern industries demand. As the planet’s largest source of manganese, polymetallic nodules hold vast potential to supply sectors from steelmaking and infrastructure to energy, defense and automotive manufacturing, where we’re seeing automakers increasingly pivot toward manganese-rich cathode chemistries for next-generation EVs.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environmental front, our pioneering research program has built an unmatched dataset that continues to demonstrate that many of the concerns raised about the impacts of collecting polymetallic nodules are overstated. The data and validated models show that, at commercial scale, the impacts throughout the water column will be minimal and manageable. This growing body of science gives me great confidence that we can deliver the metals society needs with responsibility and transparency at every step.”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Operational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Releases Two Economic Studies with Combined NPV of $23.6B and Declares World-First Nodule Reserves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TMC announced the publication of two technical economic assessments prepared in accordance with Subpart 1300 of Regulation S-K highlighting a total combined project value of $23.6 billion, showing economic viability of its NORI-D Project and significant scalability across other NORI and TOML areas. The studies included a world-first Pre-Feasibility Study (PFS) for a polymetallic nodule project in the NORI-D area with a Net Present Value (NPV) of $5.5 billion, and world-first declaration of Mineral Reserves for a polymetallic nodule project with 51 million tonnes (Mt) of probable mineral reserves. TMC expects to start commercial production in the fourth quarter of 2027 if we receive a commercial recovery permit.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Pioneers Process to Produce Battery-Grade Manganese Sulfate from Seafloor Nodules, Opening New Frontier for Potential U.S. Manganese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TMC successfully produced battery-grade manganese sulfate from its intermediate manganese silicate product during bench-scale trials at its partner Kingston Process Metallurgy’s (KPM) operating facility in Ontario. North America remains almost entirely reliant on foreign sources of manganese, most of which is refined overseas. The planet's largest source of manganese, nodules hold significant potential to supply a range of key industries from steelmaking and infrastructure to energy, defense and automotive manufacturing, with many automakers moving toward manganese-rich cathode chemistries for their next-generation electric vehicles.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NOAA Confirms Full Compliance of TMC USA’s Exploration License Applications and Begins Certification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our subsidiary The Metals Company USA, LLC (“TMC USA”) received notice of full compliance from NOAA on its exploration applications, and confirmation that TMC USA has priority right over both exploration areas. Both applications entered the certification stage in late July. The news follows earlier determinations of substantial compliance in May 2025, demonstrating a systematic regulatory process under DSHMRA.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Updates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NOAA Sends Draft Seabed Mining Rule to White House to Streamline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30, Politico reported that NOAA had sent to the White House its draft deep-sea mining rule that would consolidate the license and permit review process and provide for simultaneous issuance of seabed mineral exploration licenses and commercial recovery permits. The move followed an earlier stakeholder comment period which closed on September 5,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and Japan Partner to Develop Rare Earths from Seabed Minerals in the Pacific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6, Reuters reported that the United States and Japan were partnering on the development of rare earths from seabed minerals located in the waters around Minamitori Island in the Pacific. The news highlights how the U.S. is moving with purpose to lead in the deep-sea minerals industry alongside key allies.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Four Metals Contained in Nodules are now on the Department of the Interior’s U.S. Critical Minerals List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the U.S. Department of the Interior and U.S. Geological Survey released an updated U.S. Critical Minerals List where, among other changes, copper was added to the list. As outlined in our recent Pre-Feasibility Study, 17% of expected life-of-mine revenue is derived from copper. With this recent addition, all four key metals found in nodules are now on the U.S. Critical Minerals List.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Results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September 30, 2025, we held cash of approximately $115.6 million. We believe that our cash balance will be sufficient to meet our working capital and capital expenditure commitments for at least the next twelve months from today.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reported a net loss of approximately $184.5 million, or $0.46 per share for the quarter ended September 30, 2025, compared to net loss of $20.5 million, or $0.06 per share, for the quarter ended September 30, 2024. During the quarter, results were primarily affected by non-cash and non-recurring items, including share-based compensation impacted by one-time grants, fair value changes in the royalty and warrant liabilities, and the recognition of warrant costs associated with updated sponsorship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Exploration and evaluation expenses during the quarter ended September 30, 2025 were $9.6 million compared to $11.8 million for the quarter ended September 30, 2024. The decrease in the exploration and evaluation expenses in the third quarter of 2025 was due to the decrease in environmental studies costs and mining, technological and process development costs as the comparative period included costs associated with Campaign 8 which was completed in the first quarter of 2024 and nodule transport costs to the PAMCO facility in Japan.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$45.7 million for the quarter ended September 30, 2025, compared to $8.1 million for the quarter ended September 30, 2024. The increase primarily reflects higher share-based compensation costs, resulting from the amortization of the fair value of RSUs and options granted to directors, employees, and consultants during the third quarter of 2025, as well as higher consulting and legal fees. The increase in general and administrative expenses was partially offset by lower exploration and evaluation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release of two economic studies in the quarter ended September 30, 2025, the fair value of the royalty liability was increased by $131 million, from $14 million to $145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hold a conference call today at 4:30 p.m. ET to provide an update on recent corporate developments and third quarter 2025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Third Quarter 2025 Conference Call Details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2270"/>
        <w:gridCol w:w="2495"/>
      </w:tblGrid>
      <w:tr>
        <w:trPr/>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24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Thursday, November 13, 2025</w:t>
            </w:r>
          </w:p>
        </w:tc>
      </w:tr>
      <w:tr>
        <w:trPr/>
        <w:tc>
          <w:tcPr>
            <w:tcW w:w="227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w:t>
            </w:r>
          </w:p>
        </w:tc>
        <w:tc>
          <w:tcPr>
            <w:tcW w:w="24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4:30 p.m. ET</w:t>
            </w:r>
          </w:p>
        </w:tc>
      </w:tr>
      <w:tr>
        <w:trPr/>
        <w:tc>
          <w:tcPr>
            <w:tcW w:w="227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Audio-only Dial-in:</w:t>
            </w:r>
          </w:p>
        </w:tc>
        <w:tc>
          <w:tcPr>
            <w:tcW w:w="249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Register Here</w:t>
            </w:r>
          </w:p>
        </w:tc>
      </w:tr>
      <w:tr>
        <w:trPr/>
        <w:tc>
          <w:tcPr>
            <w:tcW w:w="227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Virtual webcast with slides:</w:t>
            </w:r>
          </w:p>
        </w:tc>
        <w:tc>
          <w:tcPr>
            <w:tcW w:w="249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Register Here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virtual webcast will be available for replay in the ‘Investors’ tab of the Company’s website under ‘Investors’ &gt; ‘Media’ &gt; ‘</w:t>
      </w:r>
      <w:r>
        <w:rPr>
          <w:rFonts w:ascii="Times New Roman;Times;Serif" w:hAnsi="Times New Roman;Times;Serif"/>
          <w:b w:val="false"/>
          <w:i w:val="false"/>
          <w:caps w:val="false"/>
          <w:smallCaps w:val="false"/>
          <w:sz w:val="20"/>
          <w:u w:val="single"/>
        </w:rPr>
        <w:t>Events and Presentations</w:t>
      </w:r>
      <w:r>
        <w:rPr>
          <w:rFonts w:ascii="Times New Roman;Times;Serif" w:hAnsi="Times New Roman;Times;Serif"/>
          <w:b w:val="false"/>
          <w:i w:val="false"/>
          <w:caps w:val="false"/>
          <w:smallCaps w:val="false"/>
          <w:sz w:val="20"/>
        </w:rPr>
        <w:t>’, approximately two hours after the event.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Metals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Metals Company is a developer of lower-impact critical metals from seafloor polymetallic nodules, on a dual mission: (1) supply metals for energy, defense, manufacturing and infrastructure with net positive impacts compared to conventional production routes and (2) trace, recover and recycle the metals we supply to help create a metal commons that can be used in perpetuity. The Company has conducted more than a decade of research into the environmental and social impacts of offshore nodule collection and onshore processing. More information is available at </w:t>
      </w:r>
      <w:r>
        <w:rPr>
          <w:rFonts w:ascii="Times New Roman;Times;Serif" w:hAnsi="Times New Roman;Times;Serif"/>
          <w:b w:val="false"/>
          <w:i w:val="false"/>
          <w:caps w:val="false"/>
          <w:smallCaps w:val="false"/>
          <w:sz w:val="20"/>
          <w:u w:val="single"/>
        </w:rPr>
        <w:t>www.metals.co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Contacts</w:t>
      </w:r>
      <w:r>
        <w:rPr>
          <w:rFonts w:ascii="Times New Roman;Times;Serif" w:hAnsi="Times New Roman;Times;Serif"/>
          <w:b w:val="false"/>
          <w:i w:val="false"/>
          <w:caps w:val="false"/>
          <w:smallCaps w:val="false"/>
          <w:sz w:val="20"/>
        </w:rPr>
        <w:t> </w:t>
        <w:br/>
        <w:t xml:space="preserve">Media | </w:t>
      </w:r>
      <w:r>
        <w:rPr>
          <w:rFonts w:ascii="Times New Roman;Times;Serif" w:hAnsi="Times New Roman;Times;Serif"/>
          <w:b w:val="false"/>
          <w:i w:val="false"/>
          <w:caps w:val="false"/>
          <w:smallCaps w:val="false"/>
          <w:sz w:val="20"/>
          <w:u w:val="single"/>
        </w:rPr>
        <w:t>media@metals.co</w:t>
      </w:r>
      <w:r>
        <w:rPr>
          <w:rFonts w:ascii="Times New Roman;Times;Serif" w:hAnsi="Times New Roman;Times;Serif"/>
          <w:b w:val="false"/>
          <w:i w:val="false"/>
          <w:caps w:val="false"/>
          <w:smallCaps w:val="false"/>
          <w:sz w:val="20"/>
        </w:rPr>
        <w:t xml:space="preserve">  </w:t>
        <w:br/>
        <w:t xml:space="preserve">Investors | </w:t>
      </w:r>
      <w:r>
        <w:rPr>
          <w:rFonts w:ascii="Times New Roman;Times;Serif" w:hAnsi="Times New Roman;Times;Serif"/>
          <w:b w:val="false"/>
          <w:i w:val="false"/>
          <w:caps w:val="false"/>
          <w:smallCaps w:val="false"/>
          <w:sz w:val="20"/>
          <w:u w:val="single"/>
        </w:rPr>
        <w:t>investors@metals.co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and information within the meaning of the Private Securities Litigation Reform Act of 1995. These statements may be identified by words such as “believes,” “could,” “expects,” “may,” “plans,” “possible,” “potential,” “will” and variations of these words or similar expressions, although not all forward-looking statements contain these words. Forward-looking statements in this press release include, but are not limited to, statements with respect to the Company’s strategy to pursue commercial recovery of seafloor polymetallic nodules under the U.S. regulatory regime; the outcome and timing of regulatory reviews of its applications submitted pursuant to the Deep Seabed Hard Mineral Resources Act of 1980 (DSHMRA); the progression of the Company’s applications through NOAA’s certification process and expected review timelines; the potential adoption of final exploitation regulations by the International Seabed Authority (ISA); the impact of the executive action by the U.S. government in support of domestic seabed mineral development including the proposed NOAA rule currently under White House review; the expected use of proceeds from the Company’s 2025 financings and other capital sources;; the timing and success of environmental assessments, feasibility studies, technical and processing trials, including bench-scale production of battery-grade manganese sulfate; the potential economic outcomes described in the Company’s Pre-Feasibility Study and Initial Assessment; the expected commencement of commercial production in the fourth quarter of 2027 if required permits are obtained; the belief that our cash balance will be sufficient to meet our working capital and capital expenditure commitments for at least the next twelve months from the date of this press release; and the Company’s operational and financial plans, including the potential development of a commercial-scale offshore nodule collection system and related onshore processing facilities. The Company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among other things: the outcome and timing of regulatory reviews by NOAA under DSHMRA; the ability to obtain an exploitation contract from the ISA or permits from the U.S. government; risks related to the Company’s dual-path permitting strategy; changes in environmental, mining and other applicable laws and regulations; the timing and results of environmental assessments and technical studies; the development, testing and scaling of offshore collection systems; risks related to strategic partnerships and technology sharing; uncertainties relating to processing nodules at commercial scale; metals price volatility; the sufficiency of the Company’s cash and ability to secure additional financing on acceptable terms or at all; dependence on third parties, including Allseas Group S.A. and PAMCO; the outcome of any pending or future litigation; and other risks and uncertainties described in greater detail in the section entitled “Risk Factors” in the Company’s Annual Report on Form 10-K for the year ended December 31, 2024, filed with the U.S. Securities and Exchange Commission (SEC) on March 27, 2025, and in subsequent Quarterly Reports on Form 10-Q and Current Reports on Form 8-K filed with the SEC, including the Company’s Quarterly Reports on Form 10-Q for the quarter ended March 31, 2025 filed on May 14, 2025, and for the quarter ended June 30, 2025 filed on August 14, 2025. Any forward-looking statements contained in this press release speak only as of the date hereof, and the Company expressly disclaims any obligation to update any forward-looking statements contained herein, whether because of any new information, future events, changed circumstances or otherwise, except as otherwise required by law.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INFORMATION</w:t>
      </w:r>
    </w:p>
    <w:p>
      <w:pPr>
        <w:pStyle w:val="TextBody"/>
        <w:bidi w:val="0"/>
        <w:spacing w:before="0" w:after="0"/>
        <w:ind w:left="0" w:right="0" w:hanging="0"/>
        <w:jc w:val="left"/>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620"/>
        <w:gridCol w:w="1805"/>
      </w:tblGrid>
      <w:tr>
        <w:trPr/>
        <w:tc>
          <w:tcPr>
            <w:tcW w:w="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w:t>
            </w:r>
          </w:p>
        </w:tc>
        <w:tc>
          <w:tcPr>
            <w:tcW w:w="18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w:t>
            </w:r>
          </w:p>
        </w:tc>
      </w:tr>
    </w:tbl>
    <w:p>
      <w:pPr>
        <w:pStyle w:val="TextBody"/>
        <w:bidi w:val="0"/>
        <w:spacing w:before="0" w:after="0"/>
        <w:ind w:left="0" w:right="0" w:hanging="0"/>
        <w:jc w:val="left"/>
        <w:rPr>
          <w:caps w:val="false"/>
          <w:smallCaps w:val="false"/>
        </w:rPr>
      </w:pPr>
      <w:r>
        <w:rPr>
          <w:caps w:val="false"/>
          <w:smallCaps w:val="false"/>
        </w:rPr>
        <w:t> </w:t>
      </w:r>
    </w:p>
    <w:tbl>
      <w:tblPr>
        <w:tblW w:w="4295" w:type="dxa"/>
        <w:jc w:val="left"/>
        <w:tblInd w:w="0" w:type="dxa"/>
        <w:tblLayout w:type="fixed"/>
        <w:tblCellMar>
          <w:top w:w="0" w:type="dxa"/>
          <w:left w:w="0" w:type="dxa"/>
          <w:bottom w:w="0" w:type="dxa"/>
          <w:right w:w="0" w:type="dxa"/>
        </w:tblCellMar>
      </w:tblPr>
      <w:tblGrid>
        <w:gridCol w:w="4295"/>
      </w:tblGrid>
      <w:tr>
        <w:trPr/>
        <w:tc>
          <w:tcPr>
            <w:tcW w:w="42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TMC the metals company Inc.</w:t>
            </w:r>
          </w:p>
        </w:tc>
      </w:tr>
      <w:tr>
        <w:trPr/>
        <w:tc>
          <w:tcPr>
            <w:tcW w:w="429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amounts)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r>
    </w:tbl>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606"/>
        <w:gridCol w:w="60"/>
        <w:gridCol w:w="165"/>
        <w:gridCol w:w="1008"/>
        <w:gridCol w:w="80"/>
        <w:gridCol w:w="60"/>
        <w:gridCol w:w="159"/>
        <w:gridCol w:w="969"/>
        <w:gridCol w:w="98"/>
      </w:tblGrid>
      <w:tr>
        <w:trPr/>
        <w:tc>
          <w:tcPr>
            <w:tcW w:w="7606"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3"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8"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06"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969" w:type="dxa"/>
            <w:tcBorders/>
            <w:shd w:fill="CCEEFF" w:val="clear"/>
            <w:tcMar>
              <w:bottom w:w="0" w:type="dxa"/>
            </w:tcMar>
            <w:vAlign w:val="center"/>
          </w:tcPr>
          <w:p>
            <w:pPr>
              <w:pStyle w:val="TableContents"/>
              <w:bidi w:val="0"/>
              <w:spacing w:before="0" w:after="283"/>
              <w:jc w:val="righ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r>
      <w:tr>
        <w:trPr/>
        <w:tc>
          <w:tcPr>
            <w:tcW w:w="760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115,648</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3,480</w:t>
            </w:r>
          </w:p>
        </w:tc>
        <w:tc>
          <w:tcPr>
            <w:tcW w:w="9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0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and prepayments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1,566</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1,851</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0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117,214</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5,331</w:t>
            </w:r>
          </w:p>
        </w:tc>
        <w:tc>
          <w:tcPr>
            <w:tcW w:w="9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06"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969" w:type="dxa"/>
            <w:tcBorders/>
            <w:shd w:fill="CCEEFF" w:val="clear"/>
            <w:tcMar>
              <w:bottom w:w="0" w:type="dxa"/>
            </w:tcMar>
            <w:vAlign w:val="center"/>
          </w:tcPr>
          <w:p>
            <w:pPr>
              <w:pStyle w:val="TableContents"/>
              <w:bidi w:val="0"/>
              <w:spacing w:before="0" w:after="283"/>
              <w:jc w:val="righ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r>
      <w:tr>
        <w:trPr/>
        <w:tc>
          <w:tcPr>
            <w:tcW w:w="760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Exploration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42,951</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42,951</w:t>
            </w:r>
          </w:p>
        </w:tc>
        <w:tc>
          <w:tcPr>
            <w:tcW w:w="9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0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Equipment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597</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771</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0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Software development costs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2,082</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1,928</w:t>
            </w:r>
          </w:p>
        </w:tc>
        <w:tc>
          <w:tcPr>
            <w:tcW w:w="9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0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2,384</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3,814</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0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10,387</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8,203</w:t>
            </w:r>
          </w:p>
        </w:tc>
        <w:tc>
          <w:tcPr>
            <w:tcW w:w="9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0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58,401</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57,667</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0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bottom w:val="single" w:sz="8" w:space="0" w:color="000000"/>
            </w:tcBorders>
            <w:shd w:fill="FFFFFF" w:val="clear"/>
            <w:vAlign w:val="center"/>
          </w:tcPr>
          <w:p>
            <w:pPr>
              <w:pStyle w:val="TableContents"/>
              <w:bidi w:val="0"/>
              <w:spacing w:before="0" w:after="283"/>
              <w:jc w:val="left"/>
              <w:rPr/>
            </w:pPr>
            <w:r>
              <w:rPr/>
              <w:t> </w:t>
            </w:r>
          </w:p>
        </w:tc>
        <w:tc>
          <w:tcPr>
            <w:tcW w:w="1008" w:type="dxa"/>
            <w:tcBorders>
              <w:bottom w:val="single" w:sz="8" w:space="0" w:color="000000"/>
            </w:tcBorders>
            <w:shd w:fill="FFFFFF" w:val="cle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FFFFFF" w:val="clear"/>
            <w:vAlign w:val="center"/>
          </w:tcPr>
          <w:p>
            <w:pPr>
              <w:pStyle w:val="TableContents"/>
              <w:bidi w:val="0"/>
              <w:spacing w:before="0" w:after="283"/>
              <w:jc w:val="left"/>
              <w:rPr/>
            </w:pPr>
            <w:r>
              <w:rPr/>
              <w:t> </w:t>
            </w:r>
          </w:p>
        </w:tc>
        <w:tc>
          <w:tcPr>
            <w:tcW w:w="969" w:type="dxa"/>
            <w:tcBorders>
              <w:bottom w:val="single" w:sz="8" w:space="0" w:color="000000"/>
            </w:tcBorders>
            <w:shd w:fill="FFFFFF" w:val="clear"/>
            <w:vAlign w:val="center"/>
          </w:tcPr>
          <w:p>
            <w:pPr>
              <w:pStyle w:val="TableContents"/>
              <w:bidi w:val="0"/>
              <w:spacing w:before="0" w:after="283"/>
              <w:jc w:val="righ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r>
      <w:tr>
        <w:trPr/>
        <w:tc>
          <w:tcPr>
            <w:tcW w:w="7606"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8"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175,615</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6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62,998</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0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righ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r>
      <w:tr>
        <w:trPr/>
        <w:tc>
          <w:tcPr>
            <w:tcW w:w="7606"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969" w:type="dxa"/>
            <w:tcBorders/>
            <w:shd w:fill="CCEEFF" w:val="clear"/>
            <w:tcMar>
              <w:bottom w:w="0" w:type="dxa"/>
            </w:tcMar>
            <w:vAlign w:val="center"/>
          </w:tcPr>
          <w:p>
            <w:pPr>
              <w:pStyle w:val="TableContents"/>
              <w:bidi w:val="0"/>
              <w:spacing w:before="0" w:after="283"/>
              <w:jc w:val="righ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r>
      <w:tr>
        <w:trPr/>
        <w:tc>
          <w:tcPr>
            <w:tcW w:w="7606"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righ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r>
      <w:tr>
        <w:trPr/>
        <w:tc>
          <w:tcPr>
            <w:tcW w:w="760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46,834</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42,754</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0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debt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11,775</w:t>
            </w:r>
          </w:p>
        </w:tc>
        <w:tc>
          <w:tcPr>
            <w:tcW w:w="9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0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46,834</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54,529</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06"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righ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r>
      <w:tr>
        <w:trPr/>
        <w:tc>
          <w:tcPr>
            <w:tcW w:w="760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10,675</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10,675</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0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Royalty liability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145,000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14,000</w:t>
            </w:r>
          </w:p>
        </w:tc>
        <w:tc>
          <w:tcPr>
            <w:tcW w:w="9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0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liability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13,730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0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169,405</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25,587</w:t>
            </w:r>
          </w:p>
        </w:tc>
        <w:tc>
          <w:tcPr>
            <w:tcW w:w="9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0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bottom w:val="single" w:sz="8" w:space="0" w:color="000000"/>
            </w:tcBorders>
            <w:shd w:fill="CCEEFF" w:val="clear"/>
            <w:vAlign w:val="center"/>
          </w:tcPr>
          <w:p>
            <w:pPr>
              <w:pStyle w:val="TableContents"/>
              <w:bidi w:val="0"/>
              <w:spacing w:before="0" w:after="283"/>
              <w:jc w:val="left"/>
              <w:rPr/>
            </w:pPr>
            <w:r>
              <w:rPr/>
              <w:t> </w:t>
            </w:r>
          </w:p>
        </w:tc>
        <w:tc>
          <w:tcPr>
            <w:tcW w:w="1008" w:type="dxa"/>
            <w:tcBorders>
              <w:bottom w:val="single" w:sz="8" w:space="0" w:color="000000"/>
            </w:tcBorders>
            <w:shd w:fill="CCEEFF" w:val="cle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CCEEFF" w:val="clear"/>
            <w:vAlign w:val="center"/>
          </w:tcPr>
          <w:p>
            <w:pPr>
              <w:pStyle w:val="TableContents"/>
              <w:bidi w:val="0"/>
              <w:spacing w:before="0" w:after="283"/>
              <w:jc w:val="left"/>
              <w:rPr/>
            </w:pPr>
            <w:r>
              <w:rPr/>
              <w:t> </w:t>
            </w:r>
          </w:p>
        </w:tc>
        <w:tc>
          <w:tcPr>
            <w:tcW w:w="969" w:type="dxa"/>
            <w:tcBorders>
              <w:bottom w:val="single" w:sz="8" w:space="0" w:color="000000"/>
            </w:tcBorders>
            <w:shd w:fill="CCEEFF" w:val="clear"/>
            <w:vAlign w:val="center"/>
          </w:tcPr>
          <w:p>
            <w:pPr>
              <w:pStyle w:val="TableContents"/>
              <w:bidi w:val="0"/>
              <w:spacing w:before="0" w:after="283"/>
              <w:jc w:val="righ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r>
      <w:tr>
        <w:trPr/>
        <w:tc>
          <w:tcPr>
            <w:tcW w:w="7606"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8"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216,239</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6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80,116</w:t>
            </w:r>
          </w:p>
        </w:tc>
        <w:tc>
          <w:tcPr>
            <w:tcW w:w="9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0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jc w:val="left"/>
              <w:rPr/>
            </w:pPr>
            <w:r>
              <w:rPr/>
              <w:t> </w:t>
            </w:r>
          </w:p>
        </w:tc>
        <w:tc>
          <w:tcPr>
            <w:tcW w:w="969" w:type="dxa"/>
            <w:tcBorders/>
            <w:shd w:fill="CCEEFF" w:val="clear"/>
            <w:tcMar>
              <w:bottom w:w="0" w:type="dxa"/>
            </w:tcMar>
            <w:vAlign w:val="center"/>
          </w:tcPr>
          <w:p>
            <w:pPr>
              <w:pStyle w:val="TableContents"/>
              <w:bidi w:val="0"/>
              <w:spacing w:before="0" w:after="283"/>
              <w:jc w:val="righ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r>
      <w:tr>
        <w:trPr/>
        <w:tc>
          <w:tcPr>
            <w:tcW w:w="7606"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jc w:val="left"/>
              <w:rPr/>
            </w:pPr>
            <w:r>
              <w:rPr/>
              <w:t> </w:t>
            </w:r>
          </w:p>
        </w:tc>
        <w:tc>
          <w:tcPr>
            <w:tcW w:w="969" w:type="dxa"/>
            <w:tcBorders/>
            <w:shd w:fill="FFFFFF" w:val="clear"/>
            <w:tcMar>
              <w:bottom w:w="0" w:type="dxa"/>
            </w:tcMar>
            <w:vAlign w:val="center"/>
          </w:tcPr>
          <w:p>
            <w:pPr>
              <w:pStyle w:val="TableContents"/>
              <w:bidi w:val="0"/>
              <w:spacing w:before="0" w:after="283"/>
              <w:jc w:val="righ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r>
      <w:tr>
        <w:trPr/>
        <w:tc>
          <w:tcPr>
            <w:tcW w:w="760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Common shares </w:t>
            </w:r>
            <w:r>
              <w:rPr>
                <w:rFonts w:ascii="Times New Roman;Times;Serif" w:hAnsi="Times New Roman;Times;Serif"/>
                <w:b w:val="false"/>
                <w:i/>
                <w:caps w:val="false"/>
                <w:smallCaps w:val="false"/>
                <w:sz w:val="20"/>
              </w:rPr>
              <w:t>(unlimited shares, no par value – issued: 408,855,173 (December 31, 2024 –340,708,460))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638,853</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477,217</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0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 in capital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232,607</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138,303</w:t>
            </w:r>
          </w:p>
        </w:tc>
        <w:tc>
          <w:tcPr>
            <w:tcW w:w="9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60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0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(1,203</w:t>
            </w:r>
          </w:p>
        </w:tc>
        <w:tc>
          <w:tcPr>
            <w:tcW w:w="9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60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Deficit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(910,881</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9"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(631,435</w:t>
            </w:r>
          </w:p>
        </w:tc>
        <w:tc>
          <w:tcPr>
            <w:tcW w:w="9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606"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8"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(40,624</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(17,118</w:t>
            </w:r>
          </w:p>
        </w:tc>
        <w:tc>
          <w:tcPr>
            <w:tcW w:w="98"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60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5" w:type="dxa"/>
            <w:tcBorders>
              <w:bottom w:val="single" w:sz="8" w:space="0" w:color="000000"/>
            </w:tcBorders>
            <w:shd w:fill="FFFFFF" w:val="clear"/>
            <w:vAlign w:val="center"/>
          </w:tcPr>
          <w:p>
            <w:pPr>
              <w:pStyle w:val="TableContents"/>
              <w:bidi w:val="0"/>
              <w:spacing w:before="0" w:after="283"/>
              <w:jc w:val="left"/>
              <w:rPr/>
            </w:pPr>
            <w:r>
              <w:rPr/>
              <w:t> </w:t>
            </w:r>
          </w:p>
        </w:tc>
        <w:tc>
          <w:tcPr>
            <w:tcW w:w="1008" w:type="dxa"/>
            <w:tcBorders>
              <w:bottom w:val="single" w:sz="8" w:space="0" w:color="000000"/>
            </w:tcBorders>
            <w:shd w:fill="FFFFFF" w:val="cle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bottom w:val="single" w:sz="8" w:space="0" w:color="000000"/>
            </w:tcBorders>
            <w:shd w:fill="FFFFFF" w:val="clear"/>
            <w:vAlign w:val="center"/>
          </w:tcPr>
          <w:p>
            <w:pPr>
              <w:pStyle w:val="TableContents"/>
              <w:bidi w:val="0"/>
              <w:spacing w:before="0" w:after="283"/>
              <w:jc w:val="left"/>
              <w:rPr/>
            </w:pPr>
            <w:r>
              <w:rPr/>
              <w:t> </w:t>
            </w:r>
          </w:p>
        </w:tc>
        <w:tc>
          <w:tcPr>
            <w:tcW w:w="969" w:type="dxa"/>
            <w:tcBorders>
              <w:bottom w:val="single" w:sz="8" w:space="0" w:color="000000"/>
            </w:tcBorders>
            <w:shd w:fill="FFFFFF" w:val="clear"/>
            <w:vAlign w:val="center"/>
          </w:tcPr>
          <w:p>
            <w:pPr>
              <w:pStyle w:val="TableContents"/>
              <w:bidi w:val="0"/>
              <w:spacing w:before="0" w:after="283"/>
              <w:jc w:val="righ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r>
      <w:tr>
        <w:trPr/>
        <w:tc>
          <w:tcPr>
            <w:tcW w:w="7606"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EQUITY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8"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175,615</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6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62,998</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885" w:type="dxa"/>
        <w:jc w:val="left"/>
        <w:tblInd w:w="0" w:type="dxa"/>
        <w:tblLayout w:type="fixed"/>
        <w:tblCellMar>
          <w:top w:w="0" w:type="dxa"/>
          <w:left w:w="0" w:type="dxa"/>
          <w:bottom w:w="0" w:type="dxa"/>
          <w:right w:w="0" w:type="dxa"/>
        </w:tblCellMar>
      </w:tblPr>
      <w:tblGrid>
        <w:gridCol w:w="5885"/>
      </w:tblGrid>
      <w:tr>
        <w:trPr/>
        <w:tc>
          <w:tcPr>
            <w:tcW w:w="58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TMC the metals company Inc.</w:t>
            </w:r>
          </w:p>
        </w:tc>
      </w:tr>
      <w:tr>
        <w:trPr/>
        <w:tc>
          <w:tcPr>
            <w:tcW w:w="588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Loss and Comprehensive Loss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and per share amounts)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10"/>
        <w:gridCol w:w="60"/>
        <w:gridCol w:w="125"/>
        <w:gridCol w:w="1055"/>
        <w:gridCol w:w="80"/>
        <w:gridCol w:w="60"/>
        <w:gridCol w:w="125"/>
        <w:gridCol w:w="1055"/>
        <w:gridCol w:w="80"/>
        <w:gridCol w:w="60"/>
        <w:gridCol w:w="125"/>
        <w:gridCol w:w="1055"/>
        <w:gridCol w:w="80"/>
        <w:gridCol w:w="60"/>
        <w:gridCol w:w="125"/>
        <w:gridCol w:w="1055"/>
        <w:gridCol w:w="95"/>
      </w:tblGrid>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br/>
              <w:t>September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Nine months ended </w:t>
              <w:br/>
              <w:t>September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Exploration and evaluation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42,339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65,705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55,359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19,962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95,349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64,939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items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Nauru and Tonga Warrant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Equity-accounted investment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dilution of investment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royalty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interest on borrowings and credit facilities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and comprehensive loss for the period, before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184,394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20,520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279,323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65,882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and comprehensive loss for the period, after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184,517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20,520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279,446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65,882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per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0.21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number of common shares outstanding –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405,506,978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323,663,607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372,713,658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318,710,622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2"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42"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the metals company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Changes in Equity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amounts)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720"/>
        <w:gridCol w:w="60"/>
        <w:gridCol w:w="60"/>
        <w:gridCol w:w="920"/>
        <w:gridCol w:w="60"/>
        <w:gridCol w:w="60"/>
        <w:gridCol w:w="110"/>
        <w:gridCol w:w="605"/>
        <w:gridCol w:w="60"/>
        <w:gridCol w:w="60"/>
        <w:gridCol w:w="419"/>
        <w:gridCol w:w="306"/>
        <w:gridCol w:w="60"/>
        <w:gridCol w:w="60"/>
        <w:gridCol w:w="314"/>
        <w:gridCol w:w="231"/>
        <w:gridCol w:w="60"/>
        <w:gridCol w:w="60"/>
        <w:gridCol w:w="120"/>
        <w:gridCol w:w="665"/>
        <w:gridCol w:w="80"/>
        <w:gridCol w:w="60"/>
        <w:gridCol w:w="208"/>
        <w:gridCol w:w="922"/>
        <w:gridCol w:w="80"/>
        <w:gridCol w:w="60"/>
        <w:gridCol w:w="110"/>
        <w:gridCol w:w="665"/>
        <w:gridCol w:w="80"/>
        <w:gridCol w:w="60"/>
        <w:gridCol w:w="110"/>
        <w:gridCol w:w="665"/>
        <w:gridCol w:w="95"/>
      </w:tblGrid>
      <w:tr>
        <w:trPr/>
        <w:tc>
          <w:tcPr>
            <w:tcW w:w="272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Preferred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4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Special</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Additional</w:t>
              <w:br/>
              <w:t>Paid in</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br/>
              <w:t>Other</w:t>
              <w:br/>
              <w:t>Comprehensive</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720" w:type="dxa"/>
            <w:tcBorders>
              <w:bottom w:val="single" w:sz="8" w:space="0" w:color="000000"/>
            </w:tcBorders>
            <w:tcMar>
              <w:bottom w:w="28" w:type="dxa"/>
            </w:tcMar>
            <w:vAlign w:val="center"/>
          </w:tcPr>
          <w:p>
            <w:pPr>
              <w:pStyle w:val="TableContents"/>
              <w:bidi w:val="0"/>
              <w:spacing w:before="0" w:after="283"/>
              <w:jc w:val="left"/>
              <w:rPr>
                <w:b/>
                <w:sz w:val="16"/>
              </w:rPr>
            </w:pPr>
            <w:r>
              <w:rPr>
                <w:b/>
                <w:sz w:val="16"/>
              </w:rPr>
              <w:t>Three months ended September 30, 2025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Shares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Capital</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Loss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Deficit</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Total</w:t>
            </w:r>
          </w:p>
        </w:tc>
        <w:tc>
          <w:tcPr>
            <w:tcW w:w="95" w:type="dxa"/>
            <w:tcBorders/>
            <w:vAlign w:val="center"/>
          </w:tcPr>
          <w:p>
            <w:pPr>
              <w:pStyle w:val="TableContents"/>
              <w:bidi w:val="0"/>
              <w:spacing w:before="0" w:after="283"/>
              <w:jc w:val="center"/>
              <w:rPr/>
            </w:pPr>
            <w:r>
              <w:rPr/>
              <w:t> </w:t>
            </w:r>
          </w:p>
        </w:tc>
      </w:tr>
      <w:tr>
        <w:trPr/>
        <w:tc>
          <w:tcPr>
            <w:tcW w:w="27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July 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397,155,318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606,246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30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23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203,181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(1,203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(726,364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81,860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Exercise of stock options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3,498,760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10,110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(7,989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2,121</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shares and warrants under 2025 Registered Direct Offering, net of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3,333,334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6,509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6,970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Exercise of Class A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1,638,270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(4,743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Exercise of Class B warrants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2,525,000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7,778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(2,778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Nauru and Tonga Warrant cost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4,977</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Conversion of restricted share units, net of shares withheld for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704,491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(3,467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Share-based compensation and expenses settled with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42,965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42,965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Loss for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(184,517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(184,517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7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September 30,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408,855,173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638,853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232,607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(1,203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(910,881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(40,624</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810"/>
        <w:gridCol w:w="60"/>
        <w:gridCol w:w="60"/>
        <w:gridCol w:w="920"/>
        <w:gridCol w:w="60"/>
        <w:gridCol w:w="60"/>
        <w:gridCol w:w="110"/>
        <w:gridCol w:w="605"/>
        <w:gridCol w:w="60"/>
        <w:gridCol w:w="60"/>
        <w:gridCol w:w="419"/>
        <w:gridCol w:w="306"/>
        <w:gridCol w:w="60"/>
        <w:gridCol w:w="60"/>
        <w:gridCol w:w="314"/>
        <w:gridCol w:w="231"/>
        <w:gridCol w:w="60"/>
        <w:gridCol w:w="60"/>
        <w:gridCol w:w="120"/>
        <w:gridCol w:w="665"/>
        <w:gridCol w:w="80"/>
        <w:gridCol w:w="60"/>
        <w:gridCol w:w="208"/>
        <w:gridCol w:w="922"/>
        <w:gridCol w:w="80"/>
        <w:gridCol w:w="60"/>
        <w:gridCol w:w="110"/>
        <w:gridCol w:w="665"/>
        <w:gridCol w:w="80"/>
        <w:gridCol w:w="60"/>
        <w:gridCol w:w="110"/>
        <w:gridCol w:w="575"/>
        <w:gridCol w:w="95"/>
      </w:tblGrid>
      <w:tr>
        <w:trPr/>
        <w:tc>
          <w:tcPr>
            <w:tcW w:w="28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Preferred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4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Special</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Additional</w:t>
              <w:br/>
              <w:t>Paid in</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br/>
              <w:t>Other</w:t>
              <w:br/>
              <w:t>Comprehensive</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5" w:type="dxa"/>
            <w:gridSpan w:val="2"/>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810" w:type="dxa"/>
            <w:tcBorders>
              <w:bottom w:val="single" w:sz="8" w:space="0" w:color="000000"/>
            </w:tcBorders>
            <w:tcMar>
              <w:bottom w:w="28" w:type="dxa"/>
            </w:tcMar>
            <w:vAlign w:val="center"/>
          </w:tcPr>
          <w:p>
            <w:pPr>
              <w:pStyle w:val="TableContents"/>
              <w:bidi w:val="0"/>
              <w:spacing w:before="0" w:after="283"/>
              <w:jc w:val="left"/>
              <w:rPr>
                <w:b/>
                <w:sz w:val="16"/>
              </w:rPr>
            </w:pPr>
            <w:r>
              <w:rPr>
                <w:b/>
                <w:sz w:val="16"/>
              </w:rPr>
              <w:t>Three months ended September 30, 2024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Shares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Capital</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Loss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Deficit</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8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Total</w:t>
            </w:r>
          </w:p>
        </w:tc>
        <w:tc>
          <w:tcPr>
            <w:tcW w:w="95" w:type="dxa"/>
            <w:tcBorders/>
            <w:vAlign w:val="center"/>
          </w:tcPr>
          <w:p>
            <w:pPr>
              <w:pStyle w:val="TableContents"/>
              <w:bidi w:val="0"/>
              <w:spacing w:before="0" w:after="283"/>
              <w:jc w:val="center"/>
              <w:rPr/>
            </w:pPr>
            <w:r>
              <w:rPr/>
              <w:t> </w:t>
            </w:r>
          </w:p>
        </w:tc>
      </w:tr>
      <w:tr>
        <w:trPr/>
        <w:tc>
          <w:tcPr>
            <w:tcW w:w="28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July 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322,241,883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460,573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30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23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125,300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(1,216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(594,264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(9,607</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r>
        <w:trPr/>
        <w:tc>
          <w:tcPr>
            <w:tcW w:w="2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Conversion of restricted share units, net of shares withheld for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188,293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Shares issued from ATM</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1,617,000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2,279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Exercise of stock options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84,720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 purchase under Employee Share Purchase Plan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Share-based compensation and expenses settled with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6,312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6,312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Foreign currency translation adjustment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Loss for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(20,520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(20,520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8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September 30,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324,131,896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463,366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131,152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(1,203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(614,784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(21,469</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the metals company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Changes in Equity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Dollars, except share amounts)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w:t>
      </w:r>
      <w:r>
        <w:rPr>
          <w:rFonts w:ascii="Times New Roman;Times;Serif" w:hAnsi="Times New Roman;Times;Serif"/>
          <w:b w:val="false"/>
          <w:i w:val="false"/>
          <w:caps w:val="false"/>
          <w:smallCaps w:val="false"/>
          <w:sz w:val="20"/>
        </w:rPr>
        <w:t xml:space="preserve">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720"/>
        <w:gridCol w:w="60"/>
        <w:gridCol w:w="60"/>
        <w:gridCol w:w="920"/>
        <w:gridCol w:w="60"/>
        <w:gridCol w:w="60"/>
        <w:gridCol w:w="110"/>
        <w:gridCol w:w="605"/>
        <w:gridCol w:w="60"/>
        <w:gridCol w:w="60"/>
        <w:gridCol w:w="419"/>
        <w:gridCol w:w="306"/>
        <w:gridCol w:w="60"/>
        <w:gridCol w:w="60"/>
        <w:gridCol w:w="314"/>
        <w:gridCol w:w="231"/>
        <w:gridCol w:w="60"/>
        <w:gridCol w:w="60"/>
        <w:gridCol w:w="120"/>
        <w:gridCol w:w="665"/>
        <w:gridCol w:w="80"/>
        <w:gridCol w:w="60"/>
        <w:gridCol w:w="208"/>
        <w:gridCol w:w="922"/>
        <w:gridCol w:w="80"/>
        <w:gridCol w:w="60"/>
        <w:gridCol w:w="110"/>
        <w:gridCol w:w="665"/>
        <w:gridCol w:w="80"/>
        <w:gridCol w:w="60"/>
        <w:gridCol w:w="110"/>
        <w:gridCol w:w="665"/>
        <w:gridCol w:w="95"/>
      </w:tblGrid>
      <w:tr>
        <w:trPr/>
        <w:tc>
          <w:tcPr>
            <w:tcW w:w="272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Preferred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4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Special</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Additional</w:t>
              <w:br/>
              <w:t>Paid in</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br/>
              <w:t>Other</w:t>
              <w:br/>
              <w:t>Comprehensive</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720" w:type="dxa"/>
            <w:tcBorders>
              <w:bottom w:val="single" w:sz="8" w:space="0" w:color="000000"/>
            </w:tcBorders>
            <w:tcMar>
              <w:bottom w:w="28" w:type="dxa"/>
            </w:tcMar>
            <w:vAlign w:val="center"/>
          </w:tcPr>
          <w:p>
            <w:pPr>
              <w:pStyle w:val="TableContents"/>
              <w:bidi w:val="0"/>
              <w:spacing w:before="0" w:after="283"/>
              <w:jc w:val="left"/>
              <w:rPr>
                <w:b/>
                <w:sz w:val="16"/>
              </w:rPr>
            </w:pPr>
            <w:r>
              <w:rPr>
                <w:b/>
                <w:sz w:val="16"/>
              </w:rPr>
              <w:t>Nine months ended September 30, 2025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Shares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Capital</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Loss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Deficit</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Total</w:t>
            </w:r>
          </w:p>
        </w:tc>
        <w:tc>
          <w:tcPr>
            <w:tcW w:w="95" w:type="dxa"/>
            <w:tcBorders/>
            <w:vAlign w:val="center"/>
          </w:tcPr>
          <w:p>
            <w:pPr>
              <w:pStyle w:val="TableContents"/>
              <w:bidi w:val="0"/>
              <w:spacing w:before="0" w:after="283"/>
              <w:jc w:val="center"/>
              <w:rPr/>
            </w:pPr>
            <w:r>
              <w:rPr/>
              <w:t> </w:t>
            </w:r>
          </w:p>
        </w:tc>
      </w:tr>
      <w:tr>
        <w:trPr/>
        <w:tc>
          <w:tcPr>
            <w:tcW w:w="27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January 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340,708,460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477,217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30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23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138,303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(1,203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(631,435</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(17,118</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r>
        <w:trPr/>
        <w:tc>
          <w:tcPr>
            <w:tcW w:w="27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shares and warrants to Korea Zinc, net of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19,623,376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71,686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13,432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85,118</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shares and warrants under 2025 Registered Direct Offering, net of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12,333,334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24,149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12,548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36,697</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shares and warrants under 2024 Registered Direct Offering, net of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Shares issued from ATM</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7,542,996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14,784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14,784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Exercise of Class A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1,888,270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(1,690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3,777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Exercise of Class B warrants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7,358,096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14,229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(6,579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7,650</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Conversion of restricted share units, net of shares withheld for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10,177,224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17,509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(17,509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Exercise of stock options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4,210,884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11,563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(8,980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2,583</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 purchase under Employee Share Purchase Plan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12,533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Nauru and Tonga Warrant Cost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38,056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38,056</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7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Share-based compensation and expenses settled with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62,265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62,265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Loss for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(279,446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(279,446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7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September 30,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408,855,173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638,853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232, 607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(1,203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(910,881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(40,624</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810"/>
        <w:gridCol w:w="60"/>
        <w:gridCol w:w="60"/>
        <w:gridCol w:w="920"/>
        <w:gridCol w:w="60"/>
        <w:gridCol w:w="60"/>
        <w:gridCol w:w="110"/>
        <w:gridCol w:w="605"/>
        <w:gridCol w:w="60"/>
        <w:gridCol w:w="60"/>
        <w:gridCol w:w="419"/>
        <w:gridCol w:w="306"/>
        <w:gridCol w:w="60"/>
        <w:gridCol w:w="60"/>
        <w:gridCol w:w="314"/>
        <w:gridCol w:w="231"/>
        <w:gridCol w:w="60"/>
        <w:gridCol w:w="60"/>
        <w:gridCol w:w="120"/>
        <w:gridCol w:w="665"/>
        <w:gridCol w:w="80"/>
        <w:gridCol w:w="60"/>
        <w:gridCol w:w="208"/>
        <w:gridCol w:w="922"/>
        <w:gridCol w:w="80"/>
        <w:gridCol w:w="60"/>
        <w:gridCol w:w="110"/>
        <w:gridCol w:w="665"/>
        <w:gridCol w:w="80"/>
        <w:gridCol w:w="60"/>
        <w:gridCol w:w="110"/>
        <w:gridCol w:w="575"/>
        <w:gridCol w:w="95"/>
      </w:tblGrid>
      <w:tr>
        <w:trPr/>
        <w:tc>
          <w:tcPr>
            <w:tcW w:w="28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Preferred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4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Special</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Additional</w:t>
              <w:br/>
              <w:t>Paid in</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br/>
              <w:t>Other</w:t>
              <w:br/>
              <w:t>Comprehensive</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5" w:type="dxa"/>
            <w:gridSpan w:val="2"/>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810" w:type="dxa"/>
            <w:tcBorders>
              <w:bottom w:val="single" w:sz="8" w:space="0" w:color="000000"/>
            </w:tcBorders>
            <w:tcMar>
              <w:bottom w:w="28" w:type="dxa"/>
            </w:tcMar>
            <w:vAlign w:val="center"/>
          </w:tcPr>
          <w:p>
            <w:pPr>
              <w:pStyle w:val="TableContents"/>
              <w:bidi w:val="0"/>
              <w:spacing w:before="0" w:after="283"/>
              <w:jc w:val="left"/>
              <w:rPr>
                <w:b/>
                <w:sz w:val="16"/>
              </w:rPr>
            </w:pPr>
            <w:r>
              <w:rPr>
                <w:b/>
                <w:sz w:val="16"/>
              </w:rPr>
              <w:t>Nine months ended September 30, 2024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Shares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Capital</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Loss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Deficit</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8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Total</w:t>
            </w:r>
          </w:p>
        </w:tc>
        <w:tc>
          <w:tcPr>
            <w:tcW w:w="95" w:type="dxa"/>
            <w:tcBorders/>
            <w:vAlign w:val="center"/>
          </w:tcPr>
          <w:p>
            <w:pPr>
              <w:pStyle w:val="TableContents"/>
              <w:bidi w:val="0"/>
              <w:spacing w:before="0" w:after="283"/>
              <w:jc w:val="center"/>
              <w:rPr/>
            </w:pPr>
            <w:r>
              <w:rPr/>
              <w:t> </w:t>
            </w:r>
          </w:p>
        </w:tc>
      </w:tr>
      <w:tr>
        <w:trPr/>
        <w:tc>
          <w:tcPr>
            <w:tcW w:w="28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January 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306,558,710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438,239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30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23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122,797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(1,216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(548,902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10,918</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shares and warrants under registered direct offering, net of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7,447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9,000</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Conversion of restricted share units, net of shares withheld for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9,078,432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10,869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(10,869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Shares issued from ATM</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3,251,588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4,866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Exercise of stock options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715,772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(1,428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463</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 purchase under Employee Share Purchase Plan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27,394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2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Share-based compensation and expenses settled with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19,129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19,129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Foreign currency translation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Loss for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(65,882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(65,882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8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September 30, 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324,131,896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463,366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9"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131,152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(1,203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(614,784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(21,469</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16"/>
        </w:rPr>
      </w:pPr>
      <w:r>
        <w:rPr>
          <w:rFonts w:ascii="Times New Roman;Times;Serif" w:hAnsi="Times New Roman;Times;Serif"/>
          <w:b/>
          <w:i w:val="false"/>
          <w:caps w:val="false"/>
          <w:smallCaps w:val="false"/>
          <w:sz w:val="20"/>
        </w:rPr>
        <w:t>TMC the metals company Inc.</w:t>
      </w:r>
      <w:r>
        <w:rPr>
          <w:rFonts w:ascii="Times New Roman;Times;Serif" w:hAnsi="Times New Roman;Times;Serif"/>
          <w:b w:val="false"/>
          <w:i w:val="false"/>
          <w:caps w:val="false"/>
          <w:smallCaps w:val="false"/>
          <w:sz w:val="16"/>
        </w:rPr>
        <w:t xml:space="preserve">  </w:t>
      </w:r>
    </w:p>
    <w:p>
      <w:pPr>
        <w:pStyle w:val="TextBody"/>
        <w:bidi w:val="0"/>
        <w:spacing w:before="0" w:after="0"/>
        <w:jc w:val="center"/>
        <w:rPr>
          <w:rFonts w:ascii="Times New Roman;Times;Serif" w:hAnsi="Times New Roman;Times;Serif"/>
          <w:b w:val="false"/>
          <w:i w:val="false"/>
          <w:caps w:val="false"/>
          <w:smallCaps w:val="false"/>
          <w:sz w:val="16"/>
        </w:rPr>
      </w:pPr>
      <w:r>
        <w:rPr>
          <w:rFonts w:ascii="Times New Roman;Times;Serif" w:hAnsi="Times New Roman;Times;Serif"/>
          <w:b/>
          <w:i w:val="false"/>
          <w:caps w:val="false"/>
          <w:smallCaps w:val="false"/>
          <w:sz w:val="20"/>
        </w:rPr>
        <w:t>Condensed Consolidated Statements of Cash Flows</w:t>
      </w:r>
      <w:r>
        <w:rPr>
          <w:rFonts w:ascii="Times New Roman;Times;Serif" w:hAnsi="Times New Roman;Times;Serif"/>
          <w:b w:val="false"/>
          <w:i w:val="false"/>
          <w:caps w:val="false"/>
          <w:smallCaps w:val="false"/>
          <w:sz w:val="16"/>
        </w:rPr>
        <w:t xml:space="preserve"> </w:t>
      </w:r>
      <w:r>
        <w:rPr>
          <w:rFonts w:ascii="Times New Roman;Times;Serif" w:hAnsi="Times New Roman;Times;Serif"/>
          <w:b/>
          <w:i w:val="false"/>
          <w:caps w:val="false"/>
          <w:smallCaps w:val="false"/>
          <w:sz w:val="20"/>
        </w:rPr>
        <w:t>(in thousands of US Dollars)</w:t>
      </w:r>
      <w:r>
        <w:rPr>
          <w:rFonts w:ascii="Times New Roman;Times;Serif" w:hAnsi="Times New Roman;Times;Serif"/>
          <w:b w:val="false"/>
          <w:i w:val="false"/>
          <w:caps w:val="false"/>
          <w:smallCaps w:val="false"/>
          <w:sz w:val="16"/>
        </w:rPr>
        <w:t xml:space="preserve"> </w:t>
      </w:r>
      <w:r>
        <w:rPr>
          <w:rFonts w:ascii="Times New Roman;Times;Serif" w:hAnsi="Times New Roman;Times;Serif"/>
          <w:b/>
          <w:i w:val="false"/>
          <w:caps w:val="false"/>
          <w:smallCaps w:val="false"/>
          <w:sz w:val="20"/>
        </w:rPr>
        <w:t>(Unaudited)</w:t>
      </w:r>
      <w:r>
        <w:rPr>
          <w:rFonts w:ascii="Times New Roman;Times;Serif" w:hAnsi="Times New Roman;Times;Serif"/>
          <w:b w:val="false"/>
          <w:i w:val="false"/>
          <w:caps w:val="false"/>
          <w:smallCaps w:val="false"/>
          <w:sz w:val="16"/>
        </w:rPr>
        <w:t xml:space="preserve">  </w:t>
      </w:r>
    </w:p>
    <w:p>
      <w:pPr>
        <w:pStyle w:val="TextBody"/>
        <w:bidi w:val="0"/>
        <w:spacing w:before="0" w:after="0"/>
        <w:ind w:left="0" w:right="0" w:hanging="0"/>
        <w:jc w:val="left"/>
        <w:rPr>
          <w:caps w:val="false"/>
          <w:smallCaps w:val="false"/>
        </w:rPr>
      </w:pPr>
      <w:r>
        <w:rPr>
          <w:caps w:val="false"/>
          <w:smallCaps w:val="false"/>
        </w:rPr>
        <w:t> </w:t>
      </w:r>
    </w:p>
    <w:tbl>
      <w:tblPr>
        <w:tblW w:w="9113" w:type="dxa"/>
        <w:jc w:val="left"/>
        <w:tblInd w:w="0" w:type="dxa"/>
        <w:tblLayout w:type="fixed"/>
        <w:tblCellMar>
          <w:top w:w="0" w:type="dxa"/>
          <w:left w:w="0" w:type="dxa"/>
          <w:bottom w:w="28" w:type="dxa"/>
          <w:right w:w="0" w:type="dxa"/>
        </w:tblCellMar>
      </w:tblPr>
      <w:tblGrid>
        <w:gridCol w:w="5900"/>
        <w:gridCol w:w="60"/>
        <w:gridCol w:w="206"/>
        <w:gridCol w:w="1253"/>
        <w:gridCol w:w="80"/>
        <w:gridCol w:w="60"/>
        <w:gridCol w:w="234"/>
        <w:gridCol w:w="1225"/>
        <w:gridCol w:w="95"/>
      </w:tblGrid>
      <w:tr>
        <w:trPr/>
        <w:tc>
          <w:tcPr>
            <w:tcW w:w="5900" w:type="dxa"/>
            <w:tcBorders>
              <w:bottom w:val="single" w:sz="8" w:space="0" w:color="000000"/>
            </w:tcBorders>
            <w:vAlign w:val="center"/>
          </w:tcPr>
          <w:p>
            <w:pPr>
              <w:pStyle w:val="TableContents"/>
              <w:bidi w:val="0"/>
              <w:spacing w:before="0" w:after="283"/>
              <w:jc w:val="left"/>
              <w:rPr>
                <w:b/>
                <w:sz w:val="20"/>
              </w:rPr>
            </w:pPr>
            <w:r>
              <w:rPr>
                <w:b/>
                <w:sz w:val="20"/>
              </w:rPr>
              <w:t>Cash provided by (used 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w:t>
              <w:br/>
              <w:t>ended September</w:t>
              <w:br/>
              <w:t>30, 2025</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w:t>
              <w:br/>
              <w:t>ended September</w:t>
              <w:br/>
              <w:t>30, 2024</w:t>
            </w:r>
          </w:p>
        </w:tc>
        <w:tc>
          <w:tcPr>
            <w:tcW w:w="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1253"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4"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59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for the period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(279,446</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2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(65,882</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Items not affecting cash:</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1253"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4"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59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Nauru and Tonga Warrant Costs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38,056</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interest on credit facilities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expense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1,430</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and expenses settled with equity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62,265</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19,129</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Equity-accounted investment loss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dilution of investment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(2,967</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royalty liability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131,000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warrants liability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12,818</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(1,103</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foreign exchange movement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3,451</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paid on amounts drawn from credit facilities and short-term Debt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(823</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working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1253"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4"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59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and prepayments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3"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1,825</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17,036</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operating activities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3"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(31,496</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(29,750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90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1253"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4"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59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of equipment and software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Low Carbon Royalties distribution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3"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generated from (used in) investing activities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3"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206</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(465</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90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1253"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4" w:type="dxa"/>
            <w:tcBorders/>
            <w:shd w:fill="FFFFFF" w:val="clear"/>
            <w:tcMar>
              <w:bottom w:w="0" w:type="dxa"/>
            </w:tcMar>
            <w:vAlign w:val="center"/>
          </w:tcPr>
          <w:p>
            <w:pPr>
              <w:pStyle w:val="TableContents"/>
              <w:bidi w:val="0"/>
              <w:spacing w:before="0" w:after="283"/>
              <w:jc w:val="left"/>
              <w:rPr/>
            </w:pPr>
            <w:r>
              <w:rPr/>
              <w:t> </w:t>
            </w:r>
          </w:p>
        </w:tc>
        <w:tc>
          <w:tcPr>
            <w:tcW w:w="122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59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Korea Zinc Private Placement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85,165</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Registered Direct Offerings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42,000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paid for Registered Direct Offerings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(719</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shares issued from ATM</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14,784</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4,866</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exercise of Class A warrants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3,777</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exercise of Class B warrants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7,650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drawn amount on credit facilities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Allseas Working Capital Loan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9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exercise of stock options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2,583</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463</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drawdown of credit facilities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4,175</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drawdown of Allseas Debt Agreement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Employee Share Purchase Plan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financing activities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3"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143,475</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23,386</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3"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Increase (Decrease) in cash</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253"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112,185</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22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(6,829</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90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of exchange rate changes on cash</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3"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347</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 beginning of period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3"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3,480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6,842</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 end of period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25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115,648</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4"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22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360</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4336</Words>
  <Characters>23223</Characters>
  <CharactersWithSpaces>28602</CharactersWithSpaces>
  <Paragraphs>3044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